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衡南县红十字会</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jc w:val="center"/>
        <w:rPr>
          <w:sz w:val="56"/>
          <w:szCs w:val="56"/>
        </w:rPr>
      </w:pPr>
    </w:p>
    <w:p>
      <w:pPr>
        <w:pStyle w:val="10"/>
        <w:spacing w:line="520" w:lineRule="exact"/>
        <w:jc w:val="center"/>
        <w:rPr>
          <w:sz w:val="56"/>
          <w:szCs w:val="56"/>
        </w:rPr>
      </w:pPr>
    </w:p>
    <w:p>
      <w:pPr>
        <w:pStyle w:val="10"/>
        <w:spacing w:line="520" w:lineRule="exact"/>
        <w:rPr>
          <w:rFonts w:cs="仿宋_GB2312" w:asciiTheme="minorEastAsia" w:hAnsiTheme="minorEastAsia" w:eastAsiaTheme="minorEastAsia"/>
          <w:b/>
          <w:sz w:val="32"/>
          <w:szCs w:val="32"/>
        </w:rPr>
      </w:pPr>
      <w:r>
        <w:rPr>
          <w:rFonts w:hint="eastAsia" w:asciiTheme="minorEastAsia" w:hAnsiTheme="minorEastAsia" w:eastAsiaTheme="minorEastAsia"/>
          <w:b/>
          <w:sz w:val="32"/>
          <w:szCs w:val="32"/>
        </w:rPr>
        <w:t>第一部分衡南县红十字会概况</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一、部门职责</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二、机构设置</w:t>
      </w:r>
    </w:p>
    <w:p>
      <w:pPr>
        <w:pStyle w:val="10"/>
        <w:spacing w:line="520" w:lineRule="exact"/>
        <w:rPr>
          <w:rFonts w:cs="仿宋_GB2312" w:asciiTheme="minorEastAsia" w:hAnsiTheme="minorEastAsia" w:eastAsiaTheme="minorEastAsia"/>
          <w:b/>
          <w:sz w:val="32"/>
          <w:szCs w:val="32"/>
        </w:rPr>
      </w:pPr>
      <w:r>
        <w:rPr>
          <w:rFonts w:hint="eastAsia" w:asciiTheme="minorEastAsia" w:hAnsiTheme="minorEastAsia" w:eastAsiaTheme="minorEastAsia"/>
          <w:b/>
          <w:sz w:val="32"/>
          <w:szCs w:val="32"/>
        </w:rPr>
        <w:t>第二部分2020年度部门决算表</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一、收入支出决算总表</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二、收入决算表</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三、支出决算表</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四、财政拨款收入支出决算总表</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五、一般公共预算财政拨款支出决算表</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六、一般公共预算财政拨款基本支出决算表</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七、一般公共预算财政拨款“三公”经费支出决算表</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八、政府性基金预算财政拨款收入支出决算表</w:t>
      </w:r>
    </w:p>
    <w:p>
      <w:pPr>
        <w:pStyle w:val="10"/>
        <w:spacing w:line="520" w:lineRule="exact"/>
        <w:ind w:firstLine="800" w:firstLineChars="25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九、国有资本经营预算财政拨款支出决算表</w:t>
      </w:r>
    </w:p>
    <w:p>
      <w:pPr>
        <w:pStyle w:val="10"/>
        <w:spacing w:line="520" w:lineRule="exact"/>
        <w:rPr>
          <w:rFonts w:cs="仿宋_GB2312" w:asciiTheme="minorEastAsia" w:hAnsiTheme="minorEastAsia" w:eastAsiaTheme="minorEastAsia"/>
          <w:b/>
          <w:sz w:val="32"/>
          <w:szCs w:val="32"/>
        </w:rPr>
      </w:pPr>
      <w:r>
        <w:rPr>
          <w:rFonts w:hint="eastAsia" w:asciiTheme="minorEastAsia" w:hAnsiTheme="minorEastAsia" w:eastAsiaTheme="minorEastAsia"/>
          <w:b/>
          <w:sz w:val="32"/>
          <w:szCs w:val="32"/>
        </w:rPr>
        <w:t>第三部分2020年度部门决算情况说明</w:t>
      </w:r>
    </w:p>
    <w:p>
      <w:pPr>
        <w:pStyle w:val="10"/>
        <w:spacing w:line="520" w:lineRule="exact"/>
        <w:ind w:firstLine="800" w:firstLineChars="25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一、收入支出决算总体情况说明</w:t>
      </w:r>
    </w:p>
    <w:p>
      <w:pPr>
        <w:spacing w:line="520" w:lineRule="exact"/>
        <w:ind w:firstLine="800" w:firstLineChars="250"/>
        <w:jc w:val="left"/>
        <w:rPr>
          <w:rFonts w:cs="仿宋_GB2312" w:asciiTheme="minorEastAsia" w:hAnsiTheme="minorEastAsia"/>
          <w:sz w:val="32"/>
          <w:szCs w:val="32"/>
        </w:rPr>
      </w:pPr>
      <w:r>
        <w:rPr>
          <w:rFonts w:cs="仿宋_GB2312" w:asciiTheme="minorEastAsia" w:hAnsiTheme="minorEastAsia"/>
          <w:sz w:val="32"/>
          <w:szCs w:val="32"/>
        </w:rPr>
        <w:t>二、收入决算情况说明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cs="仿宋_GB2312" w:asciiTheme="minorEastAsia" w:hAnsiTheme="minorEastAsia"/>
          <w:color w:val="000000"/>
          <w:kern w:val="0"/>
          <w:sz w:val="32"/>
          <w:szCs w:val="32"/>
        </w:rPr>
        <w:t>三、支出决算情况说明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cs="仿宋_GB2312" w:asciiTheme="minorEastAsia" w:hAnsiTheme="minorEastAsia"/>
          <w:color w:val="000000"/>
          <w:kern w:val="0"/>
          <w:sz w:val="32"/>
          <w:szCs w:val="32"/>
        </w:rPr>
        <w:t>四、财政拨款收入支出决算总体情况说明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cs="仿宋_GB2312" w:asciiTheme="minorEastAsia" w:hAnsiTheme="minorEastAsia"/>
          <w:color w:val="000000"/>
          <w:kern w:val="0"/>
          <w:sz w:val="32"/>
          <w:szCs w:val="32"/>
        </w:rPr>
        <w:t>五、一般公共预算财政拨款支出决算情况说明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cs="仿宋_GB2312" w:asciiTheme="minorEastAsia" w:hAnsiTheme="minorEastAsia"/>
          <w:color w:val="000000"/>
          <w:kern w:val="0"/>
          <w:sz w:val="32"/>
          <w:szCs w:val="32"/>
        </w:rPr>
        <w:t>六、一般公共预算财政拨款基本支出决算情况说明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cs="仿宋_GB2312" w:asciiTheme="minorEastAsia" w:hAnsiTheme="minorEastAsia"/>
          <w:color w:val="000000"/>
          <w:kern w:val="0"/>
          <w:sz w:val="32"/>
          <w:szCs w:val="32"/>
        </w:rPr>
        <w:t>七、一般公共预算财政拨款三公经费支出决算情况说明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hint="eastAsia" w:cs="仿宋_GB2312" w:asciiTheme="minorEastAsia" w:hAnsiTheme="minorEastAsia"/>
          <w:color w:val="000000"/>
          <w:kern w:val="0"/>
          <w:sz w:val="32"/>
          <w:szCs w:val="32"/>
        </w:rPr>
        <w:t>八</w:t>
      </w:r>
      <w:r>
        <w:rPr>
          <w:rFonts w:cs="仿宋_GB2312" w:asciiTheme="minorEastAsia" w:hAnsiTheme="minorEastAsia"/>
          <w:color w:val="000000"/>
          <w:kern w:val="0"/>
          <w:sz w:val="32"/>
          <w:szCs w:val="32"/>
        </w:rPr>
        <w:t>、</w:t>
      </w:r>
      <w:r>
        <w:rPr>
          <w:rFonts w:hint="eastAsia" w:cs="仿宋_GB2312" w:asciiTheme="minorEastAsia" w:hAnsiTheme="minorEastAsia"/>
          <w:color w:val="000000"/>
          <w:kern w:val="0"/>
          <w:sz w:val="32"/>
          <w:szCs w:val="32"/>
        </w:rPr>
        <w:t>政府性基金预算收入支出决算情况说明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hint="eastAsia" w:cs="仿宋_GB2312" w:asciiTheme="minorEastAsia" w:hAnsiTheme="minorEastAsia"/>
          <w:color w:val="000000"/>
          <w:kern w:val="0"/>
          <w:sz w:val="32"/>
          <w:szCs w:val="32"/>
        </w:rPr>
        <w:t>九、国有资本经营预算财政拨款支出决算情况</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hint="eastAsia" w:cs="仿宋_GB2312" w:asciiTheme="minorEastAsia" w:hAnsiTheme="minorEastAsia"/>
          <w:color w:val="000000"/>
          <w:kern w:val="0"/>
          <w:sz w:val="32"/>
          <w:szCs w:val="32"/>
        </w:rPr>
        <w:t>十、关于机关运行经费支出说明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hint="eastAsia" w:cs="仿宋_GB2312" w:asciiTheme="minorEastAsia" w:hAnsiTheme="minorEastAsia"/>
          <w:color w:val="000000"/>
          <w:kern w:val="0"/>
          <w:sz w:val="32"/>
          <w:szCs w:val="32"/>
        </w:rPr>
        <w:t>十一、一般性支出情况说明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hint="eastAsia" w:cs="仿宋_GB2312" w:asciiTheme="minorEastAsia" w:hAnsiTheme="minorEastAsia"/>
          <w:color w:val="000000"/>
          <w:kern w:val="0"/>
          <w:sz w:val="32"/>
          <w:szCs w:val="32"/>
        </w:rPr>
        <w:t>十二、关于政府采购支出说明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hint="eastAsia" w:cs="仿宋_GB2312" w:asciiTheme="minorEastAsia" w:hAnsiTheme="minorEastAsia"/>
          <w:color w:val="000000"/>
          <w:kern w:val="0"/>
          <w:sz w:val="32"/>
          <w:szCs w:val="32"/>
        </w:rPr>
        <w:t>十三、关于国有资产占用情况说明</w:t>
      </w:r>
    </w:p>
    <w:p>
      <w:pPr>
        <w:autoSpaceDE w:val="0"/>
        <w:autoSpaceDN w:val="0"/>
        <w:adjustRightInd w:val="0"/>
        <w:spacing w:line="520" w:lineRule="exact"/>
        <w:ind w:firstLine="800" w:firstLineChars="250"/>
        <w:jc w:val="left"/>
        <w:rPr>
          <w:rFonts w:cs="仿宋_GB2312" w:asciiTheme="minorEastAsia" w:hAnsiTheme="minorEastAsia"/>
          <w:color w:val="000000"/>
          <w:kern w:val="0"/>
          <w:sz w:val="32"/>
          <w:szCs w:val="32"/>
        </w:rPr>
      </w:pPr>
      <w:r>
        <w:rPr>
          <w:rFonts w:hint="eastAsia" w:cs="仿宋_GB2312" w:asciiTheme="minorEastAsia" w:hAnsiTheme="minorEastAsia"/>
          <w:color w:val="000000"/>
          <w:kern w:val="0"/>
          <w:sz w:val="32"/>
          <w:szCs w:val="32"/>
        </w:rPr>
        <w:t>十四、关于2020年度预算绩效情况说明</w:t>
      </w:r>
    </w:p>
    <w:p>
      <w:pPr>
        <w:autoSpaceDE w:val="0"/>
        <w:autoSpaceDN w:val="0"/>
        <w:adjustRightInd w:val="0"/>
        <w:spacing w:line="520" w:lineRule="exact"/>
        <w:ind w:firstLine="803" w:firstLineChars="250"/>
        <w:jc w:val="left"/>
        <w:rPr>
          <w:rFonts w:cs="仿宋_GB2312" w:asciiTheme="minorEastAsia" w:hAnsiTheme="minorEastAsia"/>
          <w:color w:val="000000"/>
          <w:kern w:val="0"/>
          <w:sz w:val="32"/>
          <w:szCs w:val="32"/>
        </w:rPr>
      </w:pPr>
      <w:r>
        <w:rPr>
          <w:rFonts w:cs="黑体" w:asciiTheme="minorEastAsia" w:hAnsiTheme="minorEastAsia"/>
          <w:b/>
          <w:color w:val="000000"/>
          <w:kern w:val="0"/>
          <w:sz w:val="32"/>
          <w:szCs w:val="32"/>
        </w:rPr>
        <w:t>第四部分名词解释</w:t>
      </w:r>
    </w:p>
    <w:p>
      <w:pPr>
        <w:autoSpaceDE w:val="0"/>
        <w:autoSpaceDN w:val="0"/>
        <w:adjustRightInd w:val="0"/>
        <w:spacing w:line="520" w:lineRule="exact"/>
        <w:ind w:firstLine="803" w:firstLineChars="250"/>
        <w:jc w:val="left"/>
        <w:rPr>
          <w:rFonts w:cs="仿宋_GB2312" w:asciiTheme="minorEastAsia" w:hAnsiTheme="minorEastAsia"/>
          <w:color w:val="000000"/>
          <w:kern w:val="0"/>
          <w:sz w:val="32"/>
          <w:szCs w:val="32"/>
        </w:rPr>
      </w:pPr>
      <w:r>
        <w:rPr>
          <w:rFonts w:cs="黑体" w:asciiTheme="minorEastAsia" w:hAnsiTheme="minorEastAsia"/>
          <w:b/>
          <w:color w:val="000000"/>
          <w:kern w:val="0"/>
          <w:sz w:val="32"/>
          <w:szCs w:val="32"/>
        </w:rPr>
        <w:t>第五部分附件</w:t>
      </w:r>
    </w:p>
    <w:p>
      <w:pPr>
        <w:pStyle w:val="10"/>
        <w:spacing w:line="540" w:lineRule="exact"/>
        <w:jc w:val="center"/>
        <w:rPr>
          <w:rFonts w:asciiTheme="minorEastAsia" w:hAnsiTheme="minorEastAsia" w:eastAsia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pStyle w:val="10"/>
        <w:ind w:firstLine="2880" w:firstLineChars="400"/>
        <w:jc w:val="both"/>
        <w:rPr>
          <w:rFonts w:hAnsi="黑体"/>
          <w:sz w:val="72"/>
          <w:szCs w:val="72"/>
        </w:rPr>
      </w:pPr>
      <w:r>
        <w:rPr>
          <w:rFonts w:hint="eastAsia" w:hAnsi="黑体"/>
          <w:sz w:val="72"/>
          <w:szCs w:val="72"/>
        </w:rPr>
        <w:t>第一部分</w:t>
      </w:r>
    </w:p>
    <w:p>
      <w:pPr>
        <w:pStyle w:val="10"/>
        <w:jc w:val="center"/>
        <w:rPr>
          <w:rFonts w:hAnsi="黑体"/>
          <w:sz w:val="72"/>
          <w:szCs w:val="72"/>
        </w:rPr>
      </w:pPr>
    </w:p>
    <w:p>
      <w:pPr>
        <w:pStyle w:val="10"/>
        <w:jc w:val="center"/>
        <w:rPr>
          <w:rFonts w:hAnsi="黑体"/>
          <w:sz w:val="72"/>
          <w:szCs w:val="72"/>
        </w:rPr>
      </w:pPr>
      <w:r>
        <w:rPr>
          <w:rFonts w:hint="eastAsia" w:hAnsi="黑体"/>
          <w:sz w:val="72"/>
          <w:szCs w:val="72"/>
        </w:rPr>
        <w:t>衡南县红十字会概况</w:t>
      </w:r>
    </w:p>
    <w:p>
      <w:pPr>
        <w:jc w:val="center"/>
        <w:rPr>
          <w:rFonts w:ascii="黑体" w:hAnsi="黑体" w:eastAsia="黑体"/>
          <w:sz w:val="72"/>
          <w:szCs w:val="7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pStyle w:val="11"/>
        <w:ind w:left="720" w:firstLine="0" w:firstLineChars="0"/>
        <w:jc w:val="left"/>
        <w:rPr>
          <w:rFonts w:asciiTheme="minorEastAsia" w:hAnsiTheme="minorEastAsia"/>
          <w:sz w:val="32"/>
          <w:szCs w:val="32"/>
        </w:rPr>
      </w:pPr>
    </w:p>
    <w:p>
      <w:pPr>
        <w:pStyle w:val="11"/>
        <w:ind w:left="720" w:firstLine="0" w:firstLineChars="0"/>
        <w:jc w:val="left"/>
        <w:rPr>
          <w:rFonts w:asciiTheme="minorEastAsia" w:hAnsiTheme="minorEastAsia"/>
          <w:sz w:val="32"/>
          <w:szCs w:val="32"/>
        </w:rPr>
      </w:pPr>
    </w:p>
    <w:p>
      <w:pPr>
        <w:pStyle w:val="11"/>
        <w:numPr>
          <w:ilvl w:val="0"/>
          <w:numId w:val="1"/>
        </w:numPr>
        <w:ind w:firstLineChars="0"/>
        <w:jc w:val="left"/>
        <w:rPr>
          <w:rFonts w:asciiTheme="minorEastAsia" w:hAnsiTheme="minorEastAsia"/>
          <w:b/>
          <w:sz w:val="32"/>
          <w:szCs w:val="32"/>
        </w:rPr>
      </w:pPr>
      <w:r>
        <w:rPr>
          <w:rFonts w:asciiTheme="minorEastAsia" w:hAnsiTheme="minorEastAsia"/>
          <w:b/>
          <w:sz w:val="32"/>
          <w:szCs w:val="32"/>
        </w:rPr>
        <w:t>部门职责</w:t>
      </w:r>
    </w:p>
    <w:p>
      <w:pPr>
        <w:spacing w:line="480" w:lineRule="auto"/>
        <w:ind w:left="142" w:right="-1"/>
        <w:rPr>
          <w:rFonts w:cs="Times New Roman" w:asciiTheme="minorEastAsia" w:hAnsiTheme="minorEastAsia"/>
          <w:sz w:val="32"/>
          <w:szCs w:val="32"/>
        </w:rPr>
      </w:pPr>
      <w:r>
        <w:rPr>
          <w:rFonts w:hint="eastAsia" w:cs="Times New Roman" w:asciiTheme="minorEastAsia" w:hAnsiTheme="minorEastAsia"/>
          <w:sz w:val="32"/>
          <w:szCs w:val="32"/>
        </w:rPr>
        <w:t>1.宣传、执行《中华人民共和国红十字</w:t>
      </w:r>
      <w:r>
        <w:rPr>
          <w:rFonts w:hint="eastAsia" w:cs="Times New Roman" w:asciiTheme="minorEastAsia" w:hAnsiTheme="minorEastAsia"/>
          <w:sz w:val="32"/>
          <w:szCs w:val="32"/>
          <w:lang w:val="en-US" w:eastAsia="zh-CN"/>
        </w:rPr>
        <w:t>会</w:t>
      </w:r>
      <w:r>
        <w:rPr>
          <w:rFonts w:hint="eastAsia" w:cs="Times New Roman" w:asciiTheme="minorEastAsia" w:hAnsiTheme="minorEastAsia"/>
          <w:sz w:val="32"/>
          <w:szCs w:val="32"/>
        </w:rPr>
        <w:t>法》、《湖南省实施中华人民共和国红十字</w:t>
      </w:r>
      <w:r>
        <w:rPr>
          <w:rFonts w:hint="eastAsia" w:cs="Times New Roman" w:asciiTheme="minorEastAsia" w:hAnsiTheme="minorEastAsia"/>
          <w:sz w:val="32"/>
          <w:szCs w:val="32"/>
          <w:lang w:val="en-US" w:eastAsia="zh-CN"/>
        </w:rPr>
        <w:t>会</w:t>
      </w:r>
      <w:r>
        <w:rPr>
          <w:rFonts w:hint="eastAsia" w:cs="Times New Roman" w:asciiTheme="minorEastAsia" w:hAnsiTheme="minorEastAsia"/>
          <w:sz w:val="32"/>
          <w:szCs w:val="32"/>
        </w:rPr>
        <w:t>法》等法律法规。</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2.开展卫生救护培训、防病知识的宣传普及工作，组织动员群众参加意外伤害和自然灾害的现场救护。</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3.开展救灾备灾工作，参加兴建和管理救灾备灾设施，在自然灾害和突发事件中开展救护救援和救助，争取国内外组织和个人的捐助，及时向灾区群众和</w:t>
      </w:r>
      <w:bookmarkStart w:id="0" w:name="_GoBack"/>
      <w:bookmarkEnd w:id="0"/>
      <w:r>
        <w:rPr>
          <w:rFonts w:hint="eastAsia" w:cs="Times New Roman" w:asciiTheme="minorEastAsia" w:hAnsiTheme="minorEastAsia"/>
          <w:sz w:val="32"/>
          <w:szCs w:val="32"/>
        </w:rPr>
        <w:t>受难者提供急需的人道主义救助。</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4.宣传无偿献血和造血干细胞，组织管理器官移植和遗体捐献工作。</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5.负责管理和发展红十字会会员、志愿工作者，组织并开展符合红十字会宗旨的社会服务工作。</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6.依法开展社会募捐活动。</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7.组织红十字青少年开展建设社会主义精神文明和弘扬人道主义的活动。</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8.举办符合红十字会宗旨的社会福利事业和经济实体。</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9.按照国家有关规定开展与国内、境外、国外红十字会的交流与合作。</w:t>
      </w:r>
    </w:p>
    <w:p>
      <w:pPr>
        <w:spacing w:line="480" w:lineRule="auto"/>
        <w:ind w:left="142"/>
        <w:rPr>
          <w:rFonts w:cs="Times New Roman" w:asciiTheme="minorEastAsia" w:hAnsiTheme="minorEastAsia"/>
          <w:sz w:val="32"/>
          <w:szCs w:val="32"/>
        </w:rPr>
      </w:pPr>
      <w:r>
        <w:rPr>
          <w:rFonts w:hint="eastAsia" w:cs="Times New Roman" w:asciiTheme="minorEastAsia" w:hAnsiTheme="minorEastAsia"/>
          <w:sz w:val="32"/>
          <w:szCs w:val="32"/>
        </w:rPr>
        <w:t>10.承办</w:t>
      </w:r>
      <w:r>
        <w:rPr>
          <w:rFonts w:hint="eastAsia" w:asciiTheme="minorEastAsia" w:hAnsiTheme="minorEastAsia"/>
          <w:sz w:val="32"/>
          <w:szCs w:val="32"/>
        </w:rPr>
        <w:t>衡南</w:t>
      </w:r>
      <w:r>
        <w:rPr>
          <w:rFonts w:hint="eastAsia" w:cs="Times New Roman" w:asciiTheme="minorEastAsia" w:hAnsiTheme="minorEastAsia"/>
          <w:sz w:val="32"/>
          <w:szCs w:val="32"/>
        </w:rPr>
        <w:t>县人民政府委托的其他有关事项。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480" w:lineRule="auto"/>
        <w:ind w:firstLine="160" w:firstLineChars="50"/>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spacing w:line="480" w:lineRule="auto"/>
        <w:ind w:firstLine="320" w:firstLineChars="100"/>
        <w:rPr>
          <w:rFonts w:ascii="宋体" w:hAnsi="宋体" w:eastAsia="宋体" w:cs="Times New Roman"/>
          <w:bCs/>
          <w:kern w:val="0"/>
          <w:sz w:val="32"/>
          <w:szCs w:val="32"/>
        </w:rPr>
      </w:pPr>
      <w:r>
        <w:rPr>
          <w:rFonts w:hint="eastAsia" w:asciiTheme="minorEastAsia" w:hAnsiTheme="minorEastAsia"/>
          <w:bCs/>
          <w:kern w:val="0"/>
          <w:sz w:val="32"/>
          <w:szCs w:val="32"/>
        </w:rPr>
        <w:t>衡南县红十字会内设机构包括：</w:t>
      </w:r>
    </w:p>
    <w:p>
      <w:pPr>
        <w:spacing w:line="480" w:lineRule="auto"/>
        <w:ind w:firstLine="320" w:firstLineChars="100"/>
        <w:rPr>
          <w:rFonts w:ascii="宋体" w:hAnsi="宋体" w:eastAsia="宋体" w:cs="Times New Roman"/>
          <w:sz w:val="32"/>
          <w:szCs w:val="32"/>
        </w:rPr>
      </w:pPr>
      <w:r>
        <w:rPr>
          <w:rFonts w:hint="eastAsia" w:ascii="宋体" w:hAnsi="宋体" w:eastAsia="宋体" w:cs="Times New Roman"/>
          <w:sz w:val="32"/>
          <w:szCs w:val="32"/>
        </w:rPr>
        <w:t>1.办公室</w:t>
      </w:r>
    </w:p>
    <w:p>
      <w:pPr>
        <w:spacing w:line="480" w:lineRule="auto"/>
        <w:ind w:firstLine="320" w:firstLineChars="100"/>
        <w:rPr>
          <w:rFonts w:ascii="宋体" w:hAnsi="宋体" w:eastAsia="宋体" w:cs="Times New Roman"/>
          <w:sz w:val="32"/>
          <w:szCs w:val="32"/>
        </w:rPr>
      </w:pPr>
      <w:r>
        <w:rPr>
          <w:rFonts w:hint="eastAsia" w:ascii="宋体" w:hAnsi="宋体" w:eastAsia="宋体" w:cs="Times New Roman"/>
          <w:sz w:val="32"/>
          <w:szCs w:val="32"/>
        </w:rPr>
        <w:t>2.财务室</w:t>
      </w:r>
    </w:p>
    <w:p>
      <w:pPr>
        <w:spacing w:line="480" w:lineRule="auto"/>
        <w:ind w:firstLine="320" w:firstLineChars="100"/>
        <w:rPr>
          <w:rFonts w:ascii="宋体" w:hAnsi="宋体" w:eastAsia="宋体" w:cs="Times New Roman"/>
          <w:sz w:val="32"/>
          <w:szCs w:val="32"/>
        </w:rPr>
      </w:pPr>
      <w:r>
        <w:rPr>
          <w:rFonts w:hint="eastAsia" w:ascii="宋体" w:hAnsi="宋体" w:eastAsia="宋体" w:cs="Times New Roman"/>
          <w:sz w:val="32"/>
          <w:szCs w:val="32"/>
        </w:rPr>
        <w:t>3.赈济救护部</w:t>
      </w:r>
    </w:p>
    <w:p>
      <w:pPr>
        <w:spacing w:line="480" w:lineRule="auto"/>
        <w:ind w:firstLine="320" w:firstLineChars="100"/>
        <w:rPr>
          <w:rFonts w:ascii="宋体" w:hAnsi="宋体" w:eastAsia="宋体" w:cs="Times New Roman"/>
          <w:sz w:val="32"/>
          <w:szCs w:val="32"/>
        </w:rPr>
      </w:pPr>
      <w:r>
        <w:rPr>
          <w:rFonts w:hint="eastAsia" w:ascii="宋体" w:hAnsi="宋体" w:eastAsia="宋体" w:cs="Times New Roman"/>
          <w:sz w:val="32"/>
          <w:szCs w:val="32"/>
        </w:rPr>
        <w:t>4.社会服务部四个部门</w:t>
      </w:r>
    </w:p>
    <w:p>
      <w:pPr>
        <w:spacing w:line="480" w:lineRule="auto"/>
        <w:ind w:firstLine="320" w:firstLineChars="100"/>
        <w:rPr>
          <w:rFonts w:ascii="宋体" w:hAnsi="宋体" w:eastAsia="宋体" w:cs="Times New Roman"/>
          <w:sz w:val="32"/>
          <w:szCs w:val="32"/>
        </w:rPr>
      </w:pPr>
      <w:r>
        <w:rPr>
          <w:rFonts w:hint="eastAsia" w:ascii="宋体" w:hAnsi="宋体" w:eastAsia="宋体" w:cs="Times New Roman"/>
          <w:sz w:val="32"/>
          <w:szCs w:val="32"/>
        </w:rPr>
        <w:t>机关党组、纪检（监察）机构按有关规定设置。</w:t>
      </w:r>
    </w:p>
    <w:p>
      <w:pPr>
        <w:spacing w:line="480" w:lineRule="auto"/>
        <w:ind w:firstLine="160" w:firstLineChars="50"/>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ind w:firstLine="320" w:firstLineChars="100"/>
        <w:rPr>
          <w:rFonts w:asciiTheme="minorEastAsia" w:hAnsiTheme="minorEastAsia"/>
          <w:sz w:val="28"/>
          <w:szCs w:val="28"/>
        </w:rPr>
      </w:pPr>
      <w:r>
        <w:rPr>
          <w:rFonts w:hint="eastAsia" w:cs="Times New Roman" w:asciiTheme="minorEastAsia" w:hAnsiTheme="minorEastAsia"/>
          <w:bCs/>
          <w:kern w:val="0"/>
          <w:sz w:val="32"/>
          <w:szCs w:val="32"/>
        </w:rPr>
        <w:t>衡南县红十字会</w:t>
      </w:r>
      <w:r>
        <w:rPr>
          <w:rFonts w:ascii="宋体" w:hAnsi="宋体" w:eastAsia="宋体" w:cs="Times New Roman"/>
          <w:bCs/>
          <w:kern w:val="0"/>
          <w:sz w:val="32"/>
          <w:szCs w:val="32"/>
        </w:rPr>
        <w:t>20</w:t>
      </w:r>
      <w:r>
        <w:rPr>
          <w:rFonts w:hint="eastAsia" w:ascii="宋体" w:hAnsi="宋体" w:eastAsia="宋体" w:cs="Times New Roman"/>
          <w:bCs/>
          <w:kern w:val="0"/>
          <w:sz w:val="32"/>
          <w:szCs w:val="32"/>
        </w:rPr>
        <w:t>20</w:t>
      </w:r>
      <w:r>
        <w:rPr>
          <w:rFonts w:ascii="宋体" w:hAnsi="宋体" w:eastAsia="宋体" w:cs="Times New Roman"/>
          <w:bCs/>
          <w:kern w:val="0"/>
          <w:sz w:val="32"/>
          <w:szCs w:val="32"/>
        </w:rPr>
        <w:t>年部门决算公开单位构成：</w:t>
      </w:r>
      <w:r>
        <w:rPr>
          <w:rFonts w:hint="eastAsia" w:cs="Times New Roman" w:asciiTheme="minorEastAsia" w:hAnsiTheme="minorEastAsia"/>
          <w:bCs/>
          <w:kern w:val="0"/>
          <w:sz w:val="32"/>
          <w:szCs w:val="32"/>
        </w:rPr>
        <w:t>衡南县红十字会</w:t>
      </w:r>
      <w:r>
        <w:rPr>
          <w:rFonts w:hint="eastAsia" w:ascii="宋体" w:hAnsi="宋体" w:eastAsia="宋体" w:cs="Times New Roman"/>
          <w:bCs/>
          <w:kern w:val="0"/>
          <w:sz w:val="32"/>
          <w:szCs w:val="32"/>
        </w:rPr>
        <w:t>单位本级</w:t>
      </w:r>
      <w:r>
        <w:rPr>
          <w:rFonts w:ascii="宋体" w:hAnsi="宋体" w:eastAsia="宋体" w:cs="Times New Roman"/>
          <w:bCs/>
          <w:kern w:val="0"/>
          <w:sz w:val="32"/>
          <w:szCs w:val="32"/>
        </w:rPr>
        <w:t>，无下属二级机构及其他。</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ascii="黑体" w:hAnsi="黑体" w:eastAsia="黑体"/>
          <w:sz w:val="72"/>
          <w:szCs w:val="72"/>
        </w:rPr>
      </w:pPr>
      <w:r>
        <w:rPr>
          <w:rFonts w:hint="eastAsia" w:ascii="黑体" w:hAnsi="黑体" w:eastAsia="黑体"/>
          <w:sz w:val="72"/>
          <w:szCs w:val="72"/>
        </w:rPr>
        <w:t>第二部分</w:t>
      </w:r>
    </w:p>
    <w:p>
      <w:pPr>
        <w:jc w:val="center"/>
        <w:rPr>
          <w:rFonts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部门决算表</w:t>
      </w:r>
    </w:p>
    <w:p>
      <w:pPr>
        <w:jc w:val="center"/>
        <w:rPr>
          <w:rFonts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2"/>
          <w:szCs w:val="72"/>
        </w:rPr>
      </w:pPr>
    </w:p>
    <w:p>
      <w:pPr>
        <w:pStyle w:val="10"/>
        <w:jc w:val="center"/>
        <w:rPr>
          <w:sz w:val="72"/>
          <w:szCs w:val="72"/>
        </w:rPr>
      </w:pPr>
      <w:r>
        <w:rPr>
          <w:sz w:val="72"/>
          <w:szCs w:val="72"/>
        </w:rPr>
        <w:t>20</w:t>
      </w:r>
      <w:r>
        <w:rPr>
          <w:rFonts w:hint="eastAsia"/>
          <w:sz w:val="72"/>
          <w:szCs w:val="72"/>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spacing w:line="520" w:lineRule="exact"/>
        <w:ind w:firstLine="640"/>
        <w:rPr>
          <w:rFonts w:asciiTheme="minorEastAsia" w:hAnsiTheme="minorEastAsia"/>
          <w:sz w:val="32"/>
          <w:szCs w:val="32"/>
        </w:rPr>
      </w:pPr>
      <w:r>
        <w:rPr>
          <w:rFonts w:hint="eastAsia" w:asciiTheme="minorEastAsia" w:hAnsiTheme="minorEastAsia"/>
          <w:sz w:val="32"/>
          <w:szCs w:val="32"/>
        </w:rPr>
        <w:t>2020年度收入总计155.63万元。与2019年相比，减少24.38万元，减少13.54%，支出总计155.63万元，与上年相比，减少24.38万元，减少13.54%。主要是因为上级补助项目资金减少。其中一般公共预算财政拨款收入完成132.05万元，比上年127.47万元，增加4.58万元，增加4%，变化的主要原因是：政策性调整、增加新冠疫情防控专项资金及人员经费的增加。</w:t>
      </w:r>
    </w:p>
    <w:p>
      <w:pPr>
        <w:pStyle w:val="10"/>
        <w:rPr>
          <w:rFonts w:hAnsi="黑体"/>
          <w:b/>
          <w:sz w:val="32"/>
          <w:szCs w:val="32"/>
        </w:rPr>
      </w:pPr>
      <w:r>
        <w:rPr>
          <w:rFonts w:hint="eastAsia" w:hAnsi="黑体"/>
          <w:b/>
          <w:sz w:val="32"/>
          <w:szCs w:val="32"/>
        </w:rPr>
        <w:t>二、收入决算情况说明</w:t>
      </w:r>
    </w:p>
    <w:p>
      <w:pPr>
        <w:spacing w:line="520" w:lineRule="exact"/>
        <w:ind w:firstLine="640"/>
        <w:rPr>
          <w:rFonts w:asciiTheme="minorEastAsia" w:hAnsiTheme="minorEastAsia"/>
          <w:sz w:val="32"/>
          <w:szCs w:val="32"/>
        </w:rPr>
      </w:pPr>
      <w:r>
        <w:rPr>
          <w:rFonts w:hint="eastAsia" w:asciiTheme="minorEastAsia" w:hAnsiTheme="minorEastAsia"/>
          <w:sz w:val="32"/>
          <w:szCs w:val="32"/>
        </w:rPr>
        <w:t>2020年度收入合计155.63万元，其中：财政拨款收入132.05万元，占84.85%；上级补助收入23.58万元，占15.15%；事业收入0万元，占0%；经营收入0万元，占0%；附属单位上缴收入0万元，占0%；其他收入0万元，占0%。与2019年相比，减少24.38万元，减少13.54%，主要是因为上级补助项目资金减少。</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2020年度支出合计</w:t>
      </w:r>
      <w:r>
        <w:rPr>
          <w:rFonts w:hint="eastAsia" w:asciiTheme="minorEastAsia" w:hAnsiTheme="minorEastAsia" w:eastAsiaTheme="minorEastAsia" w:cstheme="minorBidi"/>
          <w:color w:val="auto"/>
          <w:kern w:val="2"/>
          <w:sz w:val="32"/>
          <w:szCs w:val="32"/>
        </w:rPr>
        <w:t>155.6</w:t>
      </w:r>
      <w:r>
        <w:rPr>
          <w:rFonts w:asciiTheme="minorEastAsia" w:hAnsiTheme="minorEastAsia" w:eastAsiaTheme="minorEastAsia" w:cstheme="minorBidi"/>
          <w:color w:val="auto"/>
          <w:kern w:val="2"/>
          <w:sz w:val="32"/>
          <w:szCs w:val="32"/>
        </w:rPr>
        <w:t>3</w:t>
      </w:r>
      <w:r>
        <w:rPr>
          <w:rFonts w:hint="eastAsia" w:asciiTheme="minorEastAsia" w:hAnsiTheme="minorEastAsia" w:eastAsiaTheme="minorEastAsia" w:cstheme="minorBidi"/>
          <w:color w:val="auto"/>
          <w:kern w:val="2"/>
          <w:sz w:val="32"/>
          <w:szCs w:val="32"/>
        </w:rPr>
        <w:t>万</w:t>
      </w:r>
      <w:r>
        <w:rPr>
          <w:rFonts w:hint="eastAsia" w:asciiTheme="minorEastAsia" w:hAnsiTheme="minorEastAsia" w:eastAsiaTheme="minorEastAsia"/>
          <w:sz w:val="32"/>
          <w:szCs w:val="32"/>
        </w:rPr>
        <w:t>元，其中：基本支出87.62万元，占56.30%；项目支出68元，占43.70%。</w:t>
      </w:r>
    </w:p>
    <w:p>
      <w:pPr>
        <w:pStyle w:val="10"/>
        <w:rPr>
          <w:rFonts w:hAnsi="黑体"/>
          <w:b/>
          <w:sz w:val="32"/>
          <w:szCs w:val="32"/>
        </w:rPr>
      </w:pPr>
      <w:r>
        <w:rPr>
          <w:rFonts w:hint="eastAsia" w:hAnsi="黑体"/>
          <w:b/>
          <w:sz w:val="32"/>
          <w:szCs w:val="32"/>
        </w:rPr>
        <w:t>四、财政拨款收入支出决算总体情况说明</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2020年度财政拨款收、支总计132.05万元，与2019年相比，增加4.58万元,增加4%，主要是因为：为疫情防控支出、扶贫工作及卫生健康事业支出。</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2020年度财政拨款支出132.05万元，占本年支出合计的84.84%，与2019年相比，财政拨款支出增加4.58万元，增加4%，主要是因为抗击疫情支出，扶贫工作及卫生健康事业支出。增加。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2020年度财政拨款支出132.05万元，主要用于以下方面：社会保障和就业（类）支出81.75万元，卫生健康支出50.30万元。</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2020年度财政拨款支出年初预算数为132.05万元，支出决算数为132.05万元，完成年初预算的98%，其中：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年初预算为66.72万元，支出决算为81.75万元，完成年初预算的121%，决算数大于年初预算数的主要原因是：人员经费增加及疫情防控工作支出增加。</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2.卫生健康支出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年初预算为68.80万元，支出决算为73.87万元，完成年初预算的106%。决算数大于年初预算数的主要原因是：疫情防控工作支出、扶贫工作支出的增加。</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64.04万元，其中：人员经费63.15万元，占基本支出的99%,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0.89万元，占基本支出的1%，主要包括办公费、水费、电费、邮电费、差旅费、维修（护）费、会议费、培训费、公务接待费、劳务费、工会经费、公务用车运行维护费、其他交通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“三公”经费年初预算1万元，比上年预算数0.94万元增加0.06万元，本年决算数0.89万元比上年决算数减少0.05万元减少5%。</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因公出国（境）费支出预算为0万元，支出决算为0万元，完成预算的0%，决算数与年初预算数持平。与上年一致。</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公务接待本年年初预算1万元，比上年决算0.94万元增加0.06万元。本年决算数0.89万元，比上年决算0.94万元减少0.05减少5%。</w:t>
      </w:r>
      <w:r>
        <w:rPr>
          <w:rFonts w:asciiTheme="minorEastAsia" w:hAnsiTheme="minorEastAsia" w:eastAsiaTheme="minorEastAsia"/>
          <w:sz w:val="32"/>
          <w:szCs w:val="32"/>
        </w:rPr>
        <w:t>与上年相比减少，决算数小于年初预算数的主要原因是不断规范公务接待管理，严格控制陪餐人数，有效控制了公务接待费开支。</w:t>
      </w:r>
      <w:r>
        <w:rPr>
          <w:rFonts w:hint="eastAsia" w:asciiTheme="minorEastAsia" w:hAnsiTheme="minorEastAsia" w:eastAsiaTheme="minorEastAsia"/>
          <w:sz w:val="32"/>
          <w:szCs w:val="32"/>
        </w:rPr>
        <w:t>本年共接待31批次，共接待210人次，均为国内公务接待。主要是开展无偿献血工作、上级单位检查、兄弟单位相互学习等发生的接待支出。</w:t>
      </w:r>
    </w:p>
    <w:p>
      <w:pPr>
        <w:pStyle w:val="10"/>
        <w:ind w:firstLine="640" w:firstLineChars="200"/>
        <w:rPr>
          <w:rFonts w:ascii="仿宋" w:hAnsi="仿宋" w:eastAsia="仿宋"/>
          <w:sz w:val="32"/>
          <w:szCs w:val="32"/>
        </w:rPr>
      </w:pPr>
      <w:r>
        <w:rPr>
          <w:rFonts w:hint="eastAsia" w:asciiTheme="minorEastAsia" w:hAnsiTheme="minorEastAsia" w:eastAsiaTheme="minorEastAsia"/>
          <w:sz w:val="32"/>
          <w:szCs w:val="32"/>
        </w:rPr>
        <w:t>公务用车运行维护本年年初预算0万元，公务用车购置费及运行维护费支出决算为0万元，其中：公务用车购置费0万元，公务用车运行维护费0万元，截止2020年12月31日，我单位开支财政拨款的公务用车保持0辆。</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2020年度“三公”经费财政拨款支出决算中，公务接待费支出决算0.89万元，占100%,因公出国（境）费支出决算0万元，占0%,公务用车购置费及运行维护费支出决算0万元，占0%。其中：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2、公务接待费支出决算为0.89万元，本年共接待31批次，共接待210人次，均为国内公务接待。主要是开展无偿献血工作、上级单位检查、兄弟单位相互学习等发生的接待支出。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3、公务用车购置费及运行维护费支出决算为0万元，其中：公务用车购置费0万元，公务用车运行维护费0万元。</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本单位</w:t>
      </w:r>
      <w:r>
        <w:rPr>
          <w:rFonts w:hint="eastAsia" w:asciiTheme="minorEastAsia" w:hAnsiTheme="minorEastAsia" w:eastAsiaTheme="minorEastAsia" w:cstheme="minorBidi"/>
          <w:color w:val="auto"/>
          <w:kern w:val="2"/>
          <w:sz w:val="32"/>
          <w:szCs w:val="32"/>
        </w:rPr>
        <w:t>2020年</w:t>
      </w:r>
      <w:r>
        <w:rPr>
          <w:rFonts w:asciiTheme="minorEastAsia" w:hAnsiTheme="minorEastAsia" w:eastAsiaTheme="minorEastAsia" w:cstheme="minorBidi"/>
          <w:color w:val="auto"/>
          <w:kern w:val="2"/>
          <w:sz w:val="32"/>
          <w:szCs w:val="32"/>
        </w:rPr>
        <w:t>无政府性基金收入</w:t>
      </w:r>
      <w:r>
        <w:rPr>
          <w:rFonts w:hint="eastAsia" w:asciiTheme="minorEastAsia" w:hAnsiTheme="minorEastAsia" w:eastAsiaTheme="minorEastAsia" w:cstheme="minorBidi"/>
          <w:color w:val="auto"/>
          <w:kern w:val="2"/>
          <w:sz w:val="32"/>
          <w:szCs w:val="32"/>
        </w:rPr>
        <w:t>。</w:t>
      </w:r>
    </w:p>
    <w:p>
      <w:pPr>
        <w:pStyle w:val="10"/>
        <w:rPr>
          <w:rFonts w:hAnsi="黑体"/>
          <w:b/>
          <w:sz w:val="32"/>
          <w:szCs w:val="32"/>
        </w:rPr>
      </w:pPr>
      <w:r>
        <w:rPr>
          <w:rFonts w:hint="eastAsia" w:hAnsi="黑体"/>
          <w:b/>
          <w:sz w:val="32"/>
          <w:szCs w:val="32"/>
        </w:rPr>
        <w:t>九、国有资本经营预算财政拨款支出决算情况</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本单位2020年没有国有资本经营预算财政拨款支出。</w:t>
      </w:r>
    </w:p>
    <w:p>
      <w:pPr>
        <w:pStyle w:val="10"/>
        <w:rPr>
          <w:rFonts w:hAnsi="黑体"/>
          <w:b/>
          <w:sz w:val="32"/>
          <w:szCs w:val="32"/>
        </w:rPr>
      </w:pPr>
      <w:r>
        <w:rPr>
          <w:rFonts w:hint="eastAsia" w:hAnsi="黑体"/>
          <w:b/>
          <w:sz w:val="32"/>
          <w:szCs w:val="32"/>
        </w:rPr>
        <w:t>十、机关运行经费支出说明</w:t>
      </w:r>
    </w:p>
    <w:p>
      <w:pPr>
        <w:ind w:firstLine="640" w:firstLineChars="200"/>
        <w:rPr>
          <w:rFonts w:asciiTheme="minorEastAsia" w:hAnsiTheme="minorEastAsia"/>
          <w:sz w:val="32"/>
          <w:szCs w:val="32"/>
        </w:rPr>
      </w:pPr>
      <w:r>
        <w:rPr>
          <w:rFonts w:hint="eastAsia" w:asciiTheme="minorEastAsia" w:hAnsiTheme="minorEastAsia"/>
          <w:sz w:val="32"/>
          <w:szCs w:val="32"/>
        </w:rPr>
        <w:t>机关运行经费本年支出0.89万元，与上年的4.33万元相比减少3.44递减48.7%。变动原因为本年度支出口径与上年度有差异，划分了专项业务支出，例如三救三献专项，扶贫专项等本年度全列入项目支出。</w:t>
      </w:r>
    </w:p>
    <w:p>
      <w:pPr>
        <w:pStyle w:val="10"/>
        <w:rPr>
          <w:rFonts w:hAnsi="黑体"/>
          <w:b/>
          <w:sz w:val="32"/>
          <w:szCs w:val="32"/>
        </w:rPr>
      </w:pPr>
      <w:r>
        <w:rPr>
          <w:rFonts w:hint="eastAsia" w:hAnsi="黑体"/>
          <w:b/>
          <w:sz w:val="32"/>
          <w:szCs w:val="32"/>
        </w:rPr>
        <w:t>十一、一般性支出情况</w:t>
      </w:r>
    </w:p>
    <w:p>
      <w:pPr>
        <w:ind w:firstLine="640" w:firstLineChars="200"/>
        <w:rPr>
          <w:rFonts w:ascii="仿宋" w:hAnsi="仿宋" w:eastAsia="仿宋" w:cs="黑体"/>
          <w:color w:val="000000"/>
          <w:kern w:val="0"/>
          <w:sz w:val="32"/>
          <w:szCs w:val="32"/>
        </w:rPr>
      </w:pPr>
      <w:r>
        <w:rPr>
          <w:rFonts w:hint="eastAsia" w:asciiTheme="minorEastAsia" w:hAnsiTheme="minorEastAsia"/>
          <w:sz w:val="32"/>
          <w:szCs w:val="32"/>
        </w:rPr>
        <w:t>会议费支出情况：2020年会议费，培训费列入专项业务支出，例如三救三献专项，扶贫专项。未举办节庆、晚会、论坛、赛事等活动</w:t>
      </w:r>
      <w:r>
        <w:rPr>
          <w:rFonts w:hint="eastAsia" w:ascii="仿宋" w:hAnsi="仿宋" w:eastAsia="仿宋" w:cs="黑体"/>
          <w:color w:val="000000"/>
          <w:kern w:val="0"/>
          <w:sz w:val="32"/>
          <w:szCs w:val="32"/>
        </w:rPr>
        <w:t>。</w:t>
      </w:r>
    </w:p>
    <w:p>
      <w:pPr>
        <w:pStyle w:val="10"/>
        <w:rPr>
          <w:rFonts w:hAnsi="黑体"/>
          <w:b/>
          <w:sz w:val="32"/>
          <w:szCs w:val="32"/>
        </w:rPr>
      </w:pPr>
      <w:r>
        <w:rPr>
          <w:rFonts w:hint="eastAsia" w:hAnsi="黑体"/>
          <w:b/>
          <w:sz w:val="32"/>
          <w:szCs w:val="32"/>
        </w:rPr>
        <w:t>十二、关于政府采购支出说明</w:t>
      </w:r>
    </w:p>
    <w:p>
      <w:pPr>
        <w:ind w:firstLine="640" w:firstLineChars="200"/>
        <w:rPr>
          <w:rFonts w:ascii="Times New Roman" w:hAnsi="Times New Roman" w:eastAsia="仿宋_GB2312" w:cs="Times New Roman"/>
          <w:i/>
          <w:color w:val="FF0000"/>
          <w:kern w:val="0"/>
          <w:sz w:val="32"/>
          <w:szCs w:val="32"/>
        </w:rPr>
      </w:pPr>
      <w:r>
        <w:rPr>
          <w:rFonts w:hint="eastAsia" w:asciiTheme="minorEastAsia" w:hAnsiTheme="minorEastAsia"/>
          <w:sz w:val="32"/>
          <w:szCs w:val="32"/>
        </w:rPr>
        <w:t>本年度本单位政府采购支出4.05万元，均为财政拨款支出。</w:t>
      </w:r>
      <w:r>
        <w:rPr>
          <w:rFonts w:asciiTheme="minorEastAsia" w:hAnsiTheme="minorEastAsia"/>
          <w:sz w:val="32"/>
          <w:szCs w:val="32"/>
        </w:rPr>
        <w:t>全部是政府采购货物和服务开支</w:t>
      </w:r>
      <w:r>
        <w:rPr>
          <w:rFonts w:hint="eastAsia" w:ascii="Times New Roman" w:hAnsi="Times New Roman" w:eastAsia="仿宋_GB2312" w:cs="Times New Roman"/>
          <w:color w:val="000000"/>
          <w:kern w:val="0"/>
          <w:sz w:val="32"/>
          <w:szCs w:val="32"/>
        </w:rPr>
        <w:t>，</w:t>
      </w:r>
      <w:r>
        <w:rPr>
          <w:rFonts w:hint="eastAsia" w:asciiTheme="minorEastAsia" w:hAnsiTheme="minorEastAsia"/>
          <w:sz w:val="32"/>
          <w:szCs w:val="32"/>
        </w:rPr>
        <w:t>如办公用品、扶贫物资、救助货物采购支出。</w:t>
      </w:r>
    </w:p>
    <w:p>
      <w:pPr>
        <w:autoSpaceDE w:val="0"/>
        <w:autoSpaceDN w:val="0"/>
        <w:adjustRightInd w:val="0"/>
        <w:spacing w:line="520" w:lineRule="exact"/>
        <w:jc w:val="left"/>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十三、关于国有资产占用情况说明</w:t>
      </w:r>
    </w:p>
    <w:p>
      <w:pPr>
        <w:widowControl/>
        <w:ind w:firstLine="640" w:firstLineChars="200"/>
        <w:jc w:val="left"/>
        <w:rPr>
          <w:rFonts w:asciiTheme="minorEastAsia" w:hAnsiTheme="minorEastAsia"/>
          <w:sz w:val="32"/>
          <w:szCs w:val="32"/>
        </w:rPr>
      </w:pPr>
      <w:r>
        <w:rPr>
          <w:rFonts w:asciiTheme="minorEastAsia" w:hAnsiTheme="minorEastAsia"/>
          <w:sz w:val="32"/>
          <w:szCs w:val="32"/>
        </w:rPr>
        <w:t>截至20</w:t>
      </w:r>
      <w:r>
        <w:rPr>
          <w:rFonts w:hint="eastAsia" w:asciiTheme="minorEastAsia" w:hAnsiTheme="minorEastAsia"/>
          <w:sz w:val="32"/>
          <w:szCs w:val="32"/>
        </w:rPr>
        <w:t>20</w:t>
      </w:r>
      <w:r>
        <w:rPr>
          <w:rFonts w:asciiTheme="minorEastAsia" w:hAnsiTheme="minorEastAsia"/>
          <w:sz w:val="32"/>
          <w:szCs w:val="32"/>
        </w:rPr>
        <w:t>年12月31日，本单位共</w:t>
      </w:r>
      <w:r>
        <w:rPr>
          <w:rFonts w:hint="eastAsia" w:asciiTheme="minorEastAsia" w:hAnsiTheme="minorEastAsia"/>
          <w:sz w:val="32"/>
          <w:szCs w:val="32"/>
        </w:rPr>
        <w:t>无车辆</w:t>
      </w:r>
      <w:r>
        <w:rPr>
          <w:rFonts w:asciiTheme="minorEastAsia" w:hAnsiTheme="minorEastAsia"/>
          <w:sz w:val="32"/>
          <w:szCs w:val="32"/>
        </w:rPr>
        <w:t>；</w:t>
      </w:r>
      <w:r>
        <w:rPr>
          <w:rFonts w:hint="eastAsia" w:asciiTheme="minorEastAsia" w:hAnsiTheme="minorEastAsia"/>
          <w:sz w:val="32"/>
          <w:szCs w:val="32"/>
        </w:rPr>
        <w:t>占用固定资产原值16.31万元，没有价值较大的固定资产，主要资产为办公电脑、打印机等通用设备和办公桌椅、会议桌椅、文件柜等办公家具。</w:t>
      </w:r>
      <w:r>
        <w:rPr>
          <w:rFonts w:asciiTheme="minorEastAsia" w:hAnsiTheme="minorEastAsia"/>
          <w:sz w:val="32"/>
          <w:szCs w:val="32"/>
        </w:rPr>
        <w:t>单位无价值50万元以上通用设备</w:t>
      </w:r>
      <w:r>
        <w:rPr>
          <w:rFonts w:hint="eastAsia" w:asciiTheme="minorEastAsia" w:hAnsiTheme="minorEastAsia"/>
          <w:sz w:val="32"/>
          <w:szCs w:val="32"/>
        </w:rPr>
        <w:t>，单位</w:t>
      </w:r>
      <w:r>
        <w:rPr>
          <w:rFonts w:asciiTheme="minorEastAsia" w:hAnsiTheme="minorEastAsia"/>
          <w:sz w:val="32"/>
          <w:szCs w:val="32"/>
        </w:rPr>
        <w:t>无价值100万元以上专用设备。</w:t>
      </w:r>
    </w:p>
    <w:p>
      <w:pPr>
        <w:pStyle w:val="10"/>
        <w:rPr>
          <w:rFonts w:hAnsi="黑体"/>
          <w:b/>
          <w:sz w:val="32"/>
          <w:szCs w:val="32"/>
        </w:rPr>
      </w:pPr>
      <w:r>
        <w:rPr>
          <w:rFonts w:hint="eastAsia" w:hAnsi="黑体"/>
          <w:b/>
          <w:sz w:val="32"/>
          <w:szCs w:val="32"/>
        </w:rPr>
        <w:t>十四、关于2020年度预算绩效情况说明</w:t>
      </w:r>
    </w:p>
    <w:p>
      <w:pPr>
        <w:widowControl/>
        <w:shd w:val="clear" w:color="auto" w:fill="FFFFFF"/>
        <w:spacing w:before="100" w:beforeAutospacing="1" w:after="100" w:afterAutospacing="1" w:line="450" w:lineRule="atLeast"/>
        <w:ind w:firstLine="320" w:firstLineChars="100"/>
        <w:jc w:val="left"/>
        <w:rPr>
          <w:rFonts w:asciiTheme="minorEastAsia" w:hAnsiTheme="minorEastAsia"/>
          <w:sz w:val="32"/>
          <w:szCs w:val="32"/>
        </w:rPr>
      </w:pPr>
      <w:r>
        <w:rPr>
          <w:rFonts w:hint="eastAsia" w:asciiTheme="minorEastAsia" w:hAnsiTheme="minorEastAsia"/>
          <w:sz w:val="32"/>
          <w:szCs w:val="32"/>
        </w:rPr>
        <w:t>（一）预算绩效管理工作开展情</w:t>
      </w:r>
    </w:p>
    <w:p>
      <w:pPr>
        <w:widowControl/>
        <w:shd w:val="clear" w:color="auto" w:fill="FFFFFF"/>
        <w:spacing w:before="100" w:beforeAutospacing="1" w:after="100" w:afterAutospacing="1" w:line="450" w:lineRule="atLeast"/>
        <w:ind w:firstLine="320" w:firstLineChars="100"/>
        <w:jc w:val="left"/>
        <w:rPr>
          <w:rFonts w:asciiTheme="minorEastAsia" w:hAnsiTheme="minorEastAsia"/>
          <w:sz w:val="32"/>
          <w:szCs w:val="32"/>
        </w:rPr>
      </w:pPr>
      <w:r>
        <w:rPr>
          <w:rFonts w:hint="eastAsia" w:asciiTheme="minorEastAsia" w:hAnsiTheme="minorEastAsia"/>
          <w:sz w:val="32"/>
          <w:szCs w:val="32"/>
        </w:rPr>
        <w:t>根据我会年初工作规划和重点性工作，围绕红十字会中心工作，积极履职，强化管理，通过加强预算收支的管理，不断建立健全内部管理制度，理顺内部管理流程，部门整体支出管理情况得到了提升，财政管理日趋规范，党建工作全面加强，较好的完成了各项目标任务。严格按照省市县各部门的要求，组织开展了2020年度部门整体支出绩效自评，评价结果已向社会公开。</w:t>
      </w:r>
    </w:p>
    <w:p>
      <w:pPr>
        <w:widowControl/>
        <w:jc w:val="left"/>
        <w:rPr>
          <w:rFonts w:asciiTheme="minorEastAsia" w:hAnsiTheme="minorEastAsia"/>
          <w:sz w:val="32"/>
          <w:szCs w:val="32"/>
        </w:rPr>
      </w:pPr>
      <w:r>
        <w:rPr>
          <w:rFonts w:hint="eastAsia" w:asciiTheme="minorEastAsia" w:hAnsiTheme="minorEastAsia"/>
          <w:sz w:val="32"/>
          <w:szCs w:val="32"/>
        </w:rPr>
        <w:t xml:space="preserve">（二）部门整体支出绩效自评结果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cs="黑体" w:asciiTheme="minorEastAsia" w:hAnsiTheme="minorEastAsia"/>
          <w:color w:val="000000"/>
          <w:sz w:val="32"/>
          <w:szCs w:val="32"/>
        </w:rPr>
        <w:t>2020</w:t>
      </w:r>
      <w:r>
        <w:rPr>
          <w:rFonts w:hint="eastAsia" w:cs="黑体" w:asciiTheme="minorEastAsia" w:hAnsiTheme="minorEastAsia"/>
          <w:color w:val="000000"/>
          <w:sz w:val="32"/>
          <w:szCs w:val="32"/>
        </w:rPr>
        <w:t>年，在县委、县政府的坚强领导下，我会坚持以习近平新时代中国特色社会主义思想为指导，认真落实中央和省委</w:t>
      </w:r>
      <w:r>
        <w:rPr>
          <w:rFonts w:hint="eastAsia" w:cs="黑体" w:asciiTheme="minorEastAsia" w:hAnsiTheme="minorEastAsia"/>
          <w:color w:val="000000"/>
          <w:sz w:val="32"/>
          <w:szCs w:val="32"/>
          <w:lang w:val="en-US" w:eastAsia="zh-CN"/>
        </w:rPr>
        <w:t>省</w:t>
      </w:r>
      <w:r>
        <w:rPr>
          <w:rFonts w:hint="eastAsia" w:cs="黑体" w:asciiTheme="minorEastAsia" w:hAnsiTheme="minorEastAsia"/>
          <w:color w:val="000000"/>
          <w:sz w:val="32"/>
          <w:szCs w:val="32"/>
        </w:rPr>
        <w:t>政府及市县重大决策部署，以强化执行力、提升创新力、增强凝聚力为抓手，圆满完成了各项工作任务，在抗击新冠肺炎疫情、常态化疫情防控和社会精神文明建设等方面作出了积极贡献，根据部门整体支出绩效评价指标，部门整体支出绩效得分95.3分。从评价情况来看，预算执行有效，完成情况较好，基本达到预算绩效目标</w:t>
      </w:r>
    </w:p>
    <w:p>
      <w:pPr>
        <w:widowControl/>
        <w:ind w:firstLine="640" w:firstLineChars="200"/>
        <w:jc w:val="left"/>
        <w:rPr>
          <w:rFonts w:asciiTheme="minorEastAsia" w:hAnsiTheme="minorEastAsia"/>
          <w:sz w:val="32"/>
          <w:szCs w:val="32"/>
        </w:rPr>
      </w:pPr>
      <w:r>
        <w:rPr>
          <w:rFonts w:asciiTheme="minorEastAsia" w:hAnsiTheme="minorEastAsia"/>
          <w:sz w:val="32"/>
          <w:szCs w:val="32"/>
        </w:rPr>
        <w:br w:type="page"/>
      </w:r>
    </w:p>
    <w:p>
      <w:pPr>
        <w:widowControl/>
        <w:ind w:firstLine="640" w:firstLineChars="200"/>
        <w:jc w:val="left"/>
        <w:rPr>
          <w:rFonts w:asciiTheme="minorEastAsia" w:hAnsiTheme="minorEastAsia"/>
          <w:sz w:val="32"/>
          <w:szCs w:val="32"/>
        </w:rPr>
      </w:pPr>
    </w:p>
    <w:p>
      <w:pPr>
        <w:widowControl/>
        <w:ind w:firstLine="1600" w:firstLineChars="500"/>
        <w:jc w:val="left"/>
        <w:rPr>
          <w:rFonts w:cs="黑体" w:asciiTheme="minorEastAsia" w:hAnsiTheme="minorEastAsia"/>
          <w:color w:val="000000"/>
          <w:kern w:val="0"/>
          <w:sz w:val="32"/>
          <w:szCs w:val="32"/>
        </w:rPr>
      </w:pPr>
    </w:p>
    <w:p>
      <w:pPr>
        <w:widowControl/>
        <w:ind w:firstLine="1600" w:firstLineChars="500"/>
        <w:jc w:val="left"/>
        <w:rPr>
          <w:rFonts w:cs="黑体" w:asciiTheme="minorEastAsia" w:hAnsiTheme="minorEastAsia"/>
          <w:color w:val="000000"/>
          <w:kern w:val="0"/>
          <w:sz w:val="32"/>
          <w:szCs w:val="32"/>
        </w:rPr>
      </w:pPr>
    </w:p>
    <w:p>
      <w:pPr>
        <w:widowControl/>
        <w:ind w:firstLine="1600" w:firstLineChars="500"/>
        <w:jc w:val="left"/>
        <w:rPr>
          <w:rFonts w:cs="黑体" w:asciiTheme="minorEastAsia" w:hAnsiTheme="minorEastAsia"/>
          <w:color w:val="000000"/>
          <w:kern w:val="0"/>
          <w:sz w:val="32"/>
          <w:szCs w:val="32"/>
        </w:rPr>
      </w:pPr>
    </w:p>
    <w:p>
      <w:pPr>
        <w:widowControl/>
        <w:ind w:firstLine="1600" w:firstLineChars="500"/>
        <w:jc w:val="left"/>
        <w:rPr>
          <w:rFonts w:cs="黑体" w:asciiTheme="minorEastAsia" w:hAnsiTheme="minorEastAsia"/>
          <w:color w:val="000000"/>
          <w:kern w:val="0"/>
          <w:sz w:val="32"/>
          <w:szCs w:val="32"/>
        </w:rPr>
      </w:pPr>
    </w:p>
    <w:p>
      <w:pPr>
        <w:widowControl/>
        <w:ind w:firstLine="1600" w:firstLineChars="500"/>
        <w:jc w:val="left"/>
        <w:rPr>
          <w:rFonts w:cs="黑体" w:asciiTheme="minorEastAsia" w:hAnsiTheme="minorEastAsia"/>
          <w:color w:val="000000"/>
          <w:kern w:val="0"/>
          <w:sz w:val="32"/>
          <w:szCs w:val="32"/>
        </w:rPr>
      </w:pPr>
    </w:p>
    <w:p>
      <w:pPr>
        <w:widowControl/>
        <w:ind w:firstLine="1600" w:firstLineChars="500"/>
        <w:jc w:val="left"/>
        <w:rPr>
          <w:rFonts w:cs="黑体" w:asciiTheme="minorEastAsia" w:hAnsiTheme="minorEastAsia"/>
          <w:color w:val="000000"/>
          <w:kern w:val="0"/>
          <w:sz w:val="32"/>
          <w:szCs w:val="32"/>
        </w:rPr>
      </w:pPr>
    </w:p>
    <w:p>
      <w:pPr>
        <w:widowControl/>
        <w:ind w:firstLine="1600" w:firstLineChars="500"/>
        <w:jc w:val="left"/>
        <w:rPr>
          <w:rFonts w:cs="黑体" w:asciiTheme="minorEastAsia" w:hAnsiTheme="minorEastAsia"/>
          <w:color w:val="000000"/>
          <w:kern w:val="0"/>
          <w:sz w:val="32"/>
          <w:szCs w:val="32"/>
        </w:rPr>
      </w:pPr>
    </w:p>
    <w:p>
      <w:pPr>
        <w:widowControl/>
        <w:ind w:firstLine="3600" w:firstLineChars="500"/>
        <w:jc w:val="left"/>
        <w:rPr>
          <w:rFonts w:ascii="黑体" w:hAnsi="黑体" w:eastAsia="黑体" w:cs="黑体"/>
          <w:color w:val="000000"/>
          <w:kern w:val="0"/>
          <w:sz w:val="72"/>
          <w:szCs w:val="72"/>
        </w:rPr>
      </w:pPr>
      <w:r>
        <w:rPr>
          <w:rFonts w:hint="eastAsia" w:ascii="黑体" w:hAnsi="黑体" w:eastAsia="黑体"/>
          <w:sz w:val="72"/>
          <w:szCs w:val="72"/>
        </w:rPr>
        <w:t>第四部分</w:t>
      </w:r>
    </w:p>
    <w:p>
      <w:pPr>
        <w:jc w:val="center"/>
        <w:rPr>
          <w:rFonts w:ascii="黑体" w:hAnsi="黑体" w:eastAsia="黑体" w:cs="黑体"/>
          <w:color w:val="000000"/>
          <w:kern w:val="0"/>
          <w:sz w:val="72"/>
          <w:szCs w:val="72"/>
        </w:rPr>
      </w:pPr>
    </w:p>
    <w:p>
      <w:pPr>
        <w:jc w:val="center"/>
        <w:rPr>
          <w:rFonts w:ascii="黑体" w:hAnsi="黑体" w:eastAsia="黑体" w:cs="黑体"/>
          <w:color w:val="000000"/>
          <w:kern w:val="0"/>
          <w:sz w:val="72"/>
          <w:szCs w:val="72"/>
        </w:rPr>
      </w:pPr>
      <w:r>
        <w:rPr>
          <w:rFonts w:hint="eastAsia" w:ascii="黑体" w:hAnsi="黑体" w:eastAsia="黑体" w:cs="黑体"/>
          <w:color w:val="000000"/>
          <w:kern w:val="0"/>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5"/>
        <w:shd w:val="clear" w:color="auto" w:fill="FFFFFF"/>
        <w:spacing w:beforeAutospacing="0" w:afterAutospacing="0"/>
        <w:ind w:firstLine="1280" w:firstLineChars="400"/>
        <w:rPr>
          <w:rFonts w:cs="黑体" w:asciiTheme="minorEastAsia" w:hAnsiTheme="minorEastAsia"/>
          <w:color w:val="000000"/>
          <w:sz w:val="32"/>
          <w:szCs w:val="32"/>
        </w:rPr>
      </w:pPr>
      <w:r>
        <w:rPr>
          <w:rFonts w:hint="eastAsia" w:cs="黑体" w:asciiTheme="minorEastAsia" w:hAnsiTheme="minorEastAsia"/>
          <w:color w:val="000000"/>
          <w:sz w:val="32"/>
          <w:szCs w:val="32"/>
        </w:rPr>
        <w:t>一、财政拨款收入：指财政部门核拨给单位的财政预算资金。</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二、事业收入：指事业单位开展专业业务活动及辅助活动所取得的收入。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三、附属单位上缴收入：指事业单位附属独立核算单位按有关规定上缴的收入。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四、其他收入：指单位取得的除上述“财政拨款收入”、“事业收入”、“附属单位上缴收入”等以外的收入。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五、年初结转和结余：指以前年度尚未完成、结转到本年仍按有关规定继续使用的资金。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七、结余分配：指事业单位按规定提取的职工福利基金、事业基金和缴纳的所得税，以及建设单位按规定应交回的基本建设竣工项目结余资金。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八、年末结转和结余：指本年度或以前年度预算安排、因客观条件发生变化无法按原计划实施，需延迟到以后年度按有关规定继续使用的资金。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九、基本支出：指为保障机构正常运转、完成日常工作任务而发生的人员支出和公用支出。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十、项目支出：指在基本支出之外，为完成特定行政任务和事业发展目标所发生的支出。 </w:t>
      </w:r>
    </w:p>
    <w:p>
      <w:pPr>
        <w:pStyle w:val="5"/>
        <w:shd w:val="clear" w:color="auto" w:fill="FFFFFF"/>
        <w:spacing w:beforeAutospacing="0" w:afterAutospacing="0"/>
        <w:ind w:firstLine="640" w:firstLineChars="200"/>
        <w:rPr>
          <w:rFonts w:cs="黑体" w:asciiTheme="minorEastAsia" w:hAnsiTheme="minorEastAsia"/>
          <w:color w:val="000000"/>
          <w:sz w:val="32"/>
          <w:szCs w:val="32"/>
        </w:rPr>
      </w:pPr>
      <w:r>
        <w:rPr>
          <w:rFonts w:hint="eastAsia" w:cs="黑体" w:asciiTheme="minorEastAsia" w:hAnsiTheme="minorEastAsia"/>
          <w:color w:val="000000"/>
          <w:sz w:val="32"/>
          <w:szCs w:val="32"/>
        </w:rPr>
        <w:t xml:space="preserve">    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5"/>
        <w:shd w:val="clear" w:color="auto" w:fill="FFFFFF"/>
        <w:spacing w:beforeAutospacing="0" w:afterAutospacing="0"/>
        <w:ind w:firstLine="640" w:firstLineChars="200"/>
        <w:rPr>
          <w:rFonts w:asciiTheme="minorEastAsia" w:hAnsiTheme="minorEastAsia"/>
          <w:i/>
          <w:color w:val="FF0000"/>
          <w:sz w:val="32"/>
          <w:szCs w:val="32"/>
        </w:rPr>
      </w:pPr>
      <w:r>
        <w:rPr>
          <w:rFonts w:hint="eastAsia" w:cs="黑体" w:asciiTheme="minorEastAsia" w:hAnsiTheme="minorEastAsia"/>
          <w:color w:val="000000"/>
          <w:sz w:val="32"/>
          <w:szCs w:val="32"/>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333333"/>
          <w:sz w:val="28"/>
          <w:szCs w:val="28"/>
        </w:rPr>
        <w:t> </w:t>
      </w: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ind w:firstLine="3600" w:firstLineChars="500"/>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spacing w:line="560" w:lineRule="exact"/>
        <w:jc w:val="center"/>
        <w:rPr>
          <w:rFonts w:ascii="宋体" w:hAnsi="宋体" w:eastAsia="宋体" w:cs="Times New Roman"/>
          <w:b/>
          <w:sz w:val="44"/>
          <w:szCs w:val="44"/>
        </w:rPr>
      </w:pPr>
      <w:r>
        <w:rPr>
          <w:rFonts w:hint="eastAsia" w:ascii="宋体" w:hAnsi="宋体" w:eastAsia="宋体" w:cs="Times New Roman"/>
          <w:b/>
          <w:sz w:val="44"/>
          <w:szCs w:val="44"/>
        </w:rPr>
        <w:t>衡南县红十字会整体支出绩效评价报告</w:t>
      </w:r>
    </w:p>
    <w:p>
      <w:pPr>
        <w:spacing w:line="560" w:lineRule="exact"/>
        <w:ind w:firstLine="640" w:firstLineChars="200"/>
        <w:rPr>
          <w:rFonts w:ascii="仿宋_GB2312" w:hAnsi="Calibri" w:eastAsia="仿宋_GB2312" w:cs="Times New Roman"/>
          <w:sz w:val="32"/>
          <w:szCs w:val="32"/>
        </w:rPr>
      </w:pP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为了认真贯彻落实《中共湖南省委湖南省人民政府关于开展政府绩效评估工作的通知》、《湖南省人民政府关于全面推进预算绩效管理的意见》精神，切实做好县财政局安排的〈衡南县预算绩效管理工作考核办法〉，现将衡南县红十字会20</w:t>
      </w:r>
      <w:r>
        <w:rPr>
          <w:rFonts w:cs="Times New Roman" w:asciiTheme="minorEastAsia" w:hAnsiTheme="minorEastAsia"/>
          <w:sz w:val="32"/>
          <w:szCs w:val="32"/>
        </w:rPr>
        <w:t>20</w:t>
      </w:r>
      <w:r>
        <w:rPr>
          <w:rFonts w:hint="eastAsia" w:cs="Times New Roman" w:asciiTheme="minorEastAsia" w:hAnsiTheme="minorEastAsia"/>
          <w:sz w:val="32"/>
          <w:szCs w:val="32"/>
        </w:rPr>
        <w:t xml:space="preserve">年度预算管理绩效工作自评报告如下：          </w:t>
      </w:r>
    </w:p>
    <w:p>
      <w:pPr>
        <w:numPr>
          <w:ilvl w:val="0"/>
          <w:numId w:val="2"/>
        </w:numPr>
        <w:spacing w:line="560" w:lineRule="exact"/>
        <w:ind w:firstLine="640" w:firstLineChars="200"/>
        <w:rPr>
          <w:rFonts w:ascii="迷你简黑体" w:hAnsi="迷你简黑体" w:eastAsia="迷你简黑体" w:cs="迷你简黑体"/>
          <w:sz w:val="32"/>
          <w:szCs w:val="32"/>
        </w:rPr>
      </w:pPr>
      <w:r>
        <w:rPr>
          <w:rFonts w:hint="eastAsia" w:ascii="迷你简黑体" w:hAnsi="迷你简黑体" w:eastAsia="迷你简黑体" w:cs="迷你简黑体"/>
          <w:sz w:val="32"/>
          <w:szCs w:val="32"/>
        </w:rPr>
        <w:t>基本情况</w:t>
      </w:r>
    </w:p>
    <w:p>
      <w:pPr>
        <w:spacing w:line="560" w:lineRule="exact"/>
        <w:rPr>
          <w:rFonts w:cs="迷你简黑体" w:asciiTheme="minorEastAsia" w:hAnsiTheme="minorEastAsia"/>
          <w:sz w:val="32"/>
          <w:szCs w:val="32"/>
        </w:rPr>
      </w:pPr>
      <w:r>
        <w:rPr>
          <w:rFonts w:hint="eastAsia" w:cs="Times New Roman" w:asciiTheme="minorEastAsia" w:hAnsiTheme="minorEastAsia"/>
          <w:sz w:val="32"/>
          <w:szCs w:val="32"/>
        </w:rPr>
        <w:t>衡南县红十字会为全额财政拨款单位，纳入财政预算和国库集中支付体系，财务制度执行《事业单位会计制度》。</w:t>
      </w:r>
    </w:p>
    <w:p>
      <w:pPr>
        <w:spacing w:line="56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（一）机构设置情况</w:t>
      </w:r>
    </w:p>
    <w:p>
      <w:pPr>
        <w:spacing w:line="600" w:lineRule="exact"/>
        <w:ind w:firstLine="640" w:firstLineChars="200"/>
        <w:rPr>
          <w:rFonts w:cs="Times New Roman" w:asciiTheme="minorEastAsia" w:hAnsiTheme="minorEastAsia"/>
          <w:b/>
          <w:sz w:val="32"/>
          <w:szCs w:val="32"/>
        </w:rPr>
      </w:pPr>
      <w:r>
        <w:rPr>
          <w:rFonts w:hint="eastAsia" w:cs="仿宋_GB2312" w:asciiTheme="minorEastAsia" w:hAnsiTheme="minorEastAsia"/>
          <w:sz w:val="32"/>
          <w:szCs w:val="32"/>
        </w:rPr>
        <w:t xml:space="preserve"> 我会设</w:t>
      </w:r>
      <w:r>
        <w:rPr>
          <w:rFonts w:hint="eastAsia" w:cs="Times New Roman" w:asciiTheme="minorEastAsia" w:hAnsiTheme="minorEastAsia"/>
          <w:sz w:val="32"/>
          <w:szCs w:val="32"/>
        </w:rPr>
        <w:t>办公室、财务室、赈济救护部、社会服务部相关部门及股室</w:t>
      </w:r>
      <w:r>
        <w:rPr>
          <w:rFonts w:hint="eastAsia" w:cs="仿宋_GB2312" w:asciiTheme="minorEastAsia" w:hAnsiTheme="minorEastAsia"/>
          <w:sz w:val="32"/>
          <w:szCs w:val="32"/>
        </w:rPr>
        <w:t>，截止2020年底全部实有人员共计10人，其中在职8人，退休2人。</w:t>
      </w:r>
    </w:p>
    <w:p>
      <w:pPr>
        <w:spacing w:line="56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（二）主要工作职责</w:t>
      </w:r>
    </w:p>
    <w:p>
      <w:pPr>
        <w:spacing w:line="600" w:lineRule="exact"/>
        <w:ind w:firstLine="480" w:firstLineChars="150"/>
        <w:rPr>
          <w:rFonts w:cs="Times New Roman" w:asciiTheme="minorEastAsia" w:hAnsiTheme="minorEastAsia"/>
          <w:sz w:val="32"/>
          <w:szCs w:val="32"/>
        </w:rPr>
      </w:pPr>
      <w:r>
        <w:rPr>
          <w:rFonts w:hint="eastAsia" w:cs="Times New Roman" w:asciiTheme="minorEastAsia" w:hAnsiTheme="minorEastAsia"/>
          <w:sz w:val="32"/>
          <w:szCs w:val="32"/>
        </w:rPr>
        <w:t xml:space="preserve"> 1.宣传、执行《中华人民共和国红十字</w:t>
      </w:r>
      <w:r>
        <w:rPr>
          <w:rFonts w:hint="eastAsia" w:cs="Times New Roman" w:asciiTheme="minorEastAsia" w:hAnsiTheme="minorEastAsia"/>
          <w:sz w:val="32"/>
          <w:szCs w:val="32"/>
          <w:lang w:val="en-US" w:eastAsia="zh-CN"/>
        </w:rPr>
        <w:t>会</w:t>
      </w:r>
      <w:r>
        <w:rPr>
          <w:rFonts w:hint="eastAsia" w:cs="Times New Roman" w:asciiTheme="minorEastAsia" w:hAnsiTheme="minorEastAsia"/>
          <w:sz w:val="32"/>
          <w:szCs w:val="32"/>
        </w:rPr>
        <w:t>法》、《湖南省实施中华人民共和国红十字</w:t>
      </w:r>
      <w:r>
        <w:rPr>
          <w:rFonts w:hint="eastAsia" w:cs="Times New Roman" w:asciiTheme="minorEastAsia" w:hAnsiTheme="minorEastAsia"/>
          <w:sz w:val="32"/>
          <w:szCs w:val="32"/>
          <w:lang w:val="en-US" w:eastAsia="zh-CN"/>
        </w:rPr>
        <w:t>会</w:t>
      </w:r>
      <w:r>
        <w:rPr>
          <w:rFonts w:hint="eastAsia" w:cs="Times New Roman" w:asciiTheme="minorEastAsia" w:hAnsiTheme="minorEastAsia"/>
          <w:sz w:val="32"/>
          <w:szCs w:val="32"/>
        </w:rPr>
        <w:t>法办法》等法律法规。</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2.开展卫生救护培训、防病知识的宣传普及工作，组织动员群众参加意外伤害和自然灾害的现场救护。</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3.开展救灾备灾工作，参加兴建和管理救灾备灾设施，在自然灾害和突发事件中开展救护救援和救助，争取国内外组织和个人的捐助，及时向灾区群众和受难者提供急需的人道主义救助。</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4.宣传无偿献血和造血干细胞，组织管理器官移植和遗体捐献工作。</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5.负责管理和发展红十字会会员、志愿工作者，组织并开展符合红十字会宗旨的社会服务工作。</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6.依法开展社会募捐活动。</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7.组织红十字青少年开展建设社会主义精神文明和弘扬人道主义的活动。</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8.举办符合红十字会宗旨的社会福利事业和经济实体。</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9.按照国家有关规定开展与国内、境外、国外红十字会的交流与合作。</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10.承办县人民政府委托的其他有关事项。</w:t>
      </w:r>
    </w:p>
    <w:p>
      <w:pPr>
        <w:numPr>
          <w:ilvl w:val="0"/>
          <w:numId w:val="2"/>
        </w:numPr>
        <w:spacing w:line="560" w:lineRule="exact"/>
        <w:ind w:firstLine="640" w:firstLineChars="200"/>
        <w:rPr>
          <w:rFonts w:ascii="迷你简黑体" w:hAnsi="迷你简黑体" w:eastAsia="迷你简黑体" w:cs="迷你简黑体"/>
          <w:sz w:val="32"/>
          <w:szCs w:val="32"/>
        </w:rPr>
      </w:pPr>
      <w:r>
        <w:rPr>
          <w:rFonts w:hint="eastAsia" w:ascii="迷你简黑体" w:hAnsi="迷你简黑体" w:eastAsia="迷你简黑体" w:cs="迷你简黑体"/>
          <w:sz w:val="32"/>
          <w:szCs w:val="32"/>
        </w:rPr>
        <w:t>部门整体支出管理及使用情况</w:t>
      </w:r>
    </w:p>
    <w:p>
      <w:pPr>
        <w:spacing w:line="56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（一）</w:t>
      </w:r>
      <w:r>
        <w:rPr>
          <w:rFonts w:hint="eastAsia" w:cs="仿宋" w:asciiTheme="minorEastAsia" w:hAnsiTheme="minorEastAsia"/>
          <w:bCs/>
          <w:sz w:val="32"/>
          <w:szCs w:val="32"/>
        </w:rPr>
        <w:t>部门整体</w:t>
      </w:r>
      <w:r>
        <w:rPr>
          <w:rFonts w:hint="eastAsia" w:cs="Times New Roman" w:asciiTheme="minorEastAsia" w:hAnsiTheme="minorEastAsia"/>
          <w:sz w:val="32"/>
          <w:szCs w:val="32"/>
        </w:rPr>
        <w:t>支出管理情况</w:t>
      </w:r>
    </w:p>
    <w:p>
      <w:pPr>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我会</w:t>
      </w:r>
      <w:r>
        <w:rPr>
          <w:rFonts w:cs="Times New Roman" w:asciiTheme="minorEastAsia" w:hAnsiTheme="minorEastAsia"/>
          <w:sz w:val="32"/>
          <w:szCs w:val="32"/>
        </w:rPr>
        <w:t>202</w:t>
      </w:r>
      <w:r>
        <w:rPr>
          <w:rFonts w:hint="eastAsia" w:cs="Times New Roman" w:asciiTheme="minorEastAsia" w:hAnsiTheme="minorEastAsia"/>
          <w:sz w:val="32"/>
          <w:szCs w:val="32"/>
        </w:rPr>
        <w:t>0</w:t>
      </w:r>
      <w:r>
        <w:rPr>
          <w:rFonts w:cs="Times New Roman" w:asciiTheme="minorEastAsia" w:hAnsiTheme="minorEastAsia"/>
          <w:sz w:val="32"/>
          <w:szCs w:val="32"/>
        </w:rPr>
        <w:t>年年初预算数</w:t>
      </w:r>
      <w:r>
        <w:rPr>
          <w:rFonts w:hint="eastAsia" w:cs="Times New Roman" w:asciiTheme="minorEastAsia" w:hAnsiTheme="minorEastAsia"/>
          <w:sz w:val="32"/>
          <w:szCs w:val="32"/>
        </w:rPr>
        <w:t>135.52万元。其中</w:t>
      </w:r>
      <w:r>
        <w:rPr>
          <w:rFonts w:cs="Times New Roman" w:asciiTheme="minorEastAsia" w:hAnsiTheme="minorEastAsia"/>
          <w:sz w:val="32"/>
          <w:szCs w:val="32"/>
        </w:rPr>
        <w:t>基本支出年初预算数为 71.52 万元（含工资福利支出、日常商品和服务支出、对个人和家庭的补助）,系保障我单位机构正常运转，完成日常工作任务而发生的各项支出,包括 用于在职人员基本工资、津贴补贴等人员经费以及办公费、印刷费、 邮电费、办公设备购置等日常公用经费</w:t>
      </w:r>
      <w:r>
        <w:rPr>
          <w:rFonts w:hint="eastAsia" w:cs="Times New Roman" w:asciiTheme="minorEastAsia" w:hAnsiTheme="minorEastAsia"/>
          <w:sz w:val="32"/>
          <w:szCs w:val="32"/>
        </w:rPr>
        <w:t>。项目支出年初预算数64万元：包括开展无偿献血工作、救灾备灾应急救援工作、救护技能培训工作、帮困援助、人道救助、造血干细胞移植；器官移植及遗体捐赠等工作支出。</w:t>
      </w:r>
    </w:p>
    <w:p>
      <w:pPr>
        <w:spacing w:line="600" w:lineRule="exact"/>
        <w:ind w:firstLine="640" w:firstLineChars="200"/>
        <w:rPr>
          <w:rFonts w:cs="Times New Roman" w:asciiTheme="minorEastAsia" w:hAnsiTheme="minorEastAsia"/>
          <w:sz w:val="32"/>
          <w:szCs w:val="32"/>
        </w:rPr>
      </w:pPr>
    </w:p>
    <w:p>
      <w:pPr>
        <w:ind w:firstLine="800" w:firstLineChars="250"/>
        <w:rPr>
          <w:rFonts w:cs="仿宋" w:asciiTheme="minorEastAsia" w:hAnsiTheme="minorEastAsia"/>
          <w:bCs/>
          <w:sz w:val="32"/>
          <w:szCs w:val="32"/>
        </w:rPr>
      </w:pPr>
      <w:r>
        <w:rPr>
          <w:rFonts w:hint="eastAsia" w:cs="Times New Roman" w:asciiTheme="minorEastAsia" w:hAnsiTheme="minorEastAsia"/>
          <w:sz w:val="32"/>
          <w:szCs w:val="32"/>
        </w:rPr>
        <w:t>（二）</w:t>
      </w:r>
      <w:r>
        <w:rPr>
          <w:rFonts w:hint="eastAsia" w:cs="仿宋" w:asciiTheme="minorEastAsia" w:hAnsiTheme="minorEastAsia"/>
          <w:bCs/>
          <w:sz w:val="32"/>
          <w:szCs w:val="32"/>
        </w:rPr>
        <w:t>部门整体支出经费使用情况</w:t>
      </w:r>
    </w:p>
    <w:p>
      <w:pPr>
        <w:ind w:firstLine="800" w:firstLineChars="250"/>
        <w:rPr>
          <w:rFonts w:cs="仿宋" w:asciiTheme="minorEastAsia" w:hAnsiTheme="minorEastAsia"/>
          <w:sz w:val="32"/>
          <w:szCs w:val="32"/>
        </w:rPr>
      </w:pPr>
      <w:r>
        <w:rPr>
          <w:rFonts w:hint="eastAsia" w:cs="仿宋" w:asciiTheme="minorEastAsia" w:hAnsiTheme="minorEastAsia"/>
          <w:sz w:val="32"/>
          <w:szCs w:val="32"/>
        </w:rPr>
        <w:t>2020年全年单位部门整体支出155.62万元，其中基本支出87.62万元，项目支出68万元。</w:t>
      </w:r>
    </w:p>
    <w:p>
      <w:pPr>
        <w:numPr>
          <w:ilvl w:val="0"/>
          <w:numId w:val="3"/>
        </w:numPr>
        <w:ind w:firstLine="800"/>
        <w:rPr>
          <w:rFonts w:cs="仿宋" w:asciiTheme="minorEastAsia" w:hAnsiTheme="minorEastAsia"/>
          <w:bCs/>
          <w:sz w:val="32"/>
          <w:szCs w:val="32"/>
        </w:rPr>
      </w:pPr>
      <w:r>
        <w:rPr>
          <w:rFonts w:hint="eastAsia" w:cs="仿宋" w:asciiTheme="minorEastAsia" w:hAnsiTheme="minorEastAsia"/>
          <w:bCs/>
          <w:sz w:val="32"/>
          <w:szCs w:val="32"/>
        </w:rPr>
        <w:t>基本支出使用情况：</w:t>
      </w:r>
    </w:p>
    <w:p>
      <w:pPr>
        <w:rPr>
          <w:rFonts w:cs="Times New Roman" w:asciiTheme="minorEastAsia" w:hAnsiTheme="minorEastAsia"/>
          <w:sz w:val="32"/>
          <w:szCs w:val="32"/>
        </w:rPr>
      </w:pPr>
      <w:r>
        <w:rPr>
          <w:rFonts w:hint="eastAsia" w:cs="仿宋" w:asciiTheme="minorEastAsia" w:hAnsiTheme="minorEastAsia"/>
          <w:sz w:val="32"/>
          <w:szCs w:val="32"/>
        </w:rPr>
        <w:t xml:space="preserve">     2</w:t>
      </w:r>
      <w:r>
        <w:rPr>
          <w:rFonts w:hint="eastAsia" w:cs="Times New Roman" w:asciiTheme="minorEastAsia" w:hAnsiTheme="minorEastAsia"/>
          <w:sz w:val="32"/>
          <w:szCs w:val="32"/>
        </w:rPr>
        <w:t>020年基本支出为87.62万元，系保障我单位机构正常运转，完成日常工作任务而发生的各项支出，包括用于在职基本工资、津贴补贴等人员经费以及办公费、印刷费、水电费、办公设备购置等日常公用经费。</w:t>
      </w:r>
    </w:p>
    <w:p>
      <w:pPr>
        <w:numPr>
          <w:ilvl w:val="0"/>
          <w:numId w:val="3"/>
        </w:numPr>
        <w:spacing w:line="520" w:lineRule="exact"/>
        <w:ind w:firstLine="800"/>
        <w:rPr>
          <w:rFonts w:cs="仿宋" w:asciiTheme="minorEastAsia" w:hAnsiTheme="minorEastAsia"/>
          <w:bCs/>
          <w:sz w:val="32"/>
          <w:szCs w:val="32"/>
        </w:rPr>
      </w:pPr>
      <w:r>
        <w:rPr>
          <w:rFonts w:hint="eastAsia" w:cs="Times New Roman" w:asciiTheme="minorEastAsia" w:hAnsiTheme="minorEastAsia"/>
          <w:bCs/>
          <w:sz w:val="32"/>
          <w:szCs w:val="32"/>
        </w:rPr>
        <w:t>项目支出使用情况：</w:t>
      </w:r>
    </w:p>
    <w:p>
      <w:pPr>
        <w:spacing w:line="520" w:lineRule="exact"/>
        <w:rPr>
          <w:rFonts w:cs="Times New Roman" w:asciiTheme="minorEastAsia" w:hAnsiTheme="minorEastAsia"/>
          <w:sz w:val="32"/>
          <w:szCs w:val="32"/>
        </w:rPr>
      </w:pPr>
      <w:r>
        <w:rPr>
          <w:rFonts w:hint="eastAsia" w:cs="Times New Roman" w:asciiTheme="minorEastAsia" w:hAnsiTheme="minorEastAsia"/>
          <w:sz w:val="32"/>
          <w:szCs w:val="32"/>
        </w:rPr>
        <w:t xml:space="preserve">     2020年项目经费支出为68万元，</w:t>
      </w:r>
      <w:r>
        <w:rPr>
          <w:rFonts w:cs="Times New Roman" w:asciiTheme="minorEastAsia" w:hAnsiTheme="minorEastAsia"/>
          <w:sz w:val="32"/>
          <w:szCs w:val="32"/>
        </w:rPr>
        <w:t>是指单位为完成特定工作任务或事业发展目标而发生的支出。包括开展无偿献血工作的支出</w:t>
      </w:r>
      <w:r>
        <w:rPr>
          <w:rFonts w:hint="eastAsia" w:cs="Times New Roman" w:asciiTheme="minorEastAsia" w:hAnsiTheme="minorEastAsia"/>
          <w:sz w:val="32"/>
          <w:szCs w:val="32"/>
        </w:rPr>
        <w:t>；</w:t>
      </w:r>
      <w:r>
        <w:rPr>
          <w:rFonts w:cs="Times New Roman" w:asciiTheme="minorEastAsia" w:hAnsiTheme="minorEastAsia"/>
          <w:sz w:val="32"/>
          <w:szCs w:val="32"/>
        </w:rPr>
        <w:t>救灾备灾应急救援工作的支出；救护技能培训工作的支出；帮困援助、人道救助的支出；造血干细胞运作的支出；器官移植及遗体捐赠工作的支出</w:t>
      </w:r>
      <w:r>
        <w:rPr>
          <w:rFonts w:hint="eastAsia" w:cs="Times New Roman" w:asciiTheme="minorEastAsia" w:hAnsiTheme="minorEastAsia"/>
          <w:sz w:val="32"/>
          <w:szCs w:val="32"/>
        </w:rPr>
        <w:t>；</w:t>
      </w:r>
      <w:r>
        <w:rPr>
          <w:rFonts w:cs="Times New Roman" w:asciiTheme="minorEastAsia" w:hAnsiTheme="minorEastAsia"/>
          <w:sz w:val="32"/>
          <w:szCs w:val="32"/>
        </w:rPr>
        <w:t>扶贫工作的支出</w:t>
      </w:r>
      <w:r>
        <w:rPr>
          <w:rFonts w:hint="eastAsia" w:cs="Times New Roman" w:asciiTheme="minorEastAsia" w:hAnsiTheme="minorEastAsia"/>
          <w:sz w:val="32"/>
          <w:szCs w:val="32"/>
        </w:rPr>
        <w:t>；</w:t>
      </w:r>
      <w:r>
        <w:rPr>
          <w:rFonts w:cs="Times New Roman" w:asciiTheme="minorEastAsia" w:hAnsiTheme="minorEastAsia"/>
          <w:sz w:val="32"/>
          <w:szCs w:val="32"/>
        </w:rPr>
        <w:t>新冠疫情防控工作的支出</w:t>
      </w:r>
      <w:r>
        <w:rPr>
          <w:rFonts w:hint="eastAsia" w:cs="Times New Roman" w:asciiTheme="minorEastAsia" w:hAnsiTheme="minorEastAsia"/>
          <w:sz w:val="32"/>
          <w:szCs w:val="32"/>
        </w:rPr>
        <w:t>。</w:t>
      </w:r>
    </w:p>
    <w:p>
      <w:pPr>
        <w:spacing w:line="560" w:lineRule="exact"/>
        <w:ind w:firstLine="480" w:firstLineChars="150"/>
        <w:rPr>
          <w:rFonts w:cs="Times New Roman" w:asciiTheme="minorEastAsia" w:hAnsiTheme="minorEastAsia"/>
          <w:sz w:val="32"/>
          <w:szCs w:val="32"/>
        </w:rPr>
      </w:pPr>
      <w:r>
        <w:rPr>
          <w:rFonts w:hint="eastAsia" w:cs="Times New Roman" w:asciiTheme="minorEastAsia" w:hAnsiTheme="minorEastAsia"/>
          <w:sz w:val="32"/>
          <w:szCs w:val="32"/>
        </w:rPr>
        <w:t>（三）“三公”经费支出使用和管理情况</w:t>
      </w:r>
    </w:p>
    <w:p>
      <w:pPr>
        <w:ind w:firstLine="640" w:firstLineChars="200"/>
        <w:rPr>
          <w:rFonts w:ascii="Calibri" w:hAnsi="Calibri" w:eastAsia="仿宋_GB2312" w:cs="Times New Roman"/>
          <w:sz w:val="32"/>
          <w:szCs w:val="32"/>
        </w:rPr>
      </w:pPr>
      <w:r>
        <w:rPr>
          <w:rFonts w:hint="eastAsia" w:cs="Times New Roman" w:asciiTheme="minorEastAsia" w:hAnsiTheme="minorEastAsia"/>
          <w:sz w:val="32"/>
          <w:szCs w:val="32"/>
        </w:rPr>
        <w:t>我会“三公”经费各费用均控制在预算范围内，且较预算金额有不同程度的结余（其中：因公出国出境费用本年未发生经费支出；我会已纳入公务用车改革本年未发生经费支出）。公务接待费年初预算为1万元，实际支出</w:t>
      </w:r>
      <w:r>
        <w:rPr>
          <w:rFonts w:cs="Times New Roman" w:asciiTheme="minorEastAsia" w:hAnsiTheme="minorEastAsia"/>
          <w:sz w:val="32"/>
          <w:szCs w:val="32"/>
        </w:rPr>
        <w:t>0</w:t>
      </w:r>
      <w:r>
        <w:rPr>
          <w:rFonts w:hint="eastAsia" w:cs="Times New Roman" w:asciiTheme="minorEastAsia" w:hAnsiTheme="minorEastAsia"/>
          <w:sz w:val="32"/>
          <w:szCs w:val="32"/>
        </w:rPr>
        <w:t>.89万元，且较预算金额下降达11%，励行节约效果明显。</w:t>
      </w:r>
    </w:p>
    <w:p>
      <w:pPr>
        <w:spacing w:line="560" w:lineRule="exact"/>
        <w:ind w:firstLine="480" w:firstLineChars="150"/>
        <w:rPr>
          <w:rFonts w:ascii="迷你简黑体" w:hAnsi="迷你简黑体" w:eastAsia="迷你简黑体" w:cs="迷你简黑体"/>
          <w:sz w:val="32"/>
          <w:szCs w:val="32"/>
        </w:rPr>
      </w:pPr>
      <w:r>
        <w:rPr>
          <w:rFonts w:hint="eastAsia" w:ascii="迷你简黑体" w:hAnsi="迷你简黑体" w:eastAsia="迷你简黑体" w:cs="迷你简黑体"/>
          <w:sz w:val="32"/>
          <w:szCs w:val="32"/>
        </w:rPr>
        <w:t>三、部门整体支出绩效情况</w:t>
      </w:r>
    </w:p>
    <w:p>
      <w:pPr>
        <w:adjustRightInd w:val="0"/>
        <w:snapToGrid w:val="0"/>
        <w:spacing w:line="600" w:lineRule="exact"/>
        <w:ind w:firstLine="480" w:firstLineChars="150"/>
        <w:rPr>
          <w:rFonts w:cs="Times New Roman" w:asciiTheme="minorEastAsia" w:hAnsiTheme="minorEastAsia"/>
          <w:sz w:val="32"/>
          <w:szCs w:val="32"/>
        </w:rPr>
      </w:pPr>
      <w:r>
        <w:rPr>
          <w:rFonts w:hint="eastAsia" w:cs="Times New Roman" w:asciiTheme="minorEastAsia" w:hAnsiTheme="minorEastAsia"/>
          <w:sz w:val="32"/>
          <w:szCs w:val="32"/>
        </w:rPr>
        <w:t>20</w:t>
      </w:r>
      <w:r>
        <w:rPr>
          <w:rFonts w:cs="Times New Roman" w:asciiTheme="minorEastAsia" w:hAnsiTheme="minorEastAsia"/>
          <w:sz w:val="32"/>
          <w:szCs w:val="32"/>
        </w:rPr>
        <w:t>20</w:t>
      </w:r>
      <w:r>
        <w:rPr>
          <w:rFonts w:hint="eastAsia" w:cs="Times New Roman" w:asciiTheme="minorEastAsia" w:hAnsiTheme="minorEastAsia"/>
          <w:sz w:val="32"/>
          <w:szCs w:val="32"/>
        </w:rPr>
        <w:t>年我会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ind w:firstLine="630"/>
        <w:rPr>
          <w:rFonts w:cs="Times New Roman" w:asciiTheme="minorEastAsia" w:hAnsiTheme="minorEastAsia"/>
          <w:sz w:val="32"/>
          <w:szCs w:val="32"/>
        </w:rPr>
      </w:pPr>
      <w:r>
        <w:rPr>
          <w:rFonts w:hint="eastAsia" w:cs="Times New Roman" w:asciiTheme="minorEastAsia" w:hAnsiTheme="minorEastAsia"/>
          <w:sz w:val="32"/>
          <w:szCs w:val="32"/>
        </w:rPr>
        <w:t>1、在职人员控制率：100%</w:t>
      </w:r>
    </w:p>
    <w:p>
      <w:pPr>
        <w:ind w:firstLine="630"/>
        <w:rPr>
          <w:rFonts w:cs="Times New Roman" w:asciiTheme="minorEastAsia" w:hAnsiTheme="minorEastAsia"/>
          <w:sz w:val="32"/>
          <w:szCs w:val="32"/>
        </w:rPr>
      </w:pPr>
      <w:r>
        <w:rPr>
          <w:rFonts w:hint="eastAsia" w:cs="Times New Roman" w:asciiTheme="minorEastAsia" w:hAnsiTheme="minorEastAsia"/>
          <w:sz w:val="32"/>
          <w:szCs w:val="32"/>
        </w:rPr>
        <w:t>2、“三公经费”控制率：100%。严格控制“三公经费”支出，开源节流。20</w:t>
      </w:r>
      <w:r>
        <w:rPr>
          <w:rFonts w:cs="Times New Roman" w:asciiTheme="minorEastAsia" w:hAnsiTheme="minorEastAsia"/>
          <w:sz w:val="32"/>
          <w:szCs w:val="32"/>
        </w:rPr>
        <w:t>20</w:t>
      </w:r>
      <w:r>
        <w:rPr>
          <w:rFonts w:hint="eastAsia" w:cs="Times New Roman" w:asciiTheme="minorEastAsia" w:hAnsiTheme="minorEastAsia"/>
          <w:sz w:val="32"/>
          <w:szCs w:val="32"/>
        </w:rPr>
        <w:t>年我会“三公经费”控制数为1万元，实际支出为0.89万元。</w:t>
      </w:r>
    </w:p>
    <w:p>
      <w:pPr>
        <w:ind w:firstLine="630"/>
        <w:rPr>
          <w:rFonts w:cs="Times New Roman" w:asciiTheme="minorEastAsia" w:hAnsiTheme="minorEastAsia"/>
          <w:sz w:val="32"/>
          <w:szCs w:val="32"/>
        </w:rPr>
      </w:pPr>
      <w:r>
        <w:rPr>
          <w:rFonts w:hint="eastAsia" w:cs="Times New Roman" w:asciiTheme="minorEastAsia" w:hAnsiTheme="minorEastAsia"/>
          <w:sz w:val="32"/>
          <w:szCs w:val="32"/>
        </w:rPr>
        <w:t>3、预算完成率：98%</w:t>
      </w:r>
    </w:p>
    <w:p>
      <w:pPr>
        <w:ind w:firstLine="630"/>
        <w:rPr>
          <w:rFonts w:cs="Times New Roman" w:asciiTheme="minorEastAsia" w:hAnsiTheme="minorEastAsia"/>
          <w:sz w:val="32"/>
          <w:szCs w:val="32"/>
        </w:rPr>
      </w:pPr>
      <w:r>
        <w:rPr>
          <w:rFonts w:hint="eastAsia" w:cs="Times New Roman" w:asciiTheme="minorEastAsia" w:hAnsiTheme="minorEastAsia"/>
          <w:sz w:val="32"/>
          <w:szCs w:val="32"/>
        </w:rPr>
        <w:t>4、预算调整率：11.8%。20</w:t>
      </w:r>
      <w:r>
        <w:rPr>
          <w:rFonts w:cs="Times New Roman" w:asciiTheme="minorEastAsia" w:hAnsiTheme="minorEastAsia"/>
          <w:sz w:val="32"/>
          <w:szCs w:val="32"/>
        </w:rPr>
        <w:t>20</w:t>
      </w:r>
      <w:r>
        <w:rPr>
          <w:rFonts w:hint="eastAsia" w:cs="Times New Roman" w:asciiTheme="minorEastAsia" w:hAnsiTheme="minorEastAsia"/>
          <w:sz w:val="32"/>
          <w:szCs w:val="32"/>
        </w:rPr>
        <w:t>年年初预算</w:t>
      </w:r>
      <w:r>
        <w:rPr>
          <w:rFonts w:cs="Times New Roman" w:asciiTheme="minorEastAsia" w:hAnsiTheme="minorEastAsia"/>
          <w:sz w:val="32"/>
          <w:szCs w:val="32"/>
        </w:rPr>
        <w:t>1</w:t>
      </w:r>
      <w:r>
        <w:rPr>
          <w:rFonts w:hint="eastAsia" w:cs="Times New Roman" w:asciiTheme="minorEastAsia" w:hAnsiTheme="minorEastAsia"/>
          <w:sz w:val="32"/>
          <w:szCs w:val="32"/>
        </w:rPr>
        <w:t>35.52万元，年中追加财政预算16万元，追加原因：政策性追加人员经费（其中:行政事业单位基本工资提标、目标管理考核奖）、备灾仓库维修及其它追加预算16万元。</w:t>
      </w:r>
    </w:p>
    <w:p>
      <w:pPr>
        <w:ind w:firstLine="630"/>
        <w:rPr>
          <w:rFonts w:cs="Times New Roman" w:asciiTheme="minorEastAsia" w:hAnsiTheme="minorEastAsia"/>
          <w:sz w:val="32"/>
          <w:szCs w:val="32"/>
        </w:rPr>
      </w:pPr>
      <w:r>
        <w:rPr>
          <w:rFonts w:hint="eastAsia" w:cs="Times New Roman" w:asciiTheme="minorEastAsia" w:hAnsiTheme="minorEastAsia"/>
          <w:sz w:val="32"/>
          <w:szCs w:val="32"/>
        </w:rPr>
        <w:t>4、政府采购执行率100%</w:t>
      </w:r>
    </w:p>
    <w:p>
      <w:pPr>
        <w:numPr>
          <w:ilvl w:val="0"/>
          <w:numId w:val="4"/>
        </w:numPr>
        <w:rPr>
          <w:rFonts w:cs="Times New Roman" w:asciiTheme="minorEastAsia" w:hAnsiTheme="minorEastAsia"/>
          <w:sz w:val="32"/>
          <w:szCs w:val="32"/>
        </w:rPr>
      </w:pPr>
      <w:r>
        <w:rPr>
          <w:rFonts w:hint="eastAsia" w:cs="Times New Roman" w:asciiTheme="minorEastAsia" w:hAnsiTheme="minorEastAsia"/>
          <w:sz w:val="32"/>
          <w:szCs w:val="32"/>
        </w:rPr>
        <w:t>在资金管理上，我会制定了一系列的财务管理制度。</w:t>
      </w:r>
    </w:p>
    <w:p>
      <w:pPr>
        <w:spacing w:line="560" w:lineRule="exact"/>
        <w:ind w:firstLine="640" w:firstLineChars="200"/>
        <w:rPr>
          <w:rFonts w:ascii="迷你简黑体" w:hAnsi="迷你简黑体" w:eastAsia="迷你简黑体" w:cs="迷你简黑体"/>
          <w:sz w:val="32"/>
          <w:szCs w:val="32"/>
        </w:rPr>
      </w:pPr>
      <w:r>
        <w:rPr>
          <w:rFonts w:hint="eastAsia" w:ascii="迷你简黑体" w:hAnsi="迷你简黑体" w:eastAsia="迷你简黑体" w:cs="迷你简黑体"/>
          <w:sz w:val="32"/>
          <w:szCs w:val="32"/>
        </w:rPr>
        <w:t>四、部门专项组织实施情况</w:t>
      </w:r>
    </w:p>
    <w:p>
      <w:pPr>
        <w:spacing w:line="56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我会财务管理严格依法依规，做到公开公平公正，在严格执行各项有关法律法规、财经纪律、财务规章制度的同时，根据单位自身情况制定了详细的财务内部管理制度，并阐述了预（决）算、政府采购、国库集中支付、专项资金等管理办法和操作规程。</w:t>
      </w:r>
    </w:p>
    <w:p>
      <w:pPr>
        <w:spacing w:line="560" w:lineRule="exact"/>
        <w:ind w:firstLine="640" w:firstLineChars="200"/>
        <w:rPr>
          <w:rFonts w:ascii="迷你简黑体" w:hAnsi="迷你简黑体" w:eastAsia="迷你简黑体" w:cs="迷你简黑体"/>
          <w:sz w:val="32"/>
          <w:szCs w:val="32"/>
        </w:rPr>
      </w:pPr>
      <w:r>
        <w:rPr>
          <w:rFonts w:hint="eastAsia" w:ascii="迷你简黑体" w:hAnsi="迷你简黑体" w:eastAsia="迷你简黑体" w:cs="迷你简黑体"/>
          <w:sz w:val="32"/>
          <w:szCs w:val="32"/>
        </w:rPr>
        <w:t>五、存在的主要问题</w:t>
      </w:r>
    </w:p>
    <w:p>
      <w:pPr>
        <w:spacing w:line="56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年初预算的编制较为精细，按照费用支出的使用范围和内容，进行了基本支出、项目支出的严格区分，并按照预算的最末级明细进行预算支出管理，专款专用。但对于项目资金，没有进行预算分解，编制明细预算。</w:t>
      </w:r>
    </w:p>
    <w:p>
      <w:pPr>
        <w:spacing w:line="560" w:lineRule="exact"/>
        <w:ind w:firstLine="640" w:firstLineChars="200"/>
        <w:rPr>
          <w:rFonts w:ascii="迷你简黑体" w:hAnsi="迷你简黑体" w:eastAsia="迷你简黑体" w:cs="迷你简黑体"/>
          <w:sz w:val="32"/>
          <w:szCs w:val="32"/>
        </w:rPr>
      </w:pPr>
      <w:r>
        <w:rPr>
          <w:rFonts w:hint="eastAsia" w:ascii="迷你简黑体" w:hAnsi="迷你简黑体" w:eastAsia="迷你简黑体" w:cs="迷你简黑体"/>
          <w:sz w:val="32"/>
          <w:szCs w:val="32"/>
        </w:rPr>
        <w:t>六、改进措施和建议</w:t>
      </w:r>
    </w:p>
    <w:p>
      <w:pPr>
        <w:adjustRightInd w:val="0"/>
        <w:snapToGrid w:val="0"/>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spacing w:line="560" w:lineRule="exact"/>
        <w:ind w:firstLine="640" w:firstLineChars="200"/>
        <w:rPr>
          <w:rFonts w:cs="Times New Roman" w:asciiTheme="minorEastAsia" w:hAnsiTheme="minorEastAsia"/>
          <w:sz w:val="32"/>
          <w:szCs w:val="32"/>
        </w:rPr>
      </w:pPr>
    </w:p>
    <w:p>
      <w:pPr>
        <w:spacing w:line="560" w:lineRule="exact"/>
        <w:rPr>
          <w:rFonts w:cs="Times New Roman" w:asciiTheme="minorEastAsia" w:hAnsiTheme="minorEastAsia"/>
          <w:sz w:val="32"/>
          <w:szCs w:val="32"/>
        </w:rPr>
      </w:pPr>
    </w:p>
    <w:p>
      <w:pPr>
        <w:spacing w:line="560" w:lineRule="exact"/>
        <w:ind w:right="480" w:firstLine="880" w:firstLineChars="200"/>
        <w:jc w:val="right"/>
        <w:rPr>
          <w:rFonts w:ascii="宋体" w:hAnsi="宋体"/>
          <w:b/>
          <w:bCs/>
          <w:kern w:val="0"/>
          <w:sz w:val="44"/>
          <w:szCs w:val="44"/>
        </w:rPr>
      </w:pPr>
    </w:p>
    <w:p>
      <w:pPr>
        <w:jc w:val="center"/>
        <w:rPr>
          <w:rFonts w:ascii="宋体" w:hAnsi="宋体"/>
          <w:b/>
          <w:sz w:val="44"/>
          <w:szCs w:val="44"/>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right="480" w:firstLine="640" w:firstLineChars="200"/>
        <w:jc w:val="right"/>
        <w:rPr>
          <w:rFonts w:ascii="仿宋_GB2312" w:hAnsi="仿宋_GB2312" w:eastAsia="仿宋_GB2312" w:cs="仿宋_GB2312"/>
          <w:sz w:val="32"/>
          <w:szCs w:val="32"/>
        </w:rPr>
      </w:pPr>
    </w:p>
    <w:p>
      <w:pPr>
        <w:ind w:firstLine="640" w:firstLineChars="200"/>
        <w:jc w:val="center"/>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迷你简黑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57928D"/>
    <w:multiLevelType w:val="singleLevel"/>
    <w:tmpl w:val="5857928D"/>
    <w:lvl w:ilvl="0" w:tentative="0">
      <w:start w:val="1"/>
      <w:numFmt w:val="chineseCounting"/>
      <w:suff w:val="nothing"/>
      <w:lvlText w:val="%1、"/>
      <w:lvlJc w:val="left"/>
    </w:lvl>
  </w:abstractNum>
  <w:abstractNum w:abstractNumId="2">
    <w:nsid w:val="63833797"/>
    <w:multiLevelType w:val="singleLevel"/>
    <w:tmpl w:val="63833797"/>
    <w:lvl w:ilvl="0" w:tentative="0">
      <w:start w:val="1"/>
      <w:numFmt w:val="decimal"/>
      <w:suff w:val="nothing"/>
      <w:lvlText w:val="%1、"/>
      <w:lvlJc w:val="left"/>
      <w:pPr>
        <w:ind w:left="40" w:firstLine="0"/>
      </w:pPr>
    </w:lvl>
  </w:abstractNum>
  <w:abstractNum w:abstractNumId="3">
    <w:nsid w:val="65623B86"/>
    <w:multiLevelType w:val="multilevel"/>
    <w:tmpl w:val="65623B86"/>
    <w:lvl w:ilvl="0" w:tentative="0">
      <w:start w:val="5"/>
      <w:numFmt w:val="decimal"/>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 w:numId="3">
    <w:abstractNumId w:val="2"/>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15F7B"/>
    <w:rsid w:val="0002229B"/>
    <w:rsid w:val="000273BD"/>
    <w:rsid w:val="000415B7"/>
    <w:rsid w:val="00041F92"/>
    <w:rsid w:val="000658A3"/>
    <w:rsid w:val="00074155"/>
    <w:rsid w:val="00080674"/>
    <w:rsid w:val="000A3F69"/>
    <w:rsid w:val="000D36F4"/>
    <w:rsid w:val="000D48D6"/>
    <w:rsid w:val="000D4A2A"/>
    <w:rsid w:val="001129D2"/>
    <w:rsid w:val="001225AB"/>
    <w:rsid w:val="00152C6D"/>
    <w:rsid w:val="00162D39"/>
    <w:rsid w:val="00193A59"/>
    <w:rsid w:val="001A5FD9"/>
    <w:rsid w:val="001A67DB"/>
    <w:rsid w:val="001C15A6"/>
    <w:rsid w:val="001D2D81"/>
    <w:rsid w:val="001D51E5"/>
    <w:rsid w:val="001E791A"/>
    <w:rsid w:val="001F0C3B"/>
    <w:rsid w:val="00214427"/>
    <w:rsid w:val="00220784"/>
    <w:rsid w:val="00226185"/>
    <w:rsid w:val="00226612"/>
    <w:rsid w:val="002613CD"/>
    <w:rsid w:val="00265724"/>
    <w:rsid w:val="0027426B"/>
    <w:rsid w:val="002B5DC9"/>
    <w:rsid w:val="00307F72"/>
    <w:rsid w:val="00312E59"/>
    <w:rsid w:val="003479BD"/>
    <w:rsid w:val="003768D5"/>
    <w:rsid w:val="003906AC"/>
    <w:rsid w:val="00425981"/>
    <w:rsid w:val="004337B8"/>
    <w:rsid w:val="00443E2D"/>
    <w:rsid w:val="00446E3D"/>
    <w:rsid w:val="004506F9"/>
    <w:rsid w:val="0046446C"/>
    <w:rsid w:val="004717A2"/>
    <w:rsid w:val="00491741"/>
    <w:rsid w:val="00500E5F"/>
    <w:rsid w:val="005122EF"/>
    <w:rsid w:val="00517C33"/>
    <w:rsid w:val="00523644"/>
    <w:rsid w:val="00524B9A"/>
    <w:rsid w:val="0054069E"/>
    <w:rsid w:val="0055696C"/>
    <w:rsid w:val="005767CC"/>
    <w:rsid w:val="00590D9F"/>
    <w:rsid w:val="00595D26"/>
    <w:rsid w:val="005A04E5"/>
    <w:rsid w:val="005A74E6"/>
    <w:rsid w:val="005D151E"/>
    <w:rsid w:val="005D4D55"/>
    <w:rsid w:val="005E2CFB"/>
    <w:rsid w:val="00600827"/>
    <w:rsid w:val="0062378F"/>
    <w:rsid w:val="0064219A"/>
    <w:rsid w:val="00651EEC"/>
    <w:rsid w:val="00652D8F"/>
    <w:rsid w:val="00656031"/>
    <w:rsid w:val="00686949"/>
    <w:rsid w:val="00686FBC"/>
    <w:rsid w:val="006A1557"/>
    <w:rsid w:val="006A351B"/>
    <w:rsid w:val="006B0422"/>
    <w:rsid w:val="006C1B53"/>
    <w:rsid w:val="006D7730"/>
    <w:rsid w:val="006E5284"/>
    <w:rsid w:val="006E5D28"/>
    <w:rsid w:val="006F3EB5"/>
    <w:rsid w:val="007004B3"/>
    <w:rsid w:val="00702E34"/>
    <w:rsid w:val="00704395"/>
    <w:rsid w:val="00713588"/>
    <w:rsid w:val="00720FF1"/>
    <w:rsid w:val="00751DF6"/>
    <w:rsid w:val="00774391"/>
    <w:rsid w:val="007834D1"/>
    <w:rsid w:val="00784FDD"/>
    <w:rsid w:val="007A310F"/>
    <w:rsid w:val="007D1CF2"/>
    <w:rsid w:val="007E6C55"/>
    <w:rsid w:val="00812ED5"/>
    <w:rsid w:val="00817C25"/>
    <w:rsid w:val="008277D9"/>
    <w:rsid w:val="008421A0"/>
    <w:rsid w:val="00860438"/>
    <w:rsid w:val="0086248F"/>
    <w:rsid w:val="00887F36"/>
    <w:rsid w:val="008A3E8D"/>
    <w:rsid w:val="008B66EB"/>
    <w:rsid w:val="008C5064"/>
    <w:rsid w:val="008D48CD"/>
    <w:rsid w:val="0090138F"/>
    <w:rsid w:val="009237C4"/>
    <w:rsid w:val="00924B5C"/>
    <w:rsid w:val="00930DAA"/>
    <w:rsid w:val="00950252"/>
    <w:rsid w:val="00967F5D"/>
    <w:rsid w:val="009A0F95"/>
    <w:rsid w:val="009A36B9"/>
    <w:rsid w:val="009A4340"/>
    <w:rsid w:val="009A6716"/>
    <w:rsid w:val="009B3ADF"/>
    <w:rsid w:val="009B70A2"/>
    <w:rsid w:val="009C3B52"/>
    <w:rsid w:val="009C68B1"/>
    <w:rsid w:val="009C6DD3"/>
    <w:rsid w:val="009F7C9B"/>
    <w:rsid w:val="00A40786"/>
    <w:rsid w:val="00A418B7"/>
    <w:rsid w:val="00A42218"/>
    <w:rsid w:val="00A5535D"/>
    <w:rsid w:val="00A70249"/>
    <w:rsid w:val="00A93D60"/>
    <w:rsid w:val="00AA5875"/>
    <w:rsid w:val="00AB2707"/>
    <w:rsid w:val="00AB4828"/>
    <w:rsid w:val="00AC60CD"/>
    <w:rsid w:val="00AF52E8"/>
    <w:rsid w:val="00B33BEA"/>
    <w:rsid w:val="00B52976"/>
    <w:rsid w:val="00B57C9F"/>
    <w:rsid w:val="00B845B3"/>
    <w:rsid w:val="00B85D8B"/>
    <w:rsid w:val="00BB1D79"/>
    <w:rsid w:val="00BD7EEE"/>
    <w:rsid w:val="00BE3674"/>
    <w:rsid w:val="00C3049A"/>
    <w:rsid w:val="00C31B1E"/>
    <w:rsid w:val="00C72ED6"/>
    <w:rsid w:val="00C77645"/>
    <w:rsid w:val="00C83E7E"/>
    <w:rsid w:val="00C91769"/>
    <w:rsid w:val="00CE04C3"/>
    <w:rsid w:val="00CE76A0"/>
    <w:rsid w:val="00CF679B"/>
    <w:rsid w:val="00D03A89"/>
    <w:rsid w:val="00D148C6"/>
    <w:rsid w:val="00DD06FF"/>
    <w:rsid w:val="00DD5FE9"/>
    <w:rsid w:val="00DD7305"/>
    <w:rsid w:val="00E00C7A"/>
    <w:rsid w:val="00E55B68"/>
    <w:rsid w:val="00EC2776"/>
    <w:rsid w:val="00EF5941"/>
    <w:rsid w:val="00EF77FF"/>
    <w:rsid w:val="00F37D8E"/>
    <w:rsid w:val="00F47B56"/>
    <w:rsid w:val="00F55CC7"/>
    <w:rsid w:val="00F74360"/>
    <w:rsid w:val="00FB462F"/>
    <w:rsid w:val="00FE16FA"/>
    <w:rsid w:val="00FE328A"/>
    <w:rsid w:val="03F823BF"/>
    <w:rsid w:val="08711488"/>
    <w:rsid w:val="0A733E75"/>
    <w:rsid w:val="292B516A"/>
    <w:rsid w:val="2A2C24F5"/>
    <w:rsid w:val="51C72A1E"/>
    <w:rsid w:val="5C891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4">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D57EE-3D12-4E76-9870-F7638C0032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1074</Words>
  <Characters>6125</Characters>
  <Lines>51</Lines>
  <Paragraphs>14</Paragraphs>
  <TotalTime>302</TotalTime>
  <ScaleCrop>false</ScaleCrop>
  <LinksUpToDate>false</LinksUpToDate>
  <CharactersWithSpaces>7185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2020-09-23T09:36:00Z</dcterms:created>
  <dc:creator>李航 null</dc:creator>
  <cp:lastModifiedBy>茜茜</cp:lastModifiedBy>
  <cp:lastPrinted>2020-07-15T07:25:00Z</cp:lastPrinted>
  <dcterms:modified xsi:type="dcterms:W3CDTF">2023-11-27T03:05:41Z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