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bookmarkStart w:id="0" w:name="_GoBack"/>
      <w:r>
        <w:rPr>
          <w:rFonts w:hint="eastAsia"/>
          <w:sz w:val="84"/>
          <w:szCs w:val="84"/>
        </w:rPr>
        <w:t>2020年度</w:t>
      </w:r>
    </w:p>
    <w:p>
      <w:pPr>
        <w:pStyle w:val="10"/>
        <w:jc w:val="center"/>
        <w:rPr>
          <w:sz w:val="84"/>
          <w:szCs w:val="84"/>
        </w:rPr>
      </w:pPr>
      <w:r>
        <w:rPr>
          <w:rFonts w:hint="eastAsia"/>
          <w:sz w:val="84"/>
          <w:szCs w:val="84"/>
        </w:rPr>
        <w:t>铁丝塘镇人民政府</w:t>
      </w:r>
    </w:p>
    <w:p>
      <w:pPr>
        <w:pStyle w:val="10"/>
        <w:jc w:val="center"/>
        <w:rPr>
          <w:sz w:val="84"/>
          <w:szCs w:val="84"/>
        </w:rPr>
      </w:pPr>
      <w:r>
        <w:rPr>
          <w:rFonts w:hint="eastAsia"/>
          <w:sz w:val="84"/>
          <w:szCs w:val="84"/>
        </w:rPr>
        <w:t>部门决算</w:t>
      </w:r>
    </w:p>
    <w:bookmarkEnd w:id="0"/>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jc w:val="center"/>
        <w:rPr>
          <w:sz w:val="56"/>
          <w:szCs w:val="56"/>
        </w:rPr>
      </w:pPr>
    </w:p>
    <w:p>
      <w:pPr>
        <w:pStyle w:val="10"/>
        <w:spacing w:line="520" w:lineRule="exact"/>
        <w:jc w:val="center"/>
        <w:rPr>
          <w:sz w:val="56"/>
          <w:szCs w:val="56"/>
        </w:rPr>
      </w:pPr>
    </w:p>
    <w:p>
      <w:pPr>
        <w:pStyle w:val="10"/>
        <w:spacing w:line="520" w:lineRule="exact"/>
        <w:rPr>
          <w:rFonts w:ascii="仿宋_GB2312" w:hAnsi="仿宋_GB2312" w:cs="仿宋_GB2312"/>
          <w:b/>
          <w:sz w:val="28"/>
          <w:szCs w:val="28"/>
        </w:rPr>
      </w:pPr>
      <w:r>
        <w:rPr>
          <w:rFonts w:hint="eastAsia"/>
          <w:b/>
          <w:sz w:val="28"/>
          <w:szCs w:val="28"/>
        </w:rPr>
        <w:t>第一部分铁丝塘镇人民政府概况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第二部分2020年度部门决算表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第三部分2020年度部门决算情况说明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r>
        <w:rPr>
          <w:rFonts w:hint="eastAsia"/>
          <w:sz w:val="72"/>
          <w:szCs w:val="72"/>
        </w:rPr>
        <w:t>第一部分</w:t>
      </w:r>
    </w:p>
    <w:p>
      <w:pPr>
        <w:pStyle w:val="2"/>
        <w:jc w:val="center"/>
        <w:rPr>
          <w:sz w:val="72"/>
          <w:szCs w:val="72"/>
        </w:rPr>
      </w:pPr>
    </w:p>
    <w:p>
      <w:pPr>
        <w:pStyle w:val="2"/>
        <w:jc w:val="center"/>
        <w:rPr>
          <w:sz w:val="72"/>
          <w:szCs w:val="72"/>
        </w:rPr>
      </w:pPr>
      <w:r>
        <w:rPr>
          <w:rFonts w:hint="eastAsia"/>
          <w:sz w:val="72"/>
          <w:szCs w:val="72"/>
        </w:rPr>
        <w:t>铁丝塘镇人民政府概况</w:t>
      </w: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pStyle w:val="5"/>
        <w:shd w:val="clear" w:color="auto" w:fill="FFFFFF"/>
        <w:spacing w:before="0" w:beforeAutospacing="0" w:after="0" w:afterAutospacing="0"/>
        <w:ind w:firstLine="635" w:firstLineChars="227"/>
        <w:rPr>
          <w:rFonts w:ascii="Times New Roman" w:hAnsi="Times New Roman" w:cs="Times New Roman" w:eastAsiaTheme="minorEastAsia"/>
          <w:color w:val="000000"/>
          <w:sz w:val="28"/>
          <w:szCs w:val="28"/>
        </w:rPr>
      </w:pPr>
      <w:r>
        <w:rPr>
          <w:rFonts w:ascii="Times New Roman" w:hAnsi="Times New Roman" w:eastAsia="Helvetica" w:cs="Times New Roman"/>
          <w:color w:val="000000"/>
          <w:sz w:val="28"/>
          <w:szCs w:val="28"/>
        </w:rPr>
        <w:t>3、负责</w:t>
      </w:r>
      <w:r>
        <w:rPr>
          <w:rFonts w:hint="eastAsia" w:ascii="Times New Roman" w:hAnsi="Times New Roman" w:cs="Times New Roman"/>
          <w:color w:val="000000"/>
          <w:sz w:val="28"/>
          <w:szCs w:val="28"/>
        </w:rPr>
        <w:t>铁丝塘</w:t>
      </w:r>
      <w:r>
        <w:rPr>
          <w:rFonts w:ascii="Times New Roman" w:hAnsi="Times New Roman" w:eastAsia="Helvetica" w:cs="Times New Roman"/>
          <w:color w:val="000000"/>
          <w:sz w:val="28"/>
          <w:szCs w:val="28"/>
        </w:rPr>
        <w:t>镇党委、</w:t>
      </w:r>
      <w:r>
        <w:rPr>
          <w:rFonts w:hint="eastAsia" w:ascii="Times New Roman" w:hAnsi="Times New Roman" w:cs="Times New Roman"/>
          <w:color w:val="000000"/>
          <w:sz w:val="28"/>
          <w:szCs w:val="28"/>
        </w:rPr>
        <w:t>人大、</w:t>
      </w:r>
      <w:r>
        <w:rPr>
          <w:rFonts w:ascii="Times New Roman" w:hAnsi="Times New Roman" w:eastAsia="Helvetica" w:cs="Times New Roman"/>
          <w:color w:val="000000"/>
          <w:sz w:val="28"/>
          <w:szCs w:val="28"/>
        </w:rPr>
        <w:t>政府、政协联络工委、纪律委员会、人民武装及共青团、妇联等群团组织的日常工作。</w:t>
      </w:r>
    </w:p>
    <w:p>
      <w:pPr>
        <w:pStyle w:val="5"/>
        <w:shd w:val="clear" w:color="auto" w:fill="FFFFFF"/>
        <w:spacing w:before="0" w:beforeAutospacing="0" w:after="0" w:afterAutospacing="0"/>
        <w:ind w:firstLine="635" w:firstLineChars="227"/>
        <w:rPr>
          <w:rFonts w:ascii="Arial" w:hAnsi="Arial" w:cs="Arial"/>
          <w:color w:val="333333"/>
          <w:sz w:val="28"/>
          <w:szCs w:val="28"/>
        </w:rPr>
      </w:pPr>
      <w:r>
        <w:rPr>
          <w:rFonts w:ascii="Times New Roman" w:hAnsi="Times New Roman" w:eastAsia="Helvetica" w:cs="Times New Roman"/>
          <w:color w:val="000000"/>
          <w:sz w:val="28"/>
          <w:szCs w:val="28"/>
        </w:rPr>
        <w:t>4</w:t>
      </w:r>
      <w:r>
        <w:rPr>
          <w:rFonts w:hint="eastAsia"/>
          <w:color w:val="000000"/>
          <w:sz w:val="28"/>
          <w:szCs w:val="28"/>
        </w:rPr>
        <w:t>、负责完成上级机关交办的其他工作任务。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（一）内设机构设置。铁丝塘镇人民政府内设机构包括：铁丝塘镇人民政府本级和铁丝塘镇铁丝塘镇财政所。</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（二）决算单位构成。铁丝塘镇人民政府2020年部门决算汇总公开单位构成包括：铁丝塘镇人民政府本级。</w:t>
      </w:r>
    </w:p>
    <w:p>
      <w:pPr>
        <w:jc w:val="left"/>
        <w:rPr>
          <w:rFonts w:ascii="仿宋_GB2312" w:eastAsia="仿宋_GB2312" w:hAnsiTheme="minorEastAsia"/>
          <w:sz w:val="28"/>
          <w:szCs w:val="32"/>
        </w:rPr>
      </w:pP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p>
    <w:p>
      <w:pPr>
        <w:jc w:val="center"/>
        <w:rPr>
          <w:sz w:val="72"/>
          <w:szCs w:val="72"/>
        </w:rPr>
      </w:pPr>
    </w:p>
    <w:p>
      <w:pPr>
        <w:pStyle w:val="10"/>
        <w:jc w:val="center"/>
        <w:rPr>
          <w:sz w:val="72"/>
          <w:szCs w:val="72"/>
        </w:rPr>
      </w:pPr>
    </w:p>
    <w:p>
      <w:pPr>
        <w:pStyle w:val="10"/>
        <w:jc w:val="center"/>
        <w:rPr>
          <w:sz w:val="72"/>
          <w:szCs w:val="72"/>
        </w:rPr>
      </w:pPr>
    </w:p>
    <w:p>
      <w:pPr>
        <w:jc w:val="center"/>
        <w:rPr>
          <w:sz w:val="72"/>
          <w:szCs w:val="72"/>
        </w:rPr>
      </w:pPr>
    </w:p>
    <w:p>
      <w:pPr>
        <w:jc w:val="center"/>
        <w:rPr>
          <w:sz w:val="72"/>
          <w:szCs w:val="72"/>
        </w:rPr>
      </w:pPr>
      <w:r>
        <w:rPr>
          <w:rFonts w:hint="eastAsia"/>
          <w:sz w:val="72"/>
          <w:szCs w:val="72"/>
        </w:rPr>
        <w:t>第三部分</w:t>
      </w:r>
    </w:p>
    <w:p>
      <w:pPr>
        <w:jc w:val="center"/>
        <w:rPr>
          <w:sz w:val="72"/>
          <w:szCs w:val="72"/>
        </w:rPr>
      </w:pPr>
    </w:p>
    <w:p>
      <w:pPr>
        <w:jc w:val="center"/>
        <w:rPr>
          <w:sz w:val="72"/>
          <w:szCs w:val="72"/>
        </w:rPr>
      </w:pPr>
      <w:r>
        <w:rPr>
          <w:rFonts w:hint="eastAsia"/>
          <w:sz w:val="72"/>
          <w:szCs w:val="72"/>
        </w:rPr>
        <w:t>2020年度部门决算情况说明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p>
    <w:p>
      <w:pPr>
        <w:pStyle w:val="10"/>
        <w:rPr>
          <w:rFonts w:hAnsi="黑体"/>
          <w:b/>
          <w:sz w:val="32"/>
          <w:szCs w:val="32"/>
        </w:rPr>
      </w:pPr>
      <w:r>
        <w:rPr>
          <w:rFonts w:hint="eastAsia" w:hAnsi="黑体"/>
          <w:b/>
          <w:sz w:val="32"/>
          <w:szCs w:val="32"/>
        </w:rPr>
        <w:t>一、收入支出决算总体情况说明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2020年度收、支总计648.49万元。与2019年相比，增加61.58万元，增加10</w:t>
      </w:r>
      <w:r>
        <w:rPr>
          <w:rFonts w:hint="eastAsia" w:asciiTheme="minorEastAsia" w:hAnsiTheme="minorEastAsia"/>
          <w:sz w:val="32"/>
          <w:szCs w:val="32"/>
          <w:lang w:val="zh-CN"/>
        </w:rPr>
        <w:t>%</w:t>
      </w:r>
      <w:r>
        <w:rPr>
          <w:rFonts w:hint="eastAsia" w:asciiTheme="minorEastAsia" w:hAnsiTheme="minorEastAsia"/>
          <w:sz w:val="32"/>
          <w:szCs w:val="32"/>
        </w:rPr>
        <w:t>，主要是因为：一般公共预算财政拨款收入完成595.67万元，比上年8.76万元，增加1</w:t>
      </w:r>
      <w:r>
        <w:rPr>
          <w:rFonts w:hint="eastAsia" w:asciiTheme="minorEastAsia" w:hAnsiTheme="minorEastAsia"/>
          <w:sz w:val="32"/>
          <w:szCs w:val="32"/>
          <w:lang w:val="zh-CN"/>
        </w:rPr>
        <w:t>%，变化的主要原因是：</w:t>
      </w:r>
      <w:r>
        <w:rPr>
          <w:rFonts w:hint="eastAsia" w:asciiTheme="minorEastAsia" w:hAnsiTheme="minorEastAsia"/>
          <w:sz w:val="32"/>
          <w:szCs w:val="32"/>
        </w:rPr>
        <w:t>政策性调整；其他收入完成0万元，比上年增长0万元。</w:t>
      </w:r>
    </w:p>
    <w:p>
      <w:pPr>
        <w:pStyle w:val="10"/>
        <w:rPr>
          <w:rFonts w:hAnsi="黑体"/>
          <w:b/>
          <w:sz w:val="32"/>
          <w:szCs w:val="32"/>
        </w:rPr>
      </w:pPr>
      <w:r>
        <w:rPr>
          <w:rFonts w:hint="eastAsia" w:hAnsi="黑体"/>
          <w:b/>
          <w:sz w:val="32"/>
          <w:szCs w:val="32"/>
        </w:rPr>
        <w:t>二、收入决算情况说明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本年收入合计648.49万元，其中：财政拨款收入595.67万元，占91.85%；政府性基金预算财政拨款收入52.82万元，占8.15%，上级补助收入0万元，占0%；事业收入0万元，占0%；经营收入0万元，占0%；附属单位上缴收入0万元，占0%；其他收入0万元，占0%。与2019年相比，增加61.58万元，增加10</w:t>
      </w:r>
      <w:r>
        <w:rPr>
          <w:rFonts w:hint="eastAsia" w:asciiTheme="minorEastAsia" w:hAnsiTheme="minorEastAsia"/>
          <w:sz w:val="32"/>
          <w:szCs w:val="32"/>
          <w:lang w:val="zh-CN"/>
        </w:rPr>
        <w:t>%</w:t>
      </w:r>
      <w:r>
        <w:rPr>
          <w:rFonts w:hint="eastAsia" w:asciiTheme="minorEastAsia" w:hAnsiTheme="minorEastAsia"/>
          <w:sz w:val="32"/>
          <w:szCs w:val="32"/>
        </w:rPr>
        <w:t>，主要是因为：一般公共预算财政拨款收入完成595.67万元，比上年8.76万元，增加1</w:t>
      </w:r>
      <w:r>
        <w:rPr>
          <w:rFonts w:hint="eastAsia" w:asciiTheme="minorEastAsia" w:hAnsiTheme="minorEastAsia"/>
          <w:sz w:val="32"/>
          <w:szCs w:val="32"/>
          <w:lang w:val="zh-CN"/>
        </w:rPr>
        <w:t>%，变化的主要原因是：</w:t>
      </w:r>
      <w:r>
        <w:rPr>
          <w:rFonts w:hint="eastAsia" w:asciiTheme="minorEastAsia" w:hAnsiTheme="minorEastAsia"/>
          <w:sz w:val="32"/>
          <w:szCs w:val="32"/>
        </w:rPr>
        <w:t>政策性调整。</w:t>
      </w:r>
    </w:p>
    <w:p>
      <w:pPr>
        <w:pStyle w:val="10"/>
        <w:rPr>
          <w:rFonts w:hAnsi="黑体"/>
          <w:b/>
          <w:sz w:val="32"/>
          <w:szCs w:val="32"/>
        </w:rPr>
      </w:pPr>
      <w:r>
        <w:rPr>
          <w:rFonts w:hint="eastAsia" w:hAnsi="黑体"/>
          <w:b/>
          <w:sz w:val="32"/>
          <w:szCs w:val="32"/>
        </w:rPr>
        <w:t>三、支出决算情况说明</w:t>
      </w:r>
    </w:p>
    <w:p>
      <w:pPr>
        <w:pStyle w:val="10"/>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本年支出合计648.49</w:t>
      </w:r>
      <w:r>
        <w:rPr>
          <w:rFonts w:hint="eastAsia" w:asciiTheme="minorEastAsia" w:hAnsiTheme="minorEastAsia" w:eastAsiaTheme="minorEastAsia" w:cstheme="minorBidi"/>
          <w:color w:val="auto"/>
          <w:kern w:val="2"/>
          <w:sz w:val="32"/>
          <w:szCs w:val="32"/>
        </w:rPr>
        <w:t>万</w:t>
      </w:r>
      <w:r>
        <w:rPr>
          <w:rFonts w:hint="eastAsia" w:asciiTheme="minorEastAsia" w:hAnsiTheme="minorEastAsia" w:eastAsiaTheme="minorEastAsia"/>
          <w:sz w:val="32"/>
          <w:szCs w:val="32"/>
        </w:rPr>
        <w:t>元，其中：基本支出249.65万元，占38.5%；项目支出398.84元，占61.5%；上缴上级支出0万元，占0%；经营支出0万元，占0%；对附属单位补助支出0万元，占0%。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5"/>
        <w:shd w:val="clear" w:color="auto" w:fill="FFFFFF"/>
        <w:spacing w:before="0" w:beforeAutospacing="0" w:after="0" w:afterAutospacing="0"/>
        <w:ind w:firstLine="640" w:firstLineChars="20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2020年度财政拨款收、支总计648.49万元，与2019年相比，增加61.58万元,增加10%，主要是因为：增加政府性基金预算财政拨款收入52.82万元，为疫情防控支出，以及乡村振兴及人居环境整治项目支出增加。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0" w:beforeAutospacing="0" w:after="0" w:afterAutospacing="0"/>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2020年度财政拨款支出595.67万元，占本年支出合计的91.85%，与2019年相比，财政拨款支出增加61.58万元，增加10%，主要是因为抗击疫情支出，乡村振兴及人居环境整治项目支出增加。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595.67万元，主要用于以下方面：一般公共服务（类）支出264.8万元，占40.83%；社会保障和就业（类）支出32.44万元，占5%;卫生健康（类）支出8.19万元，占1.26%；交通运输支出10万元，占1.54%；农林水（类）支出274.54万元，占42.34%；住房保障（类）支出5.7万元，占0.88%；抗疫特别国债安排的支出（类）5</w:t>
      </w:r>
      <w:r>
        <w:rPr>
          <w:rFonts w:asciiTheme="minorEastAsia" w:hAnsiTheme="minorEastAsia" w:eastAsiaTheme="minorEastAsia"/>
          <w:sz w:val="32"/>
          <w:szCs w:val="32"/>
        </w:rPr>
        <w:t>2.82万元</w:t>
      </w:r>
      <w:r>
        <w:rPr>
          <w:rFonts w:hint="eastAsia" w:asciiTheme="minorEastAsia" w:hAnsiTheme="minorEastAsia" w:eastAsiaTheme="minorEastAsia"/>
          <w:sz w:val="32"/>
          <w:szCs w:val="32"/>
        </w:rPr>
        <w:t>，</w:t>
      </w:r>
      <w:r>
        <w:rPr>
          <w:rFonts w:asciiTheme="minorEastAsia" w:hAnsiTheme="minorEastAsia" w:eastAsiaTheme="minorEastAsia"/>
          <w:sz w:val="32"/>
          <w:szCs w:val="32"/>
        </w:rPr>
        <w:t>占</w:t>
      </w:r>
      <w:r>
        <w:rPr>
          <w:rFonts w:hint="eastAsia" w:asciiTheme="minorEastAsia" w:hAnsiTheme="minorEastAsia" w:eastAsiaTheme="minorEastAsia"/>
          <w:sz w:val="32"/>
          <w:szCs w:val="32"/>
        </w:rPr>
        <w:t>8</w:t>
      </w:r>
      <w:r>
        <w:rPr>
          <w:rFonts w:asciiTheme="minorEastAsia" w:hAnsiTheme="minorEastAsia" w:eastAsiaTheme="minorEastAsia"/>
          <w:sz w:val="32"/>
          <w:szCs w:val="32"/>
        </w:rPr>
        <w:t>.15</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2020年度财政拨款支出年初预算数为469.21万元，支出决算数为595.67万元，完成年初预算的1</w:t>
      </w:r>
      <w:r>
        <w:rPr>
          <w:rFonts w:asciiTheme="minorEastAsia" w:hAnsiTheme="minorEastAsia" w:eastAsiaTheme="minorEastAsia"/>
          <w:sz w:val="32"/>
          <w:szCs w:val="32"/>
        </w:rPr>
        <w:t>26</w:t>
      </w:r>
      <w:r>
        <w:rPr>
          <w:rFonts w:hint="eastAsia" w:asciiTheme="minorEastAsia" w:hAnsiTheme="minorEastAsia" w:eastAsiaTheme="minorEastAsia"/>
          <w:sz w:val="32"/>
          <w:szCs w:val="32"/>
        </w:rPr>
        <w:t>.95%，其中：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年初预算为226.96万元，支出决算为264.8万元，完成年初预算的116.67%，决算数大于年初预算数的主要原因是：人员异动及政策性调整。</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2.交通运输支出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color w:val="auto"/>
          <w:sz w:val="32"/>
          <w:szCs w:val="32"/>
        </w:rPr>
        <w:t>10</w:t>
      </w:r>
      <w:r>
        <w:rPr>
          <w:rFonts w:hint="eastAsia" w:asciiTheme="minorEastAsia" w:hAnsiTheme="minorEastAsia" w:eastAsiaTheme="minorEastAsia"/>
          <w:sz w:val="32"/>
          <w:szCs w:val="32"/>
        </w:rPr>
        <w:t>万元，决算数大于年初预算数的主要原因是：公路养护。</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3.社会保障和就业支出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年初预算为15.94万元，支出决算为32.44万元，完成年初预算的203.51%，决算数大于年初预算数的主要原因是：人员增加、补缴铁丝塘政府社保费用。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4.卫生健康支出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年初预算为6.85万元，支出决算为8.19万元，完成年初预算的119.56%，决算数大于年初预算数的主要原因是：追加村级改厕项目资金。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5.农林水支出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年初预算为213.76万元，支出决算为274.54万元，完成年初预算的128.43%，决算数大于年初预算数的主要原因是：追加村级集体经济引导项目经费。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6.住房保障支出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年初预算为5.7万元，支出决算为5.7万元，完成年初预算的100%。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7.抗疫特别国债安排的支出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年初预算为0万元，支出决算为52.82万元，决算数大于年初预算数的主要原因是：抗击疫情支出。</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249.65万元，其中：人员经费176.26万元，占基本支出的70.6%,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73.39万元，占基本支出的29.4%，主要包括办公费、水费、电费、邮电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“三公”经费年初预算21.2万元，本年决算数19.75万元，完成预算度93.16%。比上年决算数21.04万元递减6.13%，主要减少原因是厉行节约、控制开支。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因公出国（境）费支出预算为0万元，支出决算为0万元，完成预算的0%，决算数与年初预算数持平，与上年一致。本年没有安排人员因公出国（境）。</w:t>
      </w:r>
    </w:p>
    <w:p>
      <w:pPr>
        <w:pStyle w:val="10"/>
        <w:ind w:firstLine="800" w:firstLineChars="25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公务接待本年年初预算11.2万元，本年决算数11.1万元，比上年决算12.39万元递减10.41%。减少的主要原因为疫情防控，减少不必要的公务接待。</w:t>
      </w:r>
    </w:p>
    <w:p>
      <w:pPr>
        <w:pStyle w:val="10"/>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公务用车用车购置费及运行费本年年初预算10万元，本年决算数为8.65万元，比上年决算数8.652万元减少0.002万元，比年初预算减少13.5%，本年无新增公务车辆，考虑我单位公务用车一辆的维修保养及用油保险开支，正常用车开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2020年度“三公”经费财政拨款支出决算中，公务接待费支出决算11.1万元，占56.2%,因公出国（境）费支出决算0万元，占0%,公务用车购置费及运行维护费支出决算8.65万元，占43.8%。其中：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2、公务接待费支出决算为11.1万元，本年共接待265批次，共接待2060人次，均为国内公务接待。</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3、公务用车购置费及运行维护费支出决算为8.65万元，其中：公务用车购置费0万元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公务用车运行维护费8.65万元，主要是公务车用油、保养、维修支出，截止2020年12月31日，我单位开支财政拨款的公务用车保有量为1辆。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pStyle w:val="10"/>
        <w:jc w:val="both"/>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sz w:val="32"/>
          <w:szCs w:val="32"/>
        </w:rPr>
        <w:t xml:space="preserve">     2020年度本单位有政府性基金收支。</w:t>
      </w:r>
      <w:r>
        <w:rPr>
          <w:rFonts w:hint="eastAsia" w:asciiTheme="minorEastAsia" w:hAnsiTheme="minorEastAsia" w:eastAsiaTheme="minorEastAsia" w:cstheme="minorBidi"/>
          <w:color w:val="auto"/>
          <w:kern w:val="2"/>
          <w:sz w:val="32"/>
          <w:szCs w:val="32"/>
        </w:rPr>
        <w:t>2020年，收到衡南县财政局预算股拨付中央直达抗疫国债资金52.82万元，其中：支付宣传费8.75万元、工作人员生活费2.68万元、镇内各职能站所防疫工作经费6万元、卫生院防控资金（铁丝塘卫生院）14.77万元、农贸市场及隔离服务点材料费0.62万元、全镇村（社区）疫情防控资金（9个村、1个社区）20万元。</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本单位2020年没有国有资本经营预算财政拨款支出。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jc w:val="both"/>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机关运行经费本年支出</w:t>
      </w:r>
      <w:r>
        <w:rPr>
          <w:rFonts w:asciiTheme="minorEastAsia" w:hAnsiTheme="minorEastAsia" w:eastAsiaTheme="minorEastAsia" w:cstheme="minorBidi"/>
          <w:color w:val="auto"/>
          <w:kern w:val="2"/>
          <w:sz w:val="32"/>
          <w:szCs w:val="32"/>
        </w:rPr>
        <w:t>73.39</w:t>
      </w:r>
      <w:r>
        <w:rPr>
          <w:rFonts w:hint="eastAsia" w:asciiTheme="minorEastAsia" w:hAnsiTheme="minorEastAsia" w:eastAsiaTheme="minorEastAsia" w:cstheme="minorBidi"/>
          <w:color w:val="auto"/>
          <w:kern w:val="2"/>
          <w:sz w:val="32"/>
          <w:szCs w:val="32"/>
        </w:rPr>
        <w:t>万元，与上年的</w:t>
      </w:r>
      <w:r>
        <w:rPr>
          <w:rFonts w:asciiTheme="minorEastAsia" w:hAnsiTheme="minorEastAsia" w:eastAsiaTheme="minorEastAsia" w:cstheme="minorBidi"/>
          <w:color w:val="auto"/>
          <w:kern w:val="2"/>
          <w:sz w:val="32"/>
          <w:szCs w:val="32"/>
        </w:rPr>
        <w:t>10</w:t>
      </w:r>
      <w:r>
        <w:rPr>
          <w:rFonts w:hint="eastAsia" w:asciiTheme="minorEastAsia" w:hAnsiTheme="minorEastAsia" w:eastAsiaTheme="minorEastAsia" w:cstheme="minorBidi"/>
          <w:color w:val="auto"/>
          <w:kern w:val="2"/>
          <w:sz w:val="32"/>
          <w:szCs w:val="32"/>
        </w:rPr>
        <w:t>9.81万元相比，递减3</w:t>
      </w:r>
      <w:r>
        <w:rPr>
          <w:rFonts w:asciiTheme="minorEastAsia" w:hAnsiTheme="minorEastAsia" w:eastAsiaTheme="minorEastAsia" w:cstheme="minorBidi"/>
          <w:color w:val="auto"/>
          <w:kern w:val="2"/>
          <w:sz w:val="32"/>
          <w:szCs w:val="32"/>
        </w:rPr>
        <w:t>3.16</w:t>
      </w:r>
      <w:r>
        <w:rPr>
          <w:rFonts w:hint="eastAsia" w:asciiTheme="minorEastAsia" w:hAnsiTheme="minorEastAsia" w:eastAsiaTheme="minorEastAsia" w:cstheme="minorBidi"/>
          <w:color w:val="auto"/>
          <w:kern w:val="2"/>
          <w:sz w:val="32"/>
          <w:szCs w:val="32"/>
        </w:rPr>
        <w:t>%。变动原因为本年度支出口径与上年度有差异，划分了专项业务支出，譬如信访维稳，安全生产，党建专项，扶贫专项，城乡环境同治，本年度全列入项目支出。</w:t>
      </w:r>
    </w:p>
    <w:p>
      <w:pPr>
        <w:pStyle w:val="10"/>
        <w:rPr>
          <w:rFonts w:hAnsi="黑体"/>
          <w:b/>
          <w:sz w:val="32"/>
          <w:szCs w:val="32"/>
        </w:rPr>
      </w:pPr>
      <w:r>
        <w:rPr>
          <w:rFonts w:hint="eastAsia" w:hAnsi="黑体"/>
          <w:b/>
          <w:sz w:val="32"/>
          <w:szCs w:val="32"/>
        </w:rPr>
        <w:t>十一、一般性支出情况</w:t>
      </w:r>
    </w:p>
    <w:p>
      <w:pPr>
        <w:pStyle w:val="10"/>
        <w:ind w:firstLine="640" w:firstLineChars="200"/>
        <w:jc w:val="both"/>
        <w:rPr>
          <w:rFonts w:asciiTheme="minorEastAsia" w:hAnsiTheme="minorEastAsia" w:eastAsiaTheme="minorEastAsia" w:cstheme="minorBidi"/>
          <w:color w:val="auto"/>
          <w:kern w:val="2"/>
          <w:sz w:val="32"/>
          <w:szCs w:val="32"/>
          <w:lang w:val="zh-CN"/>
        </w:rPr>
      </w:pPr>
      <w:r>
        <w:rPr>
          <w:rFonts w:hint="eastAsia" w:asciiTheme="minorEastAsia" w:hAnsiTheme="minorEastAsia" w:eastAsiaTheme="minorEastAsia" w:cstheme="minorBidi"/>
          <w:color w:val="auto"/>
          <w:kern w:val="2"/>
          <w:sz w:val="32"/>
          <w:szCs w:val="32"/>
        </w:rPr>
        <w:t>会议费支出情况：2020年会议费完成118057元，比上年减少18063元，下降13.27%，增减变化的主要原因是：压缩会议支出，合并会议；培训费支出情况：2020年培训费完成103200元，比上年减少7546元，下降6.81%，增减变化的主要原因是：节约培训经费</w:t>
      </w:r>
      <w:r>
        <w:rPr>
          <w:rFonts w:hint="eastAsia" w:asciiTheme="minorEastAsia" w:hAnsiTheme="minorEastAsia" w:eastAsiaTheme="minorEastAsia" w:cstheme="minorBidi"/>
          <w:color w:val="auto"/>
          <w:kern w:val="2"/>
          <w:sz w:val="32"/>
          <w:szCs w:val="32"/>
          <w:lang w:val="zh-CN"/>
        </w:rPr>
        <w:t>。</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hAnsi="黑体"/>
          <w:b/>
          <w:sz w:val="32"/>
          <w:szCs w:val="32"/>
        </w:rPr>
      </w:pPr>
      <w:r>
        <w:rPr>
          <w:rFonts w:hint="eastAsia" w:asciiTheme="minorEastAsia" w:hAnsiTheme="minorEastAsia" w:eastAsiaTheme="minorEastAsia" w:cstheme="minorBidi"/>
          <w:color w:val="auto"/>
          <w:kern w:val="2"/>
          <w:sz w:val="32"/>
          <w:szCs w:val="32"/>
        </w:rPr>
        <w:t>本年度本单位政府采购支出13万元，均为财政拨款支出。全部为货物采购支出。包括办公桌椅，办公用电脑，打印机，街道垃圾桶。</w:t>
      </w:r>
    </w:p>
    <w:p>
      <w:pPr>
        <w:autoSpaceDE w:val="0"/>
        <w:autoSpaceDN w:val="0"/>
        <w:adjustRightInd w:val="0"/>
        <w:spacing w:line="520" w:lineRule="exact"/>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十三、关于国有资产占用情况说明</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截至2020年12月31日，本单位共有车辆1辆，其中，其他用车1辆，其他用车主要是干部下村公务用车；单位价值50万元以上通用设备0台（套）；单位价值100万元以上专用设备0台（套）。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十四、关于2020年度预算绩效情况说明</w:t>
      </w:r>
    </w:p>
    <w:p>
      <w:pPr>
        <w:widowControl/>
        <w:jc w:val="left"/>
        <w:rPr>
          <w:rFonts w:asciiTheme="minorEastAsia" w:hAnsiTheme="minorEastAsia"/>
          <w:sz w:val="32"/>
          <w:szCs w:val="32"/>
        </w:rPr>
      </w:pPr>
      <w:r>
        <w:rPr>
          <w:rFonts w:hint="eastAsia" w:asciiTheme="minorEastAsia" w:hAnsiTheme="minorEastAsia"/>
          <w:sz w:val="32"/>
          <w:szCs w:val="32"/>
        </w:rPr>
        <w:t>（一）预算绩效管理工作开展情况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pPr>
        <w:widowControl/>
        <w:jc w:val="left"/>
        <w:rPr>
          <w:rFonts w:asciiTheme="minorEastAsia" w:hAnsiTheme="minorEastAsia"/>
          <w:sz w:val="32"/>
          <w:szCs w:val="32"/>
        </w:rPr>
      </w:pPr>
      <w:r>
        <w:rPr>
          <w:rFonts w:hint="eastAsia" w:asciiTheme="minorEastAsia" w:hAnsiTheme="minorEastAsia"/>
          <w:sz w:val="32"/>
          <w:szCs w:val="32"/>
        </w:rPr>
        <w:t xml:space="preserve">（二）部门整体支出绩效自评结果 </w:t>
      </w:r>
    </w:p>
    <w:p>
      <w:pPr>
        <w:widowControl/>
        <w:ind w:firstLine="640" w:firstLineChars="200"/>
        <w:jc w:val="left"/>
        <w:rPr>
          <w:rFonts w:asciiTheme="minorEastAsia" w:hAnsiTheme="minorEastAsia"/>
          <w:sz w:val="32"/>
          <w:szCs w:val="32"/>
        </w:rPr>
      </w:pPr>
      <w:r>
        <w:rPr>
          <w:rFonts w:asciiTheme="minorEastAsia" w:hAnsiTheme="minorEastAsia"/>
          <w:sz w:val="32"/>
          <w:szCs w:val="32"/>
        </w:rPr>
        <w:t xml:space="preserve">2020 </w:t>
      </w:r>
      <w:r>
        <w:rPr>
          <w:rFonts w:hint="eastAsia" w:asciiTheme="minorEastAsia" w:hAnsiTheme="minorEastAsia"/>
          <w:sz w:val="32"/>
          <w:szCs w:val="32"/>
        </w:rPr>
        <w:t>年，在县委、县政府的坚强领导下，我镇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作出了积极贡献，根据部门整体支出绩效评价指标，部门整体支出绩效得分</w:t>
      </w:r>
      <w:r>
        <w:rPr>
          <w:rFonts w:hint="eastAsia"/>
          <w:sz w:val="28"/>
          <w:szCs w:val="28"/>
        </w:rPr>
        <w:t>96.67</w:t>
      </w:r>
      <w:r>
        <w:rPr>
          <w:rFonts w:hint="eastAsia" w:asciiTheme="minorEastAsia" w:hAnsiTheme="minorEastAsia"/>
          <w:sz w:val="32"/>
          <w:szCs w:val="32"/>
        </w:rPr>
        <w:t>分。从评价情况来看，预算执行有效，完成情况较好，基本达到预算绩效目标。</w:t>
      </w:r>
    </w:p>
    <w:p>
      <w:pPr>
        <w:pStyle w:val="10"/>
        <w:ind w:firstLine="640" w:firstLineChars="200"/>
        <w:rPr>
          <w:rFonts w:asciiTheme="minorEastAsia" w:hAnsiTheme="minorEastAsia" w:eastAsiaTheme="minorEastAsia" w:cstheme="minorBidi"/>
          <w:color w:val="auto"/>
          <w:kern w:val="2"/>
          <w:sz w:val="32"/>
          <w:szCs w:val="32"/>
        </w:rPr>
      </w:pPr>
    </w:p>
    <w:p>
      <w:pPr>
        <w:widowControl/>
        <w:jc w:val="left"/>
        <w:rPr>
          <w:rFonts w:cs="黑体" w:asciiTheme="minorEastAsia" w:hAnsiTheme="minorEastAsia"/>
          <w:color w:val="000000"/>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第四部分</w:t>
      </w:r>
    </w:p>
    <w:p>
      <w:pPr>
        <w:jc w:val="center"/>
        <w:rPr>
          <w:sz w:val="72"/>
          <w:szCs w:val="72"/>
        </w:rPr>
      </w:pPr>
    </w:p>
    <w:p>
      <w:pPr>
        <w:jc w:val="center"/>
        <w:rPr>
          <w:sz w:val="72"/>
          <w:szCs w:val="72"/>
        </w:rPr>
      </w:pPr>
      <w:r>
        <w:rPr>
          <w:rFonts w:hint="eastAsia"/>
          <w:sz w:val="72"/>
          <w:szCs w:val="72"/>
        </w:rPr>
        <w:t>名词解释</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widowControl/>
        <w:jc w:val="left"/>
        <w:rPr>
          <w:color w:val="333333"/>
          <w:sz w:val="28"/>
          <w:szCs w:val="28"/>
        </w:rPr>
      </w:pP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ind w:firstLine="560" w:firstLineChars="200"/>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第五部分</w:t>
      </w:r>
    </w:p>
    <w:p>
      <w:pPr>
        <w:pStyle w:val="10"/>
        <w:jc w:val="center"/>
        <w:rPr>
          <w:rFonts w:asciiTheme="minorHAnsi" w:eastAsiaTheme="minorEastAsia" w:cstheme="minorBidi"/>
          <w:color w:val="auto"/>
          <w:kern w:val="2"/>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附件</w:t>
      </w: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rPr>
          <w:rFonts w:cs="黑体" w:asciiTheme="minorEastAsia" w:hAnsiTheme="minorEastAsia"/>
          <w:b/>
          <w:color w:val="000000"/>
          <w:kern w:val="0"/>
          <w:sz w:val="32"/>
          <w:szCs w:val="32"/>
        </w:rPr>
      </w:pPr>
    </w:p>
    <w:p>
      <w:pPr>
        <w:widowControl/>
        <w:jc w:val="center"/>
        <w:rPr>
          <w:rFonts w:ascii="黑体" w:eastAsia="黑体" w:cs="黑体"/>
          <w:color w:val="000000"/>
          <w:kern w:val="0"/>
          <w:sz w:val="70"/>
          <w:szCs w:val="70"/>
        </w:rPr>
      </w:pPr>
      <w:r>
        <w:rPr>
          <w:rFonts w:hint="eastAsia" w:cs="黑体" w:asciiTheme="minorEastAsia" w:hAnsiTheme="minorEastAsia"/>
          <w:b/>
          <w:color w:val="000000"/>
          <w:kern w:val="0"/>
          <w:sz w:val="32"/>
          <w:szCs w:val="32"/>
        </w:rPr>
        <w:t>2020年度部门整体支出绩效评价报告</w:t>
      </w:r>
    </w:p>
    <w:p>
      <w:pPr>
        <w:pStyle w:val="5"/>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2020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的原则，运用较科学、合理的绩效评价指标、评价标准和评价方法，对本单位2020年度部门整体支出的绩效情况进行了客观、公正的评价。现将情况汇报如下：</w:t>
      </w:r>
    </w:p>
    <w:p>
      <w:pPr>
        <w:pStyle w:val="5"/>
        <w:rPr>
          <w:rFonts w:cs="Times New Roman"/>
          <w:b/>
          <w:bCs/>
          <w:sz w:val="28"/>
          <w:szCs w:val="28"/>
        </w:rPr>
      </w:pPr>
      <w:r>
        <w:rPr>
          <w:rFonts w:hint="eastAsia"/>
          <w:sz w:val="28"/>
          <w:szCs w:val="28"/>
        </w:rPr>
        <w:t>　</w:t>
      </w:r>
      <w:r>
        <w:rPr>
          <w:rFonts w:hint="eastAsia"/>
          <w:b/>
          <w:bCs/>
          <w:sz w:val="28"/>
          <w:szCs w:val="28"/>
        </w:rPr>
        <w:t>　一、部门基本情况</w:t>
      </w:r>
    </w:p>
    <w:p>
      <w:pPr>
        <w:pStyle w:val="5"/>
        <w:rPr>
          <w:rFonts w:cs="Times New Roman"/>
          <w:sz w:val="28"/>
          <w:szCs w:val="28"/>
        </w:rPr>
      </w:pPr>
      <w:r>
        <w:rPr>
          <w:rFonts w:hint="eastAsia"/>
          <w:sz w:val="28"/>
          <w:szCs w:val="28"/>
        </w:rPr>
        <w:t>　　</w:t>
      </w:r>
      <w:r>
        <w:rPr>
          <w:sz w:val="28"/>
          <w:szCs w:val="28"/>
        </w:rPr>
        <w:t>1.</w:t>
      </w:r>
      <w:r>
        <w:rPr>
          <w:rFonts w:hint="eastAsia"/>
          <w:sz w:val="28"/>
          <w:szCs w:val="28"/>
        </w:rPr>
        <w:t>部门职责</w:t>
      </w:r>
    </w:p>
    <w:p>
      <w:pPr>
        <w:pStyle w:val="5"/>
        <w:ind w:firstLine="560" w:firstLineChars="200"/>
        <w:rPr>
          <w:rFonts w:cs="Times New Roman"/>
          <w:sz w:val="28"/>
          <w:szCs w:val="28"/>
        </w:rPr>
      </w:pPr>
      <w:r>
        <w:rPr>
          <w:rFonts w:hint="eastAsia"/>
          <w:sz w:val="28"/>
          <w:szCs w:val="28"/>
        </w:rPr>
        <w:t>铁丝塘镇人民政府系正科级单位，办公地址为衡南县铁丝塘镇下街。主要职责：</w:t>
      </w:r>
    </w:p>
    <w:p>
      <w:pPr>
        <w:pStyle w:val="5"/>
        <w:rPr>
          <w:rFonts w:cs="Times New Roman"/>
          <w:sz w:val="28"/>
          <w:szCs w:val="28"/>
        </w:rPr>
      </w:pPr>
      <w:r>
        <w:rPr>
          <w:rFonts w:hint="eastAsia"/>
          <w:sz w:val="28"/>
          <w:szCs w:val="28"/>
        </w:rPr>
        <w:t>　　（一）坚持科学发展，落实惠农政策。宣传和贯彻执行党和国家对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w:t>
      </w:r>
    </w:p>
    <w:p>
      <w:pPr>
        <w:pStyle w:val="5"/>
        <w:rPr>
          <w:rFonts w:cs="Times New Roman"/>
          <w:sz w:val="28"/>
          <w:szCs w:val="28"/>
        </w:rPr>
      </w:pPr>
      <w:r>
        <w:rPr>
          <w:rFonts w:hint="eastAsia"/>
          <w:sz w:val="28"/>
          <w:szCs w:val="28"/>
        </w:rPr>
        <w:t>　　（二）促进经济发展，增加农民收入。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w:t>
      </w:r>
    </w:p>
    <w:p>
      <w:pPr>
        <w:pStyle w:val="5"/>
        <w:rPr>
          <w:rFonts w:cs="Times New Roman"/>
          <w:sz w:val="28"/>
          <w:szCs w:val="28"/>
        </w:rPr>
      </w:pPr>
      <w:r>
        <w:rPr>
          <w:rFonts w:hint="eastAsia"/>
          <w:sz w:val="28"/>
          <w:szCs w:val="28"/>
        </w:rPr>
        <w:t>　　（三）强化公共服务，着力改善民生。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pStyle w:val="5"/>
        <w:rPr>
          <w:rFonts w:cs="Times New Roman"/>
          <w:sz w:val="28"/>
          <w:szCs w:val="28"/>
        </w:rPr>
      </w:pPr>
      <w:r>
        <w:rPr>
          <w:rFonts w:hint="eastAsia"/>
          <w:sz w:val="28"/>
          <w:szCs w:val="28"/>
        </w:rPr>
        <w:t>　　（四）加强社会管理，维护农村稳定。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依法管理宗教事务，反对和制止利用宗教和宗教势力干预农村公共事务。协助县级有关部门做好安全生产、市场监管、劳动监察、环境保护等方面的工作。保证社会公正，维护社会秩序和社会稳定。</w:t>
      </w:r>
    </w:p>
    <w:p>
      <w:pPr>
        <w:pStyle w:val="5"/>
        <w:rPr>
          <w:rFonts w:cs="Times New Roman"/>
          <w:sz w:val="28"/>
          <w:szCs w:val="28"/>
        </w:rPr>
      </w:pPr>
      <w:r>
        <w:rPr>
          <w:rFonts w:hint="eastAsia"/>
          <w:sz w:val="28"/>
          <w:szCs w:val="28"/>
        </w:rPr>
        <w:t>　　（五）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w:t>
      </w:r>
    </w:p>
    <w:p>
      <w:pPr>
        <w:pStyle w:val="5"/>
        <w:ind w:firstLine="560"/>
        <w:rPr>
          <w:sz w:val="28"/>
          <w:szCs w:val="28"/>
        </w:rPr>
      </w:pPr>
      <w:r>
        <w:rPr>
          <w:rFonts w:hint="eastAsia"/>
          <w:sz w:val="28"/>
          <w:szCs w:val="28"/>
        </w:rPr>
        <w:t>2.机构设置情况</w:t>
      </w:r>
    </w:p>
    <w:p>
      <w:pPr>
        <w:pStyle w:val="5"/>
        <w:ind w:firstLine="560" w:firstLineChars="200"/>
        <w:rPr>
          <w:sz w:val="28"/>
          <w:szCs w:val="28"/>
        </w:rPr>
      </w:pPr>
      <w:r>
        <w:rPr>
          <w:rFonts w:hint="eastAsia"/>
          <w:sz w:val="28"/>
          <w:szCs w:val="28"/>
        </w:rPr>
        <w:t>根据上述职责，设下列党政机构:党政综合办公室、经济发展办公室(农业农村和扶贫工作办公室)、社会事务办公室、自然资源和生态环境办公室(村镇建设管理办公室)、社会治安综合治理和应急管理办公室、基层党建工作办公室。</w:t>
      </w:r>
    </w:p>
    <w:p>
      <w:pPr>
        <w:pStyle w:val="5"/>
        <w:numPr>
          <w:ilvl w:val="0"/>
          <w:numId w:val="3"/>
        </w:numPr>
        <w:spacing w:before="0" w:beforeAutospacing="0" w:after="0" w:afterAutospacing="0"/>
        <w:ind w:firstLine="560"/>
        <w:rPr>
          <w:sz w:val="28"/>
          <w:szCs w:val="28"/>
        </w:rPr>
      </w:pPr>
      <w:r>
        <w:rPr>
          <w:rFonts w:hint="eastAsia"/>
          <w:sz w:val="28"/>
          <w:szCs w:val="28"/>
        </w:rPr>
        <w:t>人员编制情况</w:t>
      </w:r>
    </w:p>
    <w:p>
      <w:pPr>
        <w:pStyle w:val="5"/>
        <w:ind w:firstLine="560" w:firstLineChars="200"/>
        <w:rPr>
          <w:sz w:val="28"/>
          <w:szCs w:val="28"/>
        </w:rPr>
      </w:pPr>
      <w:r>
        <w:rPr>
          <w:rFonts w:hint="eastAsia"/>
          <w:sz w:val="28"/>
          <w:szCs w:val="28"/>
        </w:rPr>
        <w:t>到2020年底，本单位年未实有人数18人，比上年减少5人。人员变化的原因是财政所5人划归县乡财局。</w:t>
      </w:r>
    </w:p>
    <w:p>
      <w:pPr>
        <w:pStyle w:val="5"/>
        <w:ind w:firstLine="560"/>
        <w:rPr>
          <w:b/>
          <w:bCs/>
          <w:sz w:val="28"/>
          <w:szCs w:val="28"/>
        </w:rPr>
      </w:pPr>
      <w:r>
        <w:rPr>
          <w:rFonts w:hint="eastAsia"/>
          <w:b/>
          <w:bCs/>
          <w:sz w:val="28"/>
          <w:szCs w:val="28"/>
        </w:rPr>
        <w:t>二、部门整体支出管理和使用情况</w:t>
      </w:r>
    </w:p>
    <w:p>
      <w:pPr>
        <w:pStyle w:val="5"/>
        <w:ind w:firstLine="560"/>
        <w:rPr>
          <w:sz w:val="28"/>
          <w:szCs w:val="28"/>
        </w:rPr>
      </w:pPr>
      <w:r>
        <w:rPr>
          <w:rFonts w:hint="eastAsia"/>
          <w:sz w:val="28"/>
          <w:szCs w:val="28"/>
        </w:rPr>
        <w:t>1、部门预算收支情况　　</w:t>
      </w:r>
    </w:p>
    <w:p>
      <w:pPr>
        <w:pStyle w:val="5"/>
        <w:ind w:firstLine="560"/>
        <w:rPr>
          <w:sz w:val="28"/>
          <w:szCs w:val="28"/>
        </w:rPr>
      </w:pPr>
      <w:r>
        <w:rPr>
          <w:rFonts w:hint="eastAsia"/>
          <w:sz w:val="28"/>
          <w:szCs w:val="28"/>
        </w:rPr>
        <w:t>我单位2020年度财政拨款总收入595.67万元，政府性基金预算财政拨款收入52.82万元，全年总支出648.49万元(基本支出249.65万元，项目支出398.84万元)。</w:t>
      </w:r>
    </w:p>
    <w:p>
      <w:pPr>
        <w:pStyle w:val="5"/>
        <w:numPr>
          <w:ilvl w:val="0"/>
          <w:numId w:val="4"/>
        </w:numPr>
        <w:spacing w:before="0" w:beforeAutospacing="0" w:after="0" w:afterAutospacing="0"/>
        <w:ind w:firstLine="560"/>
        <w:rPr>
          <w:sz w:val="28"/>
          <w:szCs w:val="28"/>
        </w:rPr>
      </w:pPr>
      <w:r>
        <w:rPr>
          <w:rFonts w:hint="eastAsia"/>
          <w:sz w:val="28"/>
          <w:szCs w:val="28"/>
        </w:rPr>
        <w:t>基本支出分类情况</w:t>
      </w:r>
    </w:p>
    <w:p>
      <w:pPr>
        <w:pStyle w:val="5"/>
        <w:rPr>
          <w:sz w:val="28"/>
          <w:szCs w:val="28"/>
        </w:rPr>
      </w:pPr>
      <w:r>
        <w:rPr>
          <w:rFonts w:hint="eastAsia"/>
          <w:sz w:val="28"/>
          <w:szCs w:val="28"/>
        </w:rPr>
        <w:t xml:space="preserve">    我单位基本支出范围和主要用途包括：人员经费和日常公用经费。系保障我镇机构正常运转，完成日常工作任务发生的各项支出。主要用于干部职工工资、津补贴、办公费、差旅费、资料费、水电费、和办公设备购置等日常公用经费的开支。具体包括：工资福利支出、对个人和家庭的补助、一般商品和服务支出、专项经费支出。具体为：工资福利支出168.42元，商品和服务支出68.39万元，对个人和家庭补助支出7.85万元，资本性支出5万元。</w:t>
      </w:r>
    </w:p>
    <w:p>
      <w:pPr>
        <w:pStyle w:val="5"/>
        <w:rPr>
          <w:sz w:val="28"/>
          <w:szCs w:val="28"/>
        </w:rPr>
      </w:pPr>
      <w:r>
        <w:rPr>
          <w:rFonts w:hint="eastAsia"/>
          <w:sz w:val="28"/>
          <w:szCs w:val="28"/>
        </w:rPr>
        <w:t xml:space="preserve">    3、专项支出分类情况</w:t>
      </w:r>
    </w:p>
    <w:p>
      <w:pPr>
        <w:pStyle w:val="5"/>
        <w:rPr>
          <w:sz w:val="28"/>
          <w:szCs w:val="28"/>
        </w:rPr>
      </w:pPr>
      <w:r>
        <w:rPr>
          <w:rFonts w:hint="eastAsia"/>
          <w:sz w:val="28"/>
          <w:szCs w:val="28"/>
        </w:rPr>
        <w:t xml:space="preserve">    我镇2020年专项支出工作经费346.02万元,主要用于村级转移支付，信访维稳，党建专项，精准扶贫，城乡环境同治，农村改水改厕，补助村级公益事业建设支出及农村综合服务平台建设支出。</w:t>
      </w:r>
    </w:p>
    <w:p>
      <w:pPr>
        <w:rPr>
          <w:rFonts w:cs="宋体"/>
          <w:kern w:val="0"/>
          <w:sz w:val="28"/>
          <w:szCs w:val="28"/>
        </w:rPr>
      </w:pPr>
      <w:r>
        <w:rPr>
          <w:rFonts w:hint="eastAsia"/>
          <w:sz w:val="28"/>
          <w:szCs w:val="28"/>
        </w:rPr>
        <w:t xml:space="preserve">    4</w:t>
      </w:r>
      <w:r>
        <w:rPr>
          <w:sz w:val="28"/>
          <w:szCs w:val="28"/>
        </w:rPr>
        <w:t>.</w:t>
      </w:r>
      <w:r>
        <w:rPr>
          <w:rFonts w:hint="eastAsia" w:cs="宋体"/>
          <w:kern w:val="0"/>
          <w:sz w:val="28"/>
          <w:szCs w:val="28"/>
        </w:rPr>
        <w:t>“三公”经费支出使用和管理情况</w:t>
      </w:r>
    </w:p>
    <w:p>
      <w:pPr>
        <w:pStyle w:val="10"/>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我单位“三公”经费各费用均控制在预算范围内，且较预算金额有不同程度的结余。其中：因公出国出境费用本年未发生经费支出；公务接待费11.1万元，年初预算数12.39万元相比，结余率为12%；车辆运行维护费8.65万元。与年初预算数8.65万元相比结余0万元，结余率0%。</w:t>
      </w:r>
    </w:p>
    <w:p>
      <w:pPr>
        <w:pStyle w:val="10"/>
        <w:ind w:firstLine="560" w:firstLineChars="200"/>
        <w:rPr>
          <w:rFonts w:ascii="宋体" w:hAnsi="宋体" w:eastAsia="宋体" w:cs="宋体"/>
          <w:color w:val="auto"/>
          <w:sz w:val="28"/>
          <w:szCs w:val="28"/>
        </w:rPr>
      </w:pPr>
    </w:p>
    <w:p>
      <w:pPr>
        <w:pStyle w:val="10"/>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5、政府性基金预算财政拨款情况</w:t>
      </w:r>
    </w:p>
    <w:p>
      <w:pPr>
        <w:pStyle w:val="10"/>
        <w:rPr>
          <w:rFonts w:ascii="宋体" w:hAnsi="宋体" w:eastAsia="宋体" w:cs="宋体"/>
          <w:color w:val="auto"/>
          <w:sz w:val="28"/>
          <w:szCs w:val="28"/>
        </w:rPr>
      </w:pPr>
      <w:r>
        <w:rPr>
          <w:rFonts w:hint="eastAsia" w:ascii="宋体" w:hAnsi="宋体" w:eastAsia="宋体" w:cs="宋体"/>
          <w:color w:val="auto"/>
          <w:sz w:val="28"/>
          <w:szCs w:val="28"/>
        </w:rPr>
        <w:t>我单位2020年政府性基金预算财政拨款52.82万元，是中央财政安排的抗疫特别国债安排的支出。已全部拨付到村、社区、卫生组织及购置防疫物资，其中：支付宣传费8.75万元、工作人员生活费2.68万元、镇内各职能站所防疫工作经费6万元、卫生院防控资金（铁丝塘卫生院）14.77万元、农贸市场及隔离服务点材料费0.62万元、全镇村（社区）疫情防控资金（9个村、1个社区）20万元。</w:t>
      </w:r>
    </w:p>
    <w:p>
      <w:pPr>
        <w:pStyle w:val="10"/>
        <w:ind w:firstLine="560" w:firstLineChars="200"/>
        <w:rPr>
          <w:rFonts w:ascii="宋体" w:hAnsi="宋体" w:eastAsia="宋体" w:cs="宋体"/>
          <w:color w:val="auto"/>
          <w:sz w:val="28"/>
          <w:szCs w:val="28"/>
        </w:rPr>
      </w:pPr>
    </w:p>
    <w:p>
      <w:pPr>
        <w:pStyle w:val="5"/>
        <w:rPr>
          <w:b/>
          <w:bCs/>
          <w:sz w:val="28"/>
          <w:szCs w:val="28"/>
        </w:rPr>
      </w:pPr>
      <w:r>
        <w:rPr>
          <w:rFonts w:hint="eastAsia"/>
          <w:b/>
          <w:bCs/>
          <w:sz w:val="28"/>
          <w:szCs w:val="28"/>
        </w:rPr>
        <w:t xml:space="preserve">    三、部门项目实施情况</w:t>
      </w:r>
    </w:p>
    <w:p>
      <w:pPr>
        <w:pStyle w:val="5"/>
        <w:rPr>
          <w:sz w:val="28"/>
          <w:szCs w:val="28"/>
        </w:rPr>
      </w:pPr>
      <w:r>
        <w:rPr>
          <w:rFonts w:hint="eastAsia"/>
          <w:sz w:val="28"/>
          <w:szCs w:val="28"/>
        </w:rPr>
        <w:t>　　2020年，本单位不断创新和加强管理，着力强化自身建设，切实提升保障服务水平，具体情况如下：</w:t>
      </w:r>
    </w:p>
    <w:p>
      <w:pPr>
        <w:keepNext/>
        <w:keepLines/>
        <w:shd w:val="clear" w:color="auto" w:fill="FFFFFF"/>
        <w:ind w:firstLine="560" w:firstLineChars="200"/>
        <w:jc w:val="left"/>
        <w:rPr>
          <w:rFonts w:ascii="宋体" w:hAnsi="宋体" w:eastAsia="宋体" w:cs="宋体"/>
          <w:kern w:val="0"/>
          <w:sz w:val="28"/>
          <w:szCs w:val="28"/>
        </w:rPr>
      </w:pPr>
      <w:r>
        <w:rPr>
          <w:rFonts w:ascii="宋体" w:hAnsi="宋体" w:eastAsia="宋体" w:cs="宋体"/>
          <w:kern w:val="0"/>
          <w:sz w:val="28"/>
          <w:szCs w:val="28"/>
        </w:rPr>
        <w:t>(</w:t>
      </w:r>
      <w:r>
        <w:rPr>
          <w:rFonts w:hint="eastAsia" w:ascii="宋体" w:hAnsi="宋体" w:eastAsia="宋体" w:cs="宋体"/>
          <w:kern w:val="0"/>
          <w:sz w:val="28"/>
          <w:szCs w:val="28"/>
        </w:rPr>
        <w:t>1</w:t>
      </w:r>
      <w:r>
        <w:rPr>
          <w:rFonts w:ascii="宋体" w:hAnsi="宋体" w:eastAsia="宋体" w:cs="宋体"/>
          <w:kern w:val="0"/>
          <w:sz w:val="28"/>
          <w:szCs w:val="28"/>
        </w:rPr>
        <w:t>)</w:t>
      </w:r>
      <w:r>
        <w:rPr>
          <w:rFonts w:hint="eastAsia" w:ascii="宋体" w:hAnsi="宋体" w:eastAsia="宋体" w:cs="宋体"/>
          <w:kern w:val="0"/>
          <w:sz w:val="28"/>
          <w:szCs w:val="28"/>
        </w:rPr>
        <w:t>在综合社会治理工作上，一是全力开展扫黑除恶专项斗争。二是民调工作成效巩固。三是严肃推进禁毒工作，建立禁毒工作网格化服务管理体系，镇禁毒办协同派出所对全镇进行全面排查，保障我镇社会风清气正。</w:t>
      </w:r>
    </w:p>
    <w:p>
      <w:pPr>
        <w:pStyle w:val="5"/>
        <w:ind w:firstLine="560" w:firstLineChars="200"/>
        <w:rPr>
          <w:sz w:val="28"/>
          <w:szCs w:val="28"/>
        </w:rPr>
      </w:pPr>
      <w:r>
        <w:rPr>
          <w:sz w:val="28"/>
          <w:szCs w:val="28"/>
        </w:rPr>
        <w:t>(</w:t>
      </w:r>
      <w:r>
        <w:rPr>
          <w:rFonts w:hint="eastAsia"/>
          <w:sz w:val="28"/>
          <w:szCs w:val="28"/>
        </w:rPr>
        <w:t>2</w:t>
      </w:r>
      <w:r>
        <w:rPr>
          <w:sz w:val="28"/>
          <w:szCs w:val="28"/>
        </w:rPr>
        <w:t>)</w:t>
      </w:r>
      <w:r>
        <w:rPr>
          <w:rFonts w:hint="eastAsia"/>
          <w:sz w:val="28"/>
          <w:szCs w:val="28"/>
        </w:rPr>
        <w:t>在脱贫攻坚上，全面巩固提升，已脱贫贫困户“一超过、两不愁、三保障”已达标；贫困户人均纯收入超过4120元，不愁吃穿，义务教育、基本医疗、安全住房、安全饮用水、生活用电等均有保障。</w:t>
      </w:r>
    </w:p>
    <w:p>
      <w:pPr>
        <w:pStyle w:val="5"/>
        <w:ind w:firstLine="560" w:firstLineChars="200"/>
        <w:rPr>
          <w:sz w:val="28"/>
          <w:szCs w:val="28"/>
        </w:rPr>
      </w:pPr>
      <w:r>
        <w:rPr>
          <w:rFonts w:hint="eastAsia"/>
          <w:sz w:val="28"/>
          <w:szCs w:val="28"/>
        </w:rPr>
        <w:t>(3)在应急管理工作上，出台了安全生产、道路交通、防汛、森林防火、食品安全等相关的工作方案和应急预案，确保了全镇未发生重大及以上生产安全事故、森林火灾、道路交通事故、食品安全责任事故。</w:t>
      </w:r>
    </w:p>
    <w:p>
      <w:pPr>
        <w:pStyle w:val="5"/>
        <w:ind w:firstLine="560"/>
        <w:rPr>
          <w:rFonts w:cs="Times New Roman"/>
          <w:sz w:val="28"/>
          <w:szCs w:val="28"/>
        </w:rPr>
      </w:pPr>
      <w:r>
        <w:rPr>
          <w:rFonts w:hint="eastAsia"/>
          <w:b/>
          <w:bCs/>
          <w:sz w:val="28"/>
          <w:szCs w:val="28"/>
        </w:rPr>
        <w:t>四、部门整体支出绩效评价情况</w:t>
      </w:r>
    </w:p>
    <w:p>
      <w:pPr>
        <w:pStyle w:val="5"/>
        <w:rPr>
          <w:sz w:val="28"/>
          <w:szCs w:val="28"/>
        </w:rPr>
      </w:pPr>
      <w:r>
        <w:rPr>
          <w:rFonts w:hint="eastAsia"/>
          <w:sz w:val="28"/>
          <w:szCs w:val="28"/>
        </w:rPr>
        <w:t>　　</w:t>
      </w:r>
      <w:r>
        <w:rPr>
          <w:sz w:val="28"/>
          <w:szCs w:val="28"/>
        </w:rPr>
        <w:t>1.</w:t>
      </w:r>
      <w:r>
        <w:rPr>
          <w:rFonts w:hint="eastAsia"/>
          <w:sz w:val="28"/>
          <w:szCs w:val="28"/>
        </w:rPr>
        <w:t>预算配置情况</w:t>
      </w:r>
    </w:p>
    <w:p>
      <w:pPr>
        <w:pStyle w:val="5"/>
        <w:jc w:val="both"/>
        <w:rPr>
          <w:sz w:val="28"/>
          <w:szCs w:val="28"/>
        </w:rPr>
      </w:pPr>
      <w:r>
        <w:rPr>
          <w:rFonts w:hint="eastAsia"/>
          <w:sz w:val="28"/>
          <w:szCs w:val="28"/>
        </w:rPr>
        <w:t>　　</w:t>
      </w:r>
      <w:r>
        <w:rPr>
          <w:sz w:val="28"/>
          <w:szCs w:val="28"/>
        </w:rPr>
        <w:t>(1)</w:t>
      </w:r>
      <w:r>
        <w:rPr>
          <w:rFonts w:hint="eastAsia"/>
          <w:sz w:val="28"/>
          <w:szCs w:val="28"/>
        </w:rPr>
        <w:t>在职人员控制率</w:t>
      </w:r>
      <w:r>
        <w:rPr>
          <w:sz w:val="28"/>
          <w:szCs w:val="28"/>
        </w:rPr>
        <w:t>(2</w:t>
      </w:r>
      <w:r>
        <w:rPr>
          <w:rFonts w:hint="eastAsia"/>
          <w:sz w:val="28"/>
          <w:szCs w:val="28"/>
        </w:rPr>
        <w:t>分</w:t>
      </w:r>
      <w:r>
        <w:rPr>
          <w:sz w:val="28"/>
          <w:szCs w:val="28"/>
        </w:rPr>
        <w:t>)</w:t>
      </w:r>
      <w:r>
        <w:rPr>
          <w:rFonts w:hint="eastAsia"/>
          <w:sz w:val="28"/>
          <w:szCs w:val="28"/>
        </w:rPr>
        <w:t>：本单位2020年度编制数为18人，实际在职人员为18人，实际在职人员控制率＝</w:t>
      </w:r>
      <w:r>
        <w:rPr>
          <w:sz w:val="28"/>
          <w:szCs w:val="28"/>
        </w:rPr>
        <w:t>(</w:t>
      </w:r>
      <w:r>
        <w:rPr>
          <w:rFonts w:hint="eastAsia"/>
          <w:sz w:val="28"/>
          <w:szCs w:val="28"/>
        </w:rPr>
        <w:t>在职人员数</w:t>
      </w:r>
      <w:r>
        <w:rPr>
          <w:sz w:val="28"/>
          <w:szCs w:val="28"/>
        </w:rPr>
        <w:t>/</w:t>
      </w:r>
      <w:r>
        <w:rPr>
          <w:rFonts w:hint="eastAsia"/>
          <w:sz w:val="28"/>
          <w:szCs w:val="28"/>
        </w:rPr>
        <w:t>编制数</w:t>
      </w:r>
      <w:r>
        <w:rPr>
          <w:sz w:val="28"/>
          <w:szCs w:val="28"/>
        </w:rPr>
        <w:t>)×100%</w:t>
      </w:r>
      <w:r>
        <w:rPr>
          <w:rFonts w:hint="eastAsia"/>
          <w:sz w:val="28"/>
          <w:szCs w:val="28"/>
        </w:rPr>
        <w:t>＝</w:t>
      </w:r>
      <w:r>
        <w:rPr>
          <w:sz w:val="28"/>
          <w:szCs w:val="28"/>
        </w:rPr>
        <w:t>(29/29)×100%</w:t>
      </w:r>
      <w:r>
        <w:rPr>
          <w:rFonts w:hint="eastAsia"/>
          <w:sz w:val="28"/>
          <w:szCs w:val="28"/>
        </w:rPr>
        <w:t>＝</w:t>
      </w:r>
      <w:r>
        <w:rPr>
          <w:sz w:val="28"/>
          <w:szCs w:val="28"/>
        </w:rPr>
        <w:t>100%</w:t>
      </w:r>
      <w:r>
        <w:rPr>
          <w:rFonts w:hint="eastAsia"/>
          <w:sz w:val="28"/>
          <w:szCs w:val="28"/>
        </w:rPr>
        <w:t>，在职人员控制率为</w:t>
      </w:r>
      <w:r>
        <w:rPr>
          <w:sz w:val="28"/>
          <w:szCs w:val="28"/>
        </w:rPr>
        <w:t>100%</w:t>
      </w:r>
      <w:r>
        <w:rPr>
          <w:rFonts w:hint="eastAsia"/>
          <w:sz w:val="28"/>
          <w:szCs w:val="28"/>
        </w:rPr>
        <w:t>，根据评价标准该项得2分。</w:t>
      </w:r>
    </w:p>
    <w:p>
      <w:pPr>
        <w:pStyle w:val="5"/>
        <w:rPr>
          <w:rFonts w:cs="Times New Roman"/>
          <w:sz w:val="28"/>
          <w:szCs w:val="28"/>
        </w:rPr>
      </w:pPr>
      <w:r>
        <w:rPr>
          <w:rFonts w:hint="eastAsia"/>
          <w:sz w:val="28"/>
          <w:szCs w:val="28"/>
        </w:rPr>
        <w:t>　　(</w:t>
      </w:r>
      <w:r>
        <w:rPr>
          <w:sz w:val="28"/>
          <w:szCs w:val="28"/>
        </w:rPr>
        <w:t>2)“</w:t>
      </w:r>
      <w:r>
        <w:rPr>
          <w:rFonts w:hint="eastAsia"/>
          <w:sz w:val="28"/>
          <w:szCs w:val="28"/>
        </w:rPr>
        <w:t>三公经费</w:t>
      </w:r>
      <w:r>
        <w:rPr>
          <w:sz w:val="28"/>
          <w:szCs w:val="28"/>
        </w:rPr>
        <w:t>”</w:t>
      </w:r>
      <w:r>
        <w:rPr>
          <w:rFonts w:hint="eastAsia"/>
          <w:sz w:val="28"/>
          <w:szCs w:val="28"/>
        </w:rPr>
        <w:t>变动率情况</w:t>
      </w:r>
      <w:r>
        <w:rPr>
          <w:sz w:val="28"/>
          <w:szCs w:val="28"/>
        </w:rPr>
        <w:t>(2</w:t>
      </w:r>
      <w:r>
        <w:rPr>
          <w:rFonts w:hint="eastAsia"/>
          <w:sz w:val="28"/>
          <w:szCs w:val="28"/>
        </w:rPr>
        <w:t>分</w:t>
      </w:r>
      <w:r>
        <w:rPr>
          <w:sz w:val="28"/>
          <w:szCs w:val="28"/>
        </w:rPr>
        <w:t>)</w:t>
      </w:r>
      <w:r>
        <w:rPr>
          <w:rFonts w:hint="eastAsia"/>
          <w:sz w:val="28"/>
          <w:szCs w:val="28"/>
        </w:rPr>
        <w:t>：</w:t>
      </w:r>
      <w:r>
        <w:rPr>
          <w:sz w:val="28"/>
          <w:szCs w:val="28"/>
        </w:rPr>
        <w:t>“</w:t>
      </w:r>
      <w:r>
        <w:rPr>
          <w:rFonts w:hint="eastAsia"/>
          <w:sz w:val="28"/>
          <w:szCs w:val="28"/>
        </w:rPr>
        <w:t>2020年度本单位预算安排</w:t>
      </w:r>
      <w:r>
        <w:rPr>
          <w:sz w:val="28"/>
          <w:szCs w:val="28"/>
        </w:rPr>
        <w:t>“</w:t>
      </w:r>
      <w:r>
        <w:rPr>
          <w:rFonts w:hint="eastAsia"/>
          <w:sz w:val="28"/>
          <w:szCs w:val="28"/>
        </w:rPr>
        <w:t>三公经费</w:t>
      </w:r>
      <w:r>
        <w:rPr>
          <w:sz w:val="28"/>
          <w:szCs w:val="28"/>
        </w:rPr>
        <w:t>”</w:t>
      </w:r>
      <w:r>
        <w:rPr>
          <w:rFonts w:hint="eastAsia"/>
          <w:sz w:val="28"/>
          <w:szCs w:val="28"/>
        </w:rPr>
        <w:t>总额为21.04万元，2020年度</w:t>
      </w:r>
      <w:r>
        <w:rPr>
          <w:sz w:val="28"/>
          <w:szCs w:val="28"/>
        </w:rPr>
        <w:t>“</w:t>
      </w:r>
      <w:r>
        <w:rPr>
          <w:rFonts w:hint="eastAsia"/>
          <w:sz w:val="28"/>
          <w:szCs w:val="28"/>
        </w:rPr>
        <w:t>三公经费</w:t>
      </w:r>
      <w:r>
        <w:rPr>
          <w:sz w:val="28"/>
          <w:szCs w:val="28"/>
        </w:rPr>
        <w:t>”</w:t>
      </w:r>
      <w:r>
        <w:rPr>
          <w:rFonts w:hint="eastAsia"/>
          <w:sz w:val="28"/>
          <w:szCs w:val="28"/>
        </w:rPr>
        <w:t>支出为19.75万元。上年度</w:t>
      </w:r>
      <w:r>
        <w:rPr>
          <w:sz w:val="28"/>
          <w:szCs w:val="28"/>
        </w:rPr>
        <w:t>“</w:t>
      </w:r>
      <w:r>
        <w:rPr>
          <w:rFonts w:hint="eastAsia"/>
          <w:sz w:val="28"/>
          <w:szCs w:val="28"/>
        </w:rPr>
        <w:t>三公经费</w:t>
      </w:r>
      <w:r>
        <w:rPr>
          <w:sz w:val="28"/>
          <w:szCs w:val="28"/>
        </w:rPr>
        <w:t>”</w:t>
      </w:r>
      <w:r>
        <w:rPr>
          <w:rFonts w:hint="eastAsia"/>
          <w:sz w:val="28"/>
          <w:szCs w:val="28"/>
        </w:rPr>
        <w:t>支出为21.04万元，本单位</w:t>
      </w:r>
      <w:r>
        <w:rPr>
          <w:sz w:val="28"/>
          <w:szCs w:val="28"/>
        </w:rPr>
        <w:t>“</w:t>
      </w:r>
      <w:r>
        <w:rPr>
          <w:rFonts w:hint="eastAsia"/>
          <w:sz w:val="28"/>
          <w:szCs w:val="28"/>
        </w:rPr>
        <w:t>三公经费</w:t>
      </w:r>
      <w:r>
        <w:rPr>
          <w:sz w:val="28"/>
          <w:szCs w:val="28"/>
        </w:rPr>
        <w:t>”</w:t>
      </w:r>
      <w:r>
        <w:rPr>
          <w:rFonts w:hint="eastAsia"/>
          <w:sz w:val="28"/>
          <w:szCs w:val="28"/>
        </w:rPr>
        <w:t>变动率＝</w:t>
      </w:r>
      <w:r>
        <w:rPr>
          <w:sz w:val="28"/>
          <w:szCs w:val="28"/>
        </w:rPr>
        <w:t>(</w:t>
      </w:r>
      <w:r>
        <w:rPr>
          <w:rFonts w:hint="eastAsia"/>
          <w:sz w:val="28"/>
          <w:szCs w:val="28"/>
        </w:rPr>
        <w:t>本年度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w:t>
      </w:r>
      <w:r>
        <w:rPr>
          <w:rFonts w:hint="eastAsia"/>
          <w:sz w:val="28"/>
          <w:szCs w:val="28"/>
        </w:rPr>
        <w:t>上年度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w:t>
      </w:r>
      <w:r>
        <w:rPr>
          <w:rFonts w:hint="eastAsia"/>
          <w:sz w:val="28"/>
          <w:szCs w:val="28"/>
        </w:rPr>
        <w:t>上年度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×100%</w:t>
      </w:r>
      <w:r>
        <w:rPr>
          <w:rFonts w:hint="eastAsia"/>
          <w:sz w:val="28"/>
          <w:szCs w:val="28"/>
        </w:rPr>
        <w:t>＝</w:t>
      </w:r>
      <w:r>
        <w:rPr>
          <w:sz w:val="28"/>
          <w:szCs w:val="28"/>
        </w:rPr>
        <w:t>(</w:t>
      </w:r>
      <w:r>
        <w:rPr>
          <w:rFonts w:hint="eastAsia"/>
          <w:sz w:val="28"/>
          <w:szCs w:val="28"/>
        </w:rPr>
        <w:t>19.75-21.04</w:t>
      </w:r>
      <w:r>
        <w:rPr>
          <w:sz w:val="28"/>
          <w:szCs w:val="28"/>
        </w:rPr>
        <w:t>)/</w:t>
      </w:r>
      <w:r>
        <w:rPr>
          <w:rFonts w:hint="eastAsia"/>
          <w:sz w:val="28"/>
          <w:szCs w:val="28"/>
        </w:rPr>
        <w:t>21.04</w:t>
      </w:r>
      <w:r>
        <w:rPr>
          <w:sz w:val="28"/>
          <w:szCs w:val="28"/>
        </w:rPr>
        <w:t>×100%</w:t>
      </w:r>
      <w:r>
        <w:rPr>
          <w:rFonts w:hint="eastAsia"/>
          <w:sz w:val="28"/>
          <w:szCs w:val="28"/>
        </w:rPr>
        <w:t>＝6.13%&lt;10%。根据评价标准该项得满分</w:t>
      </w:r>
      <w:r>
        <w:rPr>
          <w:sz w:val="28"/>
          <w:szCs w:val="28"/>
        </w:rPr>
        <w:t>2</w:t>
      </w:r>
      <w:r>
        <w:rPr>
          <w:rFonts w:hint="eastAsia"/>
          <w:sz w:val="28"/>
          <w:szCs w:val="28"/>
        </w:rPr>
        <w:t>分。</w:t>
      </w:r>
    </w:p>
    <w:p>
      <w:pPr>
        <w:pStyle w:val="5"/>
        <w:rPr>
          <w:rFonts w:cs="Times New Roman"/>
          <w:sz w:val="28"/>
          <w:szCs w:val="28"/>
        </w:rPr>
      </w:pPr>
      <w:r>
        <w:rPr>
          <w:rFonts w:hint="eastAsia"/>
          <w:sz w:val="28"/>
          <w:szCs w:val="28"/>
        </w:rPr>
        <w:t>　　</w:t>
      </w:r>
      <w:r>
        <w:rPr>
          <w:sz w:val="28"/>
          <w:szCs w:val="28"/>
        </w:rPr>
        <w:t>2.</w:t>
      </w:r>
      <w:r>
        <w:rPr>
          <w:rFonts w:hint="eastAsia"/>
          <w:sz w:val="28"/>
          <w:szCs w:val="28"/>
        </w:rPr>
        <w:t>预算执行情况</w:t>
      </w:r>
    </w:p>
    <w:p>
      <w:pPr>
        <w:pStyle w:val="5"/>
        <w:ind w:firstLine="560"/>
        <w:jc w:val="both"/>
        <w:rPr>
          <w:sz w:val="28"/>
          <w:szCs w:val="28"/>
        </w:rPr>
      </w:pPr>
      <w:r>
        <w:rPr>
          <w:rFonts w:hint="eastAsia"/>
          <w:sz w:val="28"/>
          <w:szCs w:val="28"/>
        </w:rPr>
        <w:t>公用经费控制率</w:t>
      </w:r>
      <w:r>
        <w:rPr>
          <w:sz w:val="28"/>
          <w:szCs w:val="28"/>
        </w:rPr>
        <w:t>(</w:t>
      </w:r>
      <w:r>
        <w:rPr>
          <w:rFonts w:hint="eastAsia"/>
          <w:sz w:val="28"/>
          <w:szCs w:val="28"/>
        </w:rPr>
        <w:t>2分</w:t>
      </w:r>
      <w:r>
        <w:rPr>
          <w:sz w:val="28"/>
          <w:szCs w:val="28"/>
        </w:rPr>
        <w:t>)</w:t>
      </w:r>
      <w:r>
        <w:rPr>
          <w:rFonts w:hint="eastAsia"/>
          <w:sz w:val="28"/>
          <w:szCs w:val="28"/>
        </w:rPr>
        <w:t>：2020年度本单位实际公用经费支出为73.39万元，年初预算安排公用经费为86.44万元，本单位公用经费控制率＝</w:t>
      </w:r>
      <w:r>
        <w:rPr>
          <w:sz w:val="28"/>
          <w:szCs w:val="28"/>
        </w:rPr>
        <w:t>(</w:t>
      </w:r>
      <w:r>
        <w:rPr>
          <w:rFonts w:hint="eastAsia"/>
          <w:sz w:val="28"/>
          <w:szCs w:val="28"/>
        </w:rPr>
        <w:t>实际支出公用经费总额</w:t>
      </w:r>
      <w:r>
        <w:rPr>
          <w:sz w:val="28"/>
          <w:szCs w:val="28"/>
        </w:rPr>
        <w:t>÷</w:t>
      </w:r>
      <w:r>
        <w:rPr>
          <w:rFonts w:hint="eastAsia"/>
          <w:sz w:val="28"/>
          <w:szCs w:val="28"/>
        </w:rPr>
        <w:t>预算安排公用经费总额</w:t>
      </w:r>
      <w:r>
        <w:rPr>
          <w:sz w:val="28"/>
          <w:szCs w:val="28"/>
        </w:rPr>
        <w:t>)×100%</w:t>
      </w:r>
      <w:r>
        <w:rPr>
          <w:rFonts w:hint="eastAsia"/>
          <w:sz w:val="28"/>
          <w:szCs w:val="28"/>
        </w:rPr>
        <w:t>＝73.39万元</w:t>
      </w:r>
      <w:r>
        <w:rPr>
          <w:sz w:val="28"/>
          <w:szCs w:val="28"/>
        </w:rPr>
        <w:t>÷</w:t>
      </w:r>
      <w:r>
        <w:rPr>
          <w:rFonts w:hint="eastAsia"/>
          <w:sz w:val="28"/>
          <w:szCs w:val="28"/>
        </w:rPr>
        <w:t>86.44万元</w:t>
      </w:r>
      <w:r>
        <w:rPr>
          <w:sz w:val="28"/>
          <w:szCs w:val="28"/>
        </w:rPr>
        <w:t>×100%</w:t>
      </w:r>
      <w:r>
        <w:rPr>
          <w:rFonts w:hint="eastAsia"/>
          <w:sz w:val="28"/>
          <w:szCs w:val="28"/>
        </w:rPr>
        <w:t>＝85</w:t>
      </w:r>
      <w:r>
        <w:rPr>
          <w:sz w:val="28"/>
          <w:szCs w:val="28"/>
        </w:rPr>
        <w:t>%</w:t>
      </w:r>
      <w:r>
        <w:rPr>
          <w:rFonts w:hint="eastAsia"/>
          <w:sz w:val="28"/>
          <w:szCs w:val="28"/>
        </w:rPr>
        <w:t>&lt;</w:t>
      </w:r>
      <w:r>
        <w:rPr>
          <w:sz w:val="28"/>
          <w:szCs w:val="28"/>
        </w:rPr>
        <w:t>100%</w:t>
      </w:r>
      <w:r>
        <w:rPr>
          <w:rFonts w:hint="eastAsia"/>
          <w:sz w:val="28"/>
          <w:szCs w:val="28"/>
        </w:rPr>
        <w:t>，根据评分标准，本单位该项指标应得2分。</w:t>
      </w:r>
    </w:p>
    <w:p>
      <w:pPr>
        <w:pStyle w:val="5"/>
        <w:ind w:firstLine="560" w:firstLineChars="200"/>
        <w:rPr>
          <w:rFonts w:cs="Times New Roman"/>
          <w:sz w:val="28"/>
          <w:szCs w:val="28"/>
          <w:highlight w:val="yellow"/>
        </w:rPr>
      </w:pPr>
      <w:r>
        <w:rPr>
          <w:sz w:val="28"/>
          <w:szCs w:val="28"/>
        </w:rPr>
        <w:t>“</w:t>
      </w:r>
      <w:r>
        <w:rPr>
          <w:rFonts w:hint="eastAsia"/>
          <w:sz w:val="28"/>
          <w:szCs w:val="28"/>
        </w:rPr>
        <w:t>三公经费</w:t>
      </w:r>
      <w:r>
        <w:rPr>
          <w:sz w:val="28"/>
          <w:szCs w:val="28"/>
        </w:rPr>
        <w:t>”</w:t>
      </w:r>
      <w:r>
        <w:rPr>
          <w:rFonts w:hint="eastAsia"/>
          <w:sz w:val="28"/>
          <w:szCs w:val="28"/>
        </w:rPr>
        <w:t>控制率</w:t>
      </w:r>
      <w:r>
        <w:rPr>
          <w:sz w:val="28"/>
          <w:szCs w:val="28"/>
        </w:rPr>
        <w:t>(</w:t>
      </w:r>
      <w:r>
        <w:rPr>
          <w:rFonts w:hint="eastAsia"/>
          <w:sz w:val="28"/>
          <w:szCs w:val="28"/>
        </w:rPr>
        <w:t>2分</w:t>
      </w:r>
      <w:r>
        <w:rPr>
          <w:sz w:val="28"/>
          <w:szCs w:val="28"/>
        </w:rPr>
        <w:t>)</w:t>
      </w:r>
      <w:r>
        <w:rPr>
          <w:rFonts w:hint="eastAsia"/>
          <w:sz w:val="28"/>
          <w:szCs w:val="28"/>
        </w:rPr>
        <w:t>：2020年度本单位</w:t>
      </w:r>
      <w:r>
        <w:rPr>
          <w:sz w:val="28"/>
          <w:szCs w:val="28"/>
        </w:rPr>
        <w:t>“</w:t>
      </w:r>
      <w:r>
        <w:rPr>
          <w:rFonts w:hint="eastAsia"/>
          <w:sz w:val="28"/>
          <w:szCs w:val="28"/>
        </w:rPr>
        <w:t>三公经费</w:t>
      </w:r>
      <w:r>
        <w:rPr>
          <w:sz w:val="28"/>
          <w:szCs w:val="28"/>
        </w:rPr>
        <w:t>”</w:t>
      </w:r>
      <w:r>
        <w:rPr>
          <w:rFonts w:hint="eastAsia"/>
          <w:sz w:val="28"/>
          <w:szCs w:val="28"/>
        </w:rPr>
        <w:t>实际支出数为19.75万元</w:t>
      </w:r>
      <w:r>
        <w:rPr>
          <w:sz w:val="28"/>
          <w:szCs w:val="28"/>
        </w:rPr>
        <w:t>(</w:t>
      </w:r>
      <w:r>
        <w:rPr>
          <w:rFonts w:hint="eastAsia"/>
          <w:sz w:val="28"/>
          <w:szCs w:val="28"/>
        </w:rPr>
        <w:t>公务接待费11.1万元、公务用车运行维护费8.65万元</w:t>
      </w:r>
      <w:r>
        <w:rPr>
          <w:sz w:val="28"/>
          <w:szCs w:val="28"/>
        </w:rPr>
        <w:t>)</w:t>
      </w:r>
      <w:r>
        <w:rPr>
          <w:rFonts w:hint="eastAsia"/>
          <w:sz w:val="28"/>
          <w:szCs w:val="28"/>
        </w:rPr>
        <w:t>，</w:t>
      </w:r>
      <w:r>
        <w:rPr>
          <w:sz w:val="28"/>
          <w:szCs w:val="28"/>
        </w:rPr>
        <w:t>“</w:t>
      </w:r>
      <w:r>
        <w:rPr>
          <w:rFonts w:hint="eastAsia"/>
          <w:sz w:val="28"/>
          <w:szCs w:val="28"/>
        </w:rPr>
        <w:t>三公经费</w:t>
      </w:r>
      <w:r>
        <w:rPr>
          <w:sz w:val="28"/>
          <w:szCs w:val="28"/>
        </w:rPr>
        <w:t>”</w:t>
      </w:r>
      <w:r>
        <w:rPr>
          <w:rFonts w:hint="eastAsia"/>
          <w:sz w:val="28"/>
          <w:szCs w:val="28"/>
        </w:rPr>
        <w:t>年初预算数为21.04万元</w:t>
      </w:r>
      <w:r>
        <w:rPr>
          <w:sz w:val="28"/>
          <w:szCs w:val="28"/>
        </w:rPr>
        <w:t>(</w:t>
      </w:r>
      <w:r>
        <w:rPr>
          <w:rFonts w:hint="eastAsia"/>
          <w:sz w:val="28"/>
          <w:szCs w:val="28"/>
        </w:rPr>
        <w:t>公务接待费12.39万元、公务用车运行维护费8.65万元</w:t>
      </w:r>
      <w:r>
        <w:rPr>
          <w:sz w:val="28"/>
          <w:szCs w:val="28"/>
        </w:rPr>
        <w:t>)</w:t>
      </w:r>
      <w:r>
        <w:rPr>
          <w:rFonts w:hint="eastAsia"/>
          <w:sz w:val="28"/>
          <w:szCs w:val="28"/>
        </w:rPr>
        <w:t>，本单位</w:t>
      </w:r>
      <w:r>
        <w:rPr>
          <w:sz w:val="28"/>
          <w:szCs w:val="28"/>
        </w:rPr>
        <w:t>“</w:t>
      </w:r>
      <w:r>
        <w:rPr>
          <w:rFonts w:hint="eastAsia"/>
          <w:sz w:val="28"/>
          <w:szCs w:val="28"/>
        </w:rPr>
        <w:t>三公经费</w:t>
      </w:r>
      <w:r>
        <w:rPr>
          <w:sz w:val="28"/>
          <w:szCs w:val="28"/>
        </w:rPr>
        <w:t>”</w:t>
      </w:r>
      <w:r>
        <w:rPr>
          <w:rFonts w:hint="eastAsia"/>
          <w:sz w:val="28"/>
          <w:szCs w:val="28"/>
        </w:rPr>
        <w:t>控制率＝</w:t>
      </w:r>
      <w:r>
        <w:rPr>
          <w:sz w:val="28"/>
          <w:szCs w:val="28"/>
        </w:rPr>
        <w:t>(“</w:t>
      </w:r>
      <w:r>
        <w:rPr>
          <w:rFonts w:hint="eastAsia"/>
          <w:sz w:val="28"/>
          <w:szCs w:val="28"/>
        </w:rPr>
        <w:t>三公经费</w:t>
      </w:r>
      <w:r>
        <w:rPr>
          <w:sz w:val="28"/>
          <w:szCs w:val="28"/>
        </w:rPr>
        <w:t>”</w:t>
      </w:r>
      <w:r>
        <w:rPr>
          <w:rFonts w:hint="eastAsia"/>
          <w:sz w:val="28"/>
          <w:szCs w:val="28"/>
        </w:rPr>
        <w:t>实际支出数</w:t>
      </w:r>
      <w:r>
        <w:rPr>
          <w:sz w:val="28"/>
          <w:szCs w:val="28"/>
        </w:rPr>
        <w:t>÷“</w:t>
      </w:r>
      <w:r>
        <w:rPr>
          <w:rFonts w:hint="eastAsia"/>
          <w:sz w:val="28"/>
          <w:szCs w:val="28"/>
        </w:rPr>
        <w:t>三公经费</w:t>
      </w:r>
      <w:r>
        <w:rPr>
          <w:sz w:val="28"/>
          <w:szCs w:val="28"/>
        </w:rPr>
        <w:t>”</w:t>
      </w:r>
      <w:r>
        <w:rPr>
          <w:rFonts w:hint="eastAsia"/>
          <w:sz w:val="28"/>
          <w:szCs w:val="28"/>
        </w:rPr>
        <w:t>预算安排数</w:t>
      </w:r>
      <w:r>
        <w:rPr>
          <w:sz w:val="28"/>
          <w:szCs w:val="28"/>
        </w:rPr>
        <w:t>)×100%</w:t>
      </w:r>
      <w:r>
        <w:rPr>
          <w:rFonts w:hint="eastAsia"/>
          <w:sz w:val="28"/>
          <w:szCs w:val="28"/>
        </w:rPr>
        <w:t>＝19.75万元</w:t>
      </w:r>
      <w:r>
        <w:rPr>
          <w:sz w:val="28"/>
          <w:szCs w:val="28"/>
        </w:rPr>
        <w:t>/</w:t>
      </w:r>
      <w:r>
        <w:rPr>
          <w:rFonts w:hint="eastAsia"/>
          <w:sz w:val="28"/>
          <w:szCs w:val="28"/>
        </w:rPr>
        <w:t>21.04万元</w:t>
      </w:r>
      <w:r>
        <w:rPr>
          <w:sz w:val="28"/>
          <w:szCs w:val="28"/>
        </w:rPr>
        <w:t>×100%</w:t>
      </w:r>
      <w:r>
        <w:rPr>
          <w:rFonts w:hint="eastAsia"/>
          <w:sz w:val="28"/>
          <w:szCs w:val="28"/>
        </w:rPr>
        <w:t>＝93.87</w:t>
      </w:r>
      <w:r>
        <w:rPr>
          <w:sz w:val="28"/>
          <w:szCs w:val="28"/>
        </w:rPr>
        <w:t>%&lt;100%</w:t>
      </w:r>
      <w:r>
        <w:rPr>
          <w:rFonts w:hint="eastAsia"/>
          <w:sz w:val="28"/>
          <w:szCs w:val="28"/>
        </w:rPr>
        <w:t>，根据评分标准，本单位该项指标应得满分。</w:t>
      </w:r>
    </w:p>
    <w:p>
      <w:pPr>
        <w:pStyle w:val="5"/>
        <w:ind w:firstLine="560"/>
        <w:rPr>
          <w:sz w:val="28"/>
          <w:szCs w:val="28"/>
        </w:rPr>
      </w:pPr>
      <w:r>
        <w:rPr>
          <w:rFonts w:hint="eastAsia"/>
          <w:sz w:val="28"/>
          <w:szCs w:val="28"/>
        </w:rPr>
        <w:t>3.预算管理情况</w:t>
      </w:r>
    </w:p>
    <w:p>
      <w:pPr>
        <w:pStyle w:val="5"/>
        <w:ind w:firstLine="560" w:firstLineChars="200"/>
        <w:rPr>
          <w:sz w:val="28"/>
          <w:szCs w:val="28"/>
        </w:rPr>
      </w:pPr>
      <w:r>
        <w:rPr>
          <w:rFonts w:hint="eastAsia"/>
          <w:sz w:val="28"/>
          <w:szCs w:val="28"/>
        </w:rPr>
        <w:t>管理制度健全性</w:t>
      </w:r>
      <w:r>
        <w:rPr>
          <w:sz w:val="28"/>
          <w:szCs w:val="28"/>
        </w:rPr>
        <w:t>(</w:t>
      </w:r>
      <w:r>
        <w:rPr>
          <w:rFonts w:hint="eastAsia"/>
          <w:sz w:val="28"/>
          <w:szCs w:val="28"/>
        </w:rPr>
        <w:t>2分</w:t>
      </w:r>
      <w:r>
        <w:rPr>
          <w:sz w:val="28"/>
          <w:szCs w:val="28"/>
        </w:rPr>
        <w:t>)</w:t>
      </w:r>
      <w:r>
        <w:rPr>
          <w:rFonts w:hint="eastAsia"/>
          <w:sz w:val="28"/>
          <w:szCs w:val="28"/>
        </w:rPr>
        <w:t>：本单位制订了《铁丝塘镇人民政府管理制度》，建立了各项管理制度，有内部财务管理制度、公务接待管理制度、公务出差审批制度、公车管理制度等相关制度，有本部门厉行节约制度，相关管理制度合法、合规、完整，相关管理制度得到有效执行，根据评分标准，本单位该项指标1.8分。</w:t>
      </w:r>
    </w:p>
    <w:p>
      <w:pPr>
        <w:pStyle w:val="5"/>
        <w:ind w:firstLine="560" w:firstLineChars="200"/>
        <w:rPr>
          <w:rFonts w:cs="Times New Roman"/>
          <w:sz w:val="28"/>
          <w:szCs w:val="28"/>
        </w:rPr>
      </w:pPr>
      <w:r>
        <w:rPr>
          <w:rFonts w:hint="eastAsia"/>
          <w:sz w:val="28"/>
          <w:szCs w:val="28"/>
        </w:rPr>
        <w:t>资金使用和规性</w:t>
      </w:r>
      <w:r>
        <w:rPr>
          <w:sz w:val="28"/>
          <w:szCs w:val="28"/>
        </w:rPr>
        <w:t>(</w:t>
      </w:r>
      <w:r>
        <w:rPr>
          <w:rFonts w:hint="eastAsia"/>
          <w:sz w:val="28"/>
          <w:szCs w:val="28"/>
        </w:rPr>
        <w:t>4分</w:t>
      </w:r>
      <w:r>
        <w:rPr>
          <w:sz w:val="28"/>
          <w:szCs w:val="28"/>
        </w:rPr>
        <w:t>)</w:t>
      </w:r>
      <w:r>
        <w:rPr>
          <w:rFonts w:hint="eastAsia"/>
          <w:sz w:val="28"/>
          <w:szCs w:val="28"/>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w:t>
      </w:r>
    </w:p>
    <w:p>
      <w:pPr>
        <w:pStyle w:val="5"/>
        <w:ind w:firstLine="560"/>
        <w:rPr>
          <w:sz w:val="28"/>
          <w:szCs w:val="28"/>
        </w:rPr>
      </w:pPr>
      <w:r>
        <w:rPr>
          <w:rFonts w:hint="eastAsia"/>
          <w:sz w:val="28"/>
          <w:szCs w:val="28"/>
        </w:rPr>
        <w:t>预决算信息公开性</w:t>
      </w:r>
      <w:r>
        <w:rPr>
          <w:sz w:val="28"/>
          <w:szCs w:val="28"/>
        </w:rPr>
        <w:t>(</w:t>
      </w:r>
      <w:r>
        <w:rPr>
          <w:rFonts w:hint="eastAsia"/>
          <w:sz w:val="28"/>
          <w:szCs w:val="28"/>
        </w:rPr>
        <w:t>2分</w:t>
      </w:r>
      <w:r>
        <w:rPr>
          <w:sz w:val="28"/>
          <w:szCs w:val="28"/>
        </w:rPr>
        <w:t>)</w:t>
      </w:r>
      <w:r>
        <w:rPr>
          <w:rFonts w:hint="eastAsia"/>
          <w:sz w:val="28"/>
          <w:szCs w:val="28"/>
        </w:rPr>
        <w:t>：本单位2020年度预算和决算都已按财政局要求进行公开，本单位基础数据信息和会计信息资料真实、完整，基础数据信息和汇集信息资料准确。根据评分标准，本单位该项指标得满分。</w:t>
      </w:r>
    </w:p>
    <w:p>
      <w:pPr>
        <w:pStyle w:val="5"/>
        <w:ind w:firstLine="560"/>
        <w:rPr>
          <w:sz w:val="28"/>
          <w:szCs w:val="28"/>
        </w:rPr>
      </w:pPr>
      <w:r>
        <w:rPr>
          <w:rFonts w:hint="eastAsia"/>
          <w:sz w:val="28"/>
          <w:szCs w:val="28"/>
        </w:rPr>
        <w:t>4、固定资产管理　</w:t>
      </w:r>
    </w:p>
    <w:p>
      <w:pPr>
        <w:pStyle w:val="5"/>
        <w:ind w:firstLine="560"/>
        <w:rPr>
          <w:sz w:val="28"/>
          <w:szCs w:val="28"/>
        </w:rPr>
      </w:pPr>
      <w:r>
        <w:rPr>
          <w:rFonts w:hint="eastAsia"/>
          <w:sz w:val="28"/>
          <w:szCs w:val="28"/>
        </w:rPr>
        <w:t>本单位固定资产保存完整，使用合规，配置合理，处置规范。固定资产有专人管理，并且有专帐，及时进行卡片登记，固定资产账实账物相符，资产利用率高。</w:t>
      </w:r>
    </w:p>
    <w:p>
      <w:pPr>
        <w:pStyle w:val="5"/>
        <w:ind w:firstLine="560"/>
        <w:rPr>
          <w:sz w:val="28"/>
          <w:szCs w:val="28"/>
        </w:rPr>
      </w:pPr>
      <w:r>
        <w:rPr>
          <w:rFonts w:hint="eastAsia"/>
          <w:sz w:val="28"/>
          <w:szCs w:val="28"/>
        </w:rPr>
        <w:t>5、职责履行及履职效益</w:t>
      </w:r>
    </w:p>
    <w:p>
      <w:pPr>
        <w:pStyle w:val="5"/>
        <w:rPr>
          <w:rFonts w:cs="Times New Roman"/>
          <w:sz w:val="28"/>
          <w:szCs w:val="28"/>
        </w:rPr>
      </w:pPr>
      <w:r>
        <w:rPr>
          <w:rFonts w:hint="eastAsia"/>
          <w:sz w:val="28"/>
          <w:szCs w:val="28"/>
        </w:rPr>
        <w:t>　　重点工作办结率</w:t>
      </w:r>
      <w:r>
        <w:rPr>
          <w:sz w:val="28"/>
          <w:szCs w:val="28"/>
        </w:rPr>
        <w:t>(</w:t>
      </w:r>
      <w:r>
        <w:rPr>
          <w:rFonts w:hint="eastAsia"/>
          <w:sz w:val="28"/>
          <w:szCs w:val="28"/>
        </w:rPr>
        <w:t>5分</w:t>
      </w:r>
      <w:r>
        <w:rPr>
          <w:sz w:val="28"/>
          <w:szCs w:val="28"/>
        </w:rPr>
        <w:t>)</w:t>
      </w:r>
      <w:r>
        <w:rPr>
          <w:rFonts w:hint="eastAsia"/>
          <w:sz w:val="28"/>
          <w:szCs w:val="28"/>
        </w:rPr>
        <w:t>：本单位要围绕促进经济发展、增加农民收入，强化公共服务、着力改善民生，加强社会管理、维护农村稳定，推进基层民主、促进农村和谐四个方面全面履行职能，圆满完成了各项工作任务。根据评分标准，本单位该项指标得满分。</w:t>
      </w:r>
    </w:p>
    <w:p>
      <w:pPr>
        <w:pStyle w:val="5"/>
        <w:ind w:firstLine="560" w:firstLineChars="200"/>
        <w:rPr>
          <w:sz w:val="28"/>
          <w:szCs w:val="28"/>
        </w:rPr>
      </w:pPr>
      <w:r>
        <w:rPr>
          <w:rFonts w:hint="eastAsia"/>
          <w:sz w:val="28"/>
          <w:szCs w:val="28"/>
        </w:rPr>
        <w:t>经济效益</w:t>
      </w:r>
      <w:r>
        <w:rPr>
          <w:sz w:val="28"/>
          <w:szCs w:val="28"/>
        </w:rPr>
        <w:t>(</w:t>
      </w:r>
      <w:r>
        <w:rPr>
          <w:rFonts w:hint="eastAsia"/>
          <w:sz w:val="28"/>
          <w:szCs w:val="28"/>
        </w:rPr>
        <w:t>8分</w:t>
      </w:r>
      <w:r>
        <w:rPr>
          <w:sz w:val="28"/>
          <w:szCs w:val="28"/>
        </w:rPr>
        <w:t>)</w:t>
      </w:r>
      <w:r>
        <w:rPr>
          <w:rFonts w:hint="eastAsia"/>
          <w:sz w:val="28"/>
          <w:szCs w:val="28"/>
        </w:rPr>
        <w:t>：本单位坚决宣传和贯彻执行党和国家对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根据评分标准，本单位（经济效益）该项指标7.7分。</w:t>
      </w:r>
    </w:p>
    <w:p>
      <w:pPr>
        <w:pStyle w:val="5"/>
        <w:ind w:firstLine="560" w:firstLineChars="200"/>
        <w:rPr>
          <w:rFonts w:cs="Times New Roman"/>
          <w:sz w:val="28"/>
          <w:szCs w:val="28"/>
        </w:rPr>
      </w:pPr>
      <w:r>
        <w:rPr>
          <w:rFonts w:hint="eastAsia"/>
          <w:sz w:val="28"/>
          <w:szCs w:val="28"/>
        </w:rPr>
        <w:t>社会效益</w:t>
      </w:r>
      <w:r>
        <w:rPr>
          <w:sz w:val="28"/>
          <w:szCs w:val="28"/>
        </w:rPr>
        <w:t>(</w:t>
      </w:r>
      <w:r>
        <w:rPr>
          <w:rFonts w:hint="eastAsia"/>
          <w:sz w:val="28"/>
          <w:szCs w:val="28"/>
        </w:rPr>
        <w:t>8分</w:t>
      </w:r>
      <w:r>
        <w:rPr>
          <w:sz w:val="28"/>
          <w:szCs w:val="28"/>
        </w:rPr>
        <w:t>)</w:t>
      </w:r>
      <w:r>
        <w:rPr>
          <w:rFonts w:hint="eastAsia"/>
          <w:sz w:val="28"/>
          <w:szCs w:val="28"/>
        </w:rPr>
        <w:t>：本单位狠抓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本单位（社会效益）该项指标得满分7.6分。</w:t>
      </w:r>
    </w:p>
    <w:p>
      <w:pPr>
        <w:pStyle w:val="5"/>
        <w:rPr>
          <w:rFonts w:cs="Times New Roman"/>
          <w:sz w:val="28"/>
          <w:szCs w:val="28"/>
        </w:rPr>
      </w:pPr>
      <w:r>
        <w:rPr>
          <w:rFonts w:hint="eastAsia"/>
          <w:sz w:val="28"/>
          <w:szCs w:val="28"/>
        </w:rPr>
        <w:t>　　</w:t>
      </w:r>
      <w:r>
        <w:rPr>
          <w:rFonts w:hint="eastAsia"/>
          <w:b/>
          <w:bCs/>
          <w:sz w:val="28"/>
          <w:szCs w:val="28"/>
        </w:rPr>
        <w:t>五、绩效评价结论</w:t>
      </w:r>
    </w:p>
    <w:p>
      <w:pPr>
        <w:pStyle w:val="5"/>
        <w:ind w:firstLine="560"/>
        <w:rPr>
          <w:sz w:val="28"/>
          <w:szCs w:val="28"/>
        </w:rPr>
      </w:pPr>
      <w:r>
        <w:rPr>
          <w:sz w:val="28"/>
          <w:szCs w:val="28"/>
        </w:rPr>
        <w:t>1.</w:t>
      </w:r>
      <w:r>
        <w:rPr>
          <w:rFonts w:hint="eastAsia"/>
          <w:sz w:val="28"/>
          <w:szCs w:val="28"/>
        </w:rPr>
        <w:t>绩效评价得分情况。根据评价指标体系测算，本单位部门整体支出绩效评价得分是：投入绩效为</w:t>
      </w:r>
      <w:r>
        <w:rPr>
          <w:sz w:val="28"/>
          <w:szCs w:val="28"/>
        </w:rPr>
        <w:t>1</w:t>
      </w:r>
      <w:r>
        <w:rPr>
          <w:rFonts w:hint="eastAsia"/>
          <w:sz w:val="28"/>
          <w:szCs w:val="28"/>
        </w:rPr>
        <w:t>0分，过程绩效为31.27分，产出为25.1分，效率绩效为30.3分，总绩效为96.67分。　　</w:t>
      </w:r>
    </w:p>
    <w:p>
      <w:pPr>
        <w:pStyle w:val="5"/>
        <w:ind w:firstLine="560"/>
        <w:rPr>
          <w:rFonts w:cs="Times New Roman"/>
          <w:sz w:val="28"/>
          <w:szCs w:val="28"/>
        </w:rPr>
      </w:pPr>
      <w:r>
        <w:rPr>
          <w:sz w:val="28"/>
          <w:szCs w:val="28"/>
        </w:rPr>
        <w:t>2.</w:t>
      </w:r>
      <w:r>
        <w:rPr>
          <w:rFonts w:hint="eastAsia"/>
          <w:sz w:val="28"/>
          <w:szCs w:val="28"/>
        </w:rPr>
        <w:t>存在绩效问题。</w:t>
      </w:r>
    </w:p>
    <w:p>
      <w:pPr>
        <w:pStyle w:val="5"/>
        <w:rPr>
          <w:rFonts w:cs="Times New Roman"/>
          <w:sz w:val="28"/>
          <w:szCs w:val="28"/>
        </w:rPr>
      </w:pPr>
      <w:r>
        <w:rPr>
          <w:rFonts w:hint="eastAsia"/>
          <w:sz w:val="28"/>
          <w:szCs w:val="28"/>
        </w:rPr>
        <w:t>　　</w:t>
      </w:r>
      <w:r>
        <w:rPr>
          <w:sz w:val="28"/>
          <w:szCs w:val="28"/>
        </w:rPr>
        <w:t>(1)</w:t>
      </w:r>
      <w:r>
        <w:rPr>
          <w:rFonts w:hint="eastAsia"/>
          <w:sz w:val="28"/>
          <w:szCs w:val="28"/>
        </w:rPr>
        <w:t>年初编制的预算不够精确，导致年内预算追加较大，预算调整率较高，影响单位评分及评价等次。</w:t>
      </w:r>
    </w:p>
    <w:p>
      <w:pPr>
        <w:pStyle w:val="5"/>
        <w:ind w:firstLine="560"/>
        <w:rPr>
          <w:sz w:val="28"/>
          <w:szCs w:val="28"/>
        </w:rPr>
      </w:pPr>
      <w:r>
        <w:rPr>
          <w:sz w:val="28"/>
          <w:szCs w:val="28"/>
        </w:rPr>
        <w:t>(2)</w:t>
      </w:r>
      <w:r>
        <w:rPr>
          <w:rFonts w:hint="eastAsia"/>
          <w:sz w:val="28"/>
          <w:szCs w:val="28"/>
        </w:rPr>
        <w:t>财政预算资金到位比较迟缓，各项目经费支付不能及时到位。预算执行情况还有待加强，年终有结余，预算完成率及结转结余率影响扣分，应养成当年经费当年支出，改掉阴历年前结账的习惯。</w:t>
      </w:r>
    </w:p>
    <w:p>
      <w:pPr>
        <w:pStyle w:val="5"/>
        <w:ind w:firstLine="560"/>
        <w:rPr>
          <w:sz w:val="28"/>
          <w:szCs w:val="28"/>
        </w:rPr>
      </w:pPr>
      <w:r>
        <w:rPr>
          <w:sz w:val="28"/>
          <w:szCs w:val="28"/>
        </w:rPr>
        <w:t>(</w:t>
      </w:r>
      <w:r>
        <w:rPr>
          <w:rFonts w:hint="eastAsia"/>
          <w:sz w:val="28"/>
          <w:szCs w:val="28"/>
        </w:rPr>
        <w:t>3</w:t>
      </w:r>
      <w:r>
        <w:rPr>
          <w:sz w:val="28"/>
          <w:szCs w:val="28"/>
        </w:rPr>
        <w:t>)</w:t>
      </w:r>
      <w:r>
        <w:rPr>
          <w:rFonts w:hint="eastAsia"/>
          <w:sz w:val="28"/>
          <w:szCs w:val="28"/>
        </w:rPr>
        <w:t>财务制度执行力有待加强，资金使用计划有待细化。</w:t>
      </w:r>
    </w:p>
    <w:p>
      <w:pPr>
        <w:pStyle w:val="5"/>
        <w:ind w:firstLine="560" w:firstLineChars="200"/>
        <w:rPr>
          <w:b/>
          <w:bCs/>
          <w:sz w:val="28"/>
          <w:szCs w:val="28"/>
        </w:rPr>
      </w:pPr>
      <w:r>
        <w:rPr>
          <w:rFonts w:hint="eastAsia"/>
          <w:b/>
          <w:bCs/>
          <w:sz w:val="28"/>
          <w:szCs w:val="28"/>
        </w:rPr>
        <w:t>六、改进措施与建议</w:t>
      </w:r>
    </w:p>
    <w:p>
      <w:pPr>
        <w:pStyle w:val="5"/>
        <w:ind w:firstLine="560"/>
        <w:rPr>
          <w:rFonts w:cs="Times New Roman"/>
          <w:sz w:val="28"/>
          <w:szCs w:val="28"/>
        </w:rPr>
      </w:pPr>
      <w:r>
        <w:rPr>
          <w:rFonts w:hint="eastAsia"/>
          <w:sz w:val="28"/>
          <w:szCs w:val="28"/>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pPr>
        <w:pStyle w:val="5"/>
        <w:rPr>
          <w:rFonts w:cs="Times New Roman"/>
          <w:sz w:val="28"/>
          <w:szCs w:val="28"/>
        </w:rPr>
      </w:pPr>
      <w:r>
        <w:rPr>
          <w:rFonts w:hint="eastAsia"/>
          <w:sz w:val="28"/>
          <w:szCs w:val="28"/>
        </w:rPr>
        <w:t>　　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同时为下一次科学、准确地编制部门预算积累经验。</w:t>
      </w:r>
    </w:p>
    <w:p>
      <w:pPr>
        <w:pStyle w:val="5"/>
        <w:rPr>
          <w:rFonts w:cs="Times New Roman"/>
          <w:sz w:val="28"/>
          <w:szCs w:val="28"/>
        </w:rPr>
      </w:pPr>
      <w:r>
        <w:rPr>
          <w:rFonts w:hint="eastAsia"/>
          <w:sz w:val="28"/>
          <w:szCs w:val="28"/>
        </w:rPr>
        <w:t>　　3.加强财政资金管理，及时均衡足额拨付财政资金，按时开展各项工作，确保工作任务优质完成。</w:t>
      </w:r>
    </w:p>
    <w:p>
      <w:pPr>
        <w:ind w:firstLine="640" w:firstLineChars="200"/>
        <w:jc w:val="left"/>
        <w:rPr>
          <w:rFonts w:cs="黑体" w:asciiTheme="minorEastAsia" w:hAnsiTheme="minorEastAsia"/>
          <w:color w:val="000000"/>
          <w:kern w:val="0"/>
          <w:sz w:val="32"/>
          <w:szCs w:val="32"/>
        </w:rPr>
      </w:pPr>
    </w:p>
    <w:sectPr>
      <w:pgSz w:w="11906" w:h="16838"/>
      <w:pgMar w:top="720" w:right="1306" w:bottom="720"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5FB92"/>
    <w:multiLevelType w:val="singleLevel"/>
    <w:tmpl w:val="E975FB92"/>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11B31"/>
    <w:multiLevelType w:val="singleLevel"/>
    <w:tmpl w:val="5A711B31"/>
    <w:lvl w:ilvl="0" w:tentative="0">
      <w:start w:val="3"/>
      <w:numFmt w:val="decimal"/>
      <w:suff w:val="nothing"/>
      <w:lvlText w:val="%1."/>
      <w:lvlJc w:val="left"/>
    </w:lvl>
  </w:abstractNum>
  <w:abstractNum w:abstractNumId="3">
    <w:nsid w:val="5A711C24"/>
    <w:multiLevelType w:val="singleLevel"/>
    <w:tmpl w:val="5A711C24"/>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4506F9"/>
    <w:rsid w:val="000040DA"/>
    <w:rsid w:val="0002229B"/>
    <w:rsid w:val="000273BD"/>
    <w:rsid w:val="00035368"/>
    <w:rsid w:val="000415B7"/>
    <w:rsid w:val="000658A3"/>
    <w:rsid w:val="00074155"/>
    <w:rsid w:val="000A3F69"/>
    <w:rsid w:val="000B1A5F"/>
    <w:rsid w:val="000E79FC"/>
    <w:rsid w:val="00141F70"/>
    <w:rsid w:val="00152C6D"/>
    <w:rsid w:val="00162D39"/>
    <w:rsid w:val="001A67DB"/>
    <w:rsid w:val="001D51E5"/>
    <w:rsid w:val="001D7DBF"/>
    <w:rsid w:val="001F0C3B"/>
    <w:rsid w:val="00214427"/>
    <w:rsid w:val="002313F2"/>
    <w:rsid w:val="00236503"/>
    <w:rsid w:val="00265724"/>
    <w:rsid w:val="0027426B"/>
    <w:rsid w:val="00275391"/>
    <w:rsid w:val="00287F3B"/>
    <w:rsid w:val="002E2553"/>
    <w:rsid w:val="00310E54"/>
    <w:rsid w:val="003479BD"/>
    <w:rsid w:val="003768D5"/>
    <w:rsid w:val="004506F9"/>
    <w:rsid w:val="004717A2"/>
    <w:rsid w:val="0048147C"/>
    <w:rsid w:val="00491741"/>
    <w:rsid w:val="004D056A"/>
    <w:rsid w:val="00500E5F"/>
    <w:rsid w:val="00504E20"/>
    <w:rsid w:val="005122EF"/>
    <w:rsid w:val="00517C33"/>
    <w:rsid w:val="00523644"/>
    <w:rsid w:val="0054069E"/>
    <w:rsid w:val="005767CC"/>
    <w:rsid w:val="00590D9F"/>
    <w:rsid w:val="00595D26"/>
    <w:rsid w:val="005A74E6"/>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800CF2"/>
    <w:rsid w:val="00801C2C"/>
    <w:rsid w:val="00812ED5"/>
    <w:rsid w:val="008277D9"/>
    <w:rsid w:val="008A3E8D"/>
    <w:rsid w:val="008D4A42"/>
    <w:rsid w:val="009016AF"/>
    <w:rsid w:val="009237C4"/>
    <w:rsid w:val="00942649"/>
    <w:rsid w:val="00950252"/>
    <w:rsid w:val="00967F5D"/>
    <w:rsid w:val="009A0F95"/>
    <w:rsid w:val="009B3ADF"/>
    <w:rsid w:val="009C3B52"/>
    <w:rsid w:val="00A42218"/>
    <w:rsid w:val="00A574ED"/>
    <w:rsid w:val="00A70249"/>
    <w:rsid w:val="00A947E0"/>
    <w:rsid w:val="00B128B0"/>
    <w:rsid w:val="00B33BEA"/>
    <w:rsid w:val="00B363A9"/>
    <w:rsid w:val="00B37021"/>
    <w:rsid w:val="00B57C9F"/>
    <w:rsid w:val="00B62FAE"/>
    <w:rsid w:val="00B845B3"/>
    <w:rsid w:val="00B85D8B"/>
    <w:rsid w:val="00BE3674"/>
    <w:rsid w:val="00C0697D"/>
    <w:rsid w:val="00C22F7A"/>
    <w:rsid w:val="00C3049A"/>
    <w:rsid w:val="00C31B1E"/>
    <w:rsid w:val="00C67010"/>
    <w:rsid w:val="00C773E4"/>
    <w:rsid w:val="00C77645"/>
    <w:rsid w:val="00CA2069"/>
    <w:rsid w:val="00CE04C3"/>
    <w:rsid w:val="00CE76A0"/>
    <w:rsid w:val="00D148C6"/>
    <w:rsid w:val="00D17642"/>
    <w:rsid w:val="00D94744"/>
    <w:rsid w:val="00DD06FF"/>
    <w:rsid w:val="00DD1560"/>
    <w:rsid w:val="00DD5FE9"/>
    <w:rsid w:val="00E00C7A"/>
    <w:rsid w:val="00E01863"/>
    <w:rsid w:val="00E55B68"/>
    <w:rsid w:val="00EF29EE"/>
    <w:rsid w:val="00F74360"/>
    <w:rsid w:val="00FB3E68"/>
    <w:rsid w:val="00FB462F"/>
    <w:rsid w:val="00FE0C89"/>
    <w:rsid w:val="00FE16FA"/>
    <w:rsid w:val="00FE328A"/>
    <w:rsid w:val="025B7212"/>
    <w:rsid w:val="03AD253F"/>
    <w:rsid w:val="0448192A"/>
    <w:rsid w:val="045B3B8E"/>
    <w:rsid w:val="056A23D2"/>
    <w:rsid w:val="056A3979"/>
    <w:rsid w:val="05C0754B"/>
    <w:rsid w:val="074553B4"/>
    <w:rsid w:val="0A733E75"/>
    <w:rsid w:val="0A9D5880"/>
    <w:rsid w:val="0E2E26AC"/>
    <w:rsid w:val="0E9E0BBC"/>
    <w:rsid w:val="0F1D11A6"/>
    <w:rsid w:val="137A2BB5"/>
    <w:rsid w:val="154C14A3"/>
    <w:rsid w:val="15681131"/>
    <w:rsid w:val="17AB6C54"/>
    <w:rsid w:val="1A6730CE"/>
    <w:rsid w:val="1B776439"/>
    <w:rsid w:val="1F9963A7"/>
    <w:rsid w:val="20C332C3"/>
    <w:rsid w:val="21827A65"/>
    <w:rsid w:val="220309AC"/>
    <w:rsid w:val="24D42345"/>
    <w:rsid w:val="25812144"/>
    <w:rsid w:val="278F0E26"/>
    <w:rsid w:val="29BB69DB"/>
    <w:rsid w:val="2A2C24F5"/>
    <w:rsid w:val="2C2D7B92"/>
    <w:rsid w:val="2DA96958"/>
    <w:rsid w:val="3B1A7C36"/>
    <w:rsid w:val="3CBB34CA"/>
    <w:rsid w:val="3DA214DA"/>
    <w:rsid w:val="3EC13AF0"/>
    <w:rsid w:val="3F1C5B63"/>
    <w:rsid w:val="3FEE07F8"/>
    <w:rsid w:val="422934DC"/>
    <w:rsid w:val="429C1AB6"/>
    <w:rsid w:val="438E7349"/>
    <w:rsid w:val="489D3D1A"/>
    <w:rsid w:val="49C914A8"/>
    <w:rsid w:val="4C920BBE"/>
    <w:rsid w:val="52F47CA6"/>
    <w:rsid w:val="53D41427"/>
    <w:rsid w:val="53FC11E3"/>
    <w:rsid w:val="54163B17"/>
    <w:rsid w:val="598A1690"/>
    <w:rsid w:val="5B407221"/>
    <w:rsid w:val="612B0CC4"/>
    <w:rsid w:val="616E017D"/>
    <w:rsid w:val="61FB73B3"/>
    <w:rsid w:val="62521C00"/>
    <w:rsid w:val="63827D9E"/>
    <w:rsid w:val="6A7D2804"/>
    <w:rsid w:val="6CCB7BC7"/>
    <w:rsid w:val="783670B4"/>
    <w:rsid w:val="796E28C6"/>
    <w:rsid w:val="7D8903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FE6C-85FA-485E-B759-138E183B77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1637</Words>
  <Characters>9337</Characters>
  <Lines>77</Lines>
  <Paragraphs>21</Paragraphs>
  <TotalTime>24</TotalTime>
  <ScaleCrop>false</ScaleCrop>
  <LinksUpToDate>false</LinksUpToDate>
  <CharactersWithSpaces>10953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2020-09-24T01:10:00Z</dcterms:created>
  <dc:creator>李航 null</dc:creator>
  <cp:lastModifiedBy>孙泽宇</cp:lastModifiedBy>
  <cp:lastPrinted>2020-09-24T07:08:00Z</cp:lastPrinted>
  <dcterms:modified xsi:type="dcterms:W3CDTF">2023-11-24T10:10:47Z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832157C1CE2A4C2E8C0E901BCFDFC69F_13</vt:lpwstr>
  </property>
</Properties>
</file>