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bookmarkStart w:id="0" w:name="_GoBack"/>
      <w:r>
        <w:rPr>
          <w:rFonts w:hint="eastAsia"/>
          <w:sz w:val="84"/>
          <w:szCs w:val="84"/>
        </w:rPr>
        <w:t>2020年度</w:t>
      </w:r>
    </w:p>
    <w:p>
      <w:pPr>
        <w:pStyle w:val="10"/>
        <w:jc w:val="center"/>
        <w:rPr>
          <w:sz w:val="84"/>
          <w:szCs w:val="84"/>
        </w:rPr>
      </w:pPr>
      <w:r>
        <w:rPr>
          <w:rFonts w:hint="eastAsia"/>
          <w:sz w:val="84"/>
          <w:szCs w:val="84"/>
        </w:rPr>
        <w:t>栗江镇人民政府</w:t>
      </w:r>
    </w:p>
    <w:p>
      <w:pPr>
        <w:pStyle w:val="10"/>
        <w:jc w:val="center"/>
        <w:rPr>
          <w:sz w:val="84"/>
          <w:szCs w:val="84"/>
        </w:rPr>
      </w:pPr>
      <w:r>
        <w:rPr>
          <w:rFonts w:hint="eastAsia"/>
          <w:sz w:val="84"/>
          <w:szCs w:val="84"/>
        </w:rPr>
        <w:t>部门决算</w:t>
      </w:r>
    </w:p>
    <w:bookmarkEnd w:id="0"/>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 录</w:t>
      </w:r>
    </w:p>
    <w:p>
      <w:pPr>
        <w:pStyle w:val="10"/>
        <w:spacing w:line="520" w:lineRule="exact"/>
        <w:jc w:val="center"/>
        <w:rPr>
          <w:sz w:val="56"/>
          <w:szCs w:val="56"/>
        </w:rPr>
      </w:pPr>
    </w:p>
    <w:p>
      <w:pPr>
        <w:pStyle w:val="10"/>
        <w:spacing w:line="520" w:lineRule="exact"/>
        <w:jc w:val="center"/>
        <w:rPr>
          <w:sz w:val="56"/>
          <w:szCs w:val="56"/>
        </w:rPr>
      </w:pPr>
    </w:p>
    <w:p>
      <w:pPr>
        <w:pStyle w:val="10"/>
        <w:spacing w:line="520" w:lineRule="exact"/>
        <w:rPr>
          <w:rFonts w:ascii="仿宋_GB2312" w:hAnsi="仿宋_GB2312" w:cs="仿宋_GB2312"/>
          <w:b/>
          <w:sz w:val="28"/>
          <w:szCs w:val="28"/>
        </w:rPr>
      </w:pPr>
      <w:r>
        <w:rPr>
          <w:rFonts w:hint="eastAsia"/>
          <w:b/>
          <w:sz w:val="28"/>
          <w:szCs w:val="28"/>
        </w:rPr>
        <w:t>第一部分栗江镇人民政府概况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第二部分2020年度部门决算表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第三部分2020年度部门决算情况说明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r>
        <w:rPr>
          <w:rFonts w:hint="eastAsia"/>
          <w:sz w:val="72"/>
          <w:szCs w:val="72"/>
        </w:rPr>
        <w:t>第一部分</w:t>
      </w:r>
    </w:p>
    <w:p>
      <w:pPr>
        <w:pStyle w:val="2"/>
        <w:jc w:val="center"/>
        <w:rPr>
          <w:sz w:val="72"/>
          <w:szCs w:val="72"/>
        </w:rPr>
      </w:pPr>
    </w:p>
    <w:p>
      <w:pPr>
        <w:pStyle w:val="2"/>
        <w:jc w:val="center"/>
        <w:rPr>
          <w:sz w:val="72"/>
          <w:szCs w:val="72"/>
        </w:rPr>
      </w:pPr>
      <w:r>
        <w:rPr>
          <w:rFonts w:hint="eastAsia"/>
          <w:sz w:val="72"/>
          <w:szCs w:val="72"/>
        </w:rPr>
        <w:t>栗江镇人民政府概况</w:t>
      </w: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pStyle w:val="5"/>
        <w:shd w:val="clear" w:color="auto" w:fill="FFFFFF"/>
        <w:spacing w:before="0" w:beforeAutospacing="0" w:after="0" w:afterAutospacing="0"/>
        <w:ind w:firstLine="635" w:firstLineChars="227"/>
        <w:rPr>
          <w:rFonts w:ascii="Times New Roman" w:hAnsi="Times New Roman" w:cs="Times New Roman" w:eastAsiaTheme="minorEastAsia"/>
          <w:color w:val="000000"/>
          <w:sz w:val="28"/>
          <w:szCs w:val="28"/>
        </w:rPr>
      </w:pPr>
      <w:r>
        <w:rPr>
          <w:rFonts w:ascii="Times New Roman" w:hAnsi="Times New Roman" w:eastAsia="Helvetica" w:cs="Times New Roman"/>
          <w:color w:val="000000"/>
          <w:sz w:val="28"/>
          <w:szCs w:val="28"/>
        </w:rPr>
        <w:t>3、负责</w:t>
      </w:r>
      <w:r>
        <w:rPr>
          <w:rFonts w:hint="eastAsia" w:ascii="Times New Roman" w:hAnsi="Times New Roman" w:cs="Times New Roman"/>
          <w:color w:val="000000"/>
          <w:sz w:val="28"/>
          <w:szCs w:val="28"/>
        </w:rPr>
        <w:t>栗江</w:t>
      </w:r>
      <w:r>
        <w:rPr>
          <w:rFonts w:ascii="Times New Roman" w:hAnsi="Times New Roman" w:eastAsia="Helvetica" w:cs="Times New Roman"/>
          <w:color w:val="000000"/>
          <w:sz w:val="28"/>
          <w:szCs w:val="28"/>
        </w:rPr>
        <w:t>镇党委、</w:t>
      </w:r>
      <w:r>
        <w:rPr>
          <w:rFonts w:hint="eastAsia" w:ascii="Times New Roman" w:hAnsi="Times New Roman" w:cs="Times New Roman"/>
          <w:color w:val="000000"/>
          <w:sz w:val="28"/>
          <w:szCs w:val="28"/>
        </w:rPr>
        <w:t>人大、</w:t>
      </w:r>
      <w:r>
        <w:rPr>
          <w:rFonts w:ascii="Times New Roman" w:hAnsi="Times New Roman" w:eastAsia="Helvetica" w:cs="Times New Roman"/>
          <w:color w:val="000000"/>
          <w:sz w:val="28"/>
          <w:szCs w:val="28"/>
        </w:rPr>
        <w:t>政府、政协联络工委、纪律委员会、人民武装及共青团、妇联等群团组织的日常工作。</w:t>
      </w:r>
    </w:p>
    <w:p>
      <w:pPr>
        <w:pStyle w:val="5"/>
        <w:shd w:val="clear" w:color="auto" w:fill="FFFFFF"/>
        <w:spacing w:before="0" w:beforeAutospacing="0" w:after="0" w:afterAutospacing="0"/>
        <w:ind w:firstLine="635" w:firstLineChars="227"/>
        <w:rPr>
          <w:rFonts w:ascii="Arial" w:hAnsi="Arial" w:cs="Arial"/>
          <w:color w:val="333333"/>
          <w:sz w:val="28"/>
          <w:szCs w:val="28"/>
        </w:rPr>
      </w:pPr>
      <w:r>
        <w:rPr>
          <w:rFonts w:ascii="Times New Roman" w:hAnsi="Times New Roman" w:eastAsia="Helvetica" w:cs="Times New Roman"/>
          <w:color w:val="000000"/>
          <w:sz w:val="28"/>
          <w:szCs w:val="28"/>
        </w:rPr>
        <w:t>4</w:t>
      </w:r>
      <w:r>
        <w:rPr>
          <w:rFonts w:hint="eastAsia"/>
          <w:color w:val="000000"/>
          <w:sz w:val="28"/>
          <w:szCs w:val="28"/>
        </w:rPr>
        <w:t>、负责完成上级机关交办的其他工作任务。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（一）内设机构设置。栗江镇人民政府内设机构包括：栗江镇人民政府本级和栗江镇栗江镇财政所</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（二）决算单位构成。栗江镇人民政府2020年部门决算汇总公开单位构成包括：栗江镇人民政府本级</w:t>
      </w:r>
    </w:p>
    <w:p>
      <w:pPr>
        <w:jc w:val="left"/>
        <w:rPr>
          <w:rFonts w:ascii="仿宋_GB2312" w:eastAsia="仿宋_GB2312" w:hAnsiTheme="minorEastAsia"/>
          <w:sz w:val="28"/>
          <w:szCs w:val="32"/>
        </w:rPr>
      </w:pP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p>
    <w:p>
      <w:pPr>
        <w:jc w:val="center"/>
        <w:rPr>
          <w:sz w:val="72"/>
          <w:szCs w:val="72"/>
        </w:rPr>
      </w:pPr>
    </w:p>
    <w:p>
      <w:pPr>
        <w:pStyle w:val="10"/>
        <w:jc w:val="center"/>
        <w:rPr>
          <w:sz w:val="72"/>
          <w:szCs w:val="72"/>
        </w:rPr>
      </w:pPr>
    </w:p>
    <w:p>
      <w:pPr>
        <w:pStyle w:val="10"/>
        <w:jc w:val="center"/>
        <w:rPr>
          <w:sz w:val="72"/>
          <w:szCs w:val="72"/>
        </w:rPr>
      </w:pPr>
    </w:p>
    <w:p>
      <w:pPr>
        <w:jc w:val="center"/>
        <w:rPr>
          <w:sz w:val="72"/>
          <w:szCs w:val="72"/>
        </w:rPr>
      </w:pPr>
    </w:p>
    <w:p>
      <w:pPr>
        <w:jc w:val="center"/>
        <w:rPr>
          <w:sz w:val="72"/>
          <w:szCs w:val="72"/>
        </w:rPr>
      </w:pPr>
      <w:r>
        <w:rPr>
          <w:rFonts w:hint="eastAsia"/>
          <w:sz w:val="72"/>
          <w:szCs w:val="72"/>
        </w:rPr>
        <w:t>第三部分</w:t>
      </w:r>
    </w:p>
    <w:p>
      <w:pPr>
        <w:jc w:val="center"/>
        <w:rPr>
          <w:sz w:val="72"/>
          <w:szCs w:val="72"/>
        </w:rPr>
      </w:pPr>
    </w:p>
    <w:p>
      <w:pPr>
        <w:jc w:val="center"/>
        <w:rPr>
          <w:sz w:val="72"/>
          <w:szCs w:val="72"/>
        </w:rPr>
      </w:pPr>
      <w:r>
        <w:rPr>
          <w:rFonts w:hint="eastAsia"/>
          <w:sz w:val="72"/>
          <w:szCs w:val="72"/>
        </w:rPr>
        <w:t>2020年度部门决算情况说明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p>
    <w:p>
      <w:pPr>
        <w:pStyle w:val="10"/>
        <w:rPr>
          <w:rFonts w:hAnsi="黑体"/>
          <w:b/>
          <w:sz w:val="32"/>
          <w:szCs w:val="32"/>
        </w:rPr>
      </w:pPr>
      <w:r>
        <w:rPr>
          <w:rFonts w:hint="eastAsia" w:hAnsi="黑体"/>
          <w:b/>
          <w:sz w:val="32"/>
          <w:szCs w:val="32"/>
        </w:rPr>
        <w:t>一、收入支出决算总体情况说明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2020年度收、支总计1523.47万元。与2019年相比，增加</w:t>
      </w:r>
      <w:r>
        <w:rPr>
          <w:rFonts w:hint="eastAsia" w:cs="黑体" w:asciiTheme="minorEastAsia" w:hAnsiTheme="minorEastAsia"/>
          <w:color w:val="000000"/>
          <w:kern w:val="0"/>
          <w:sz w:val="32"/>
          <w:szCs w:val="32"/>
        </w:rPr>
        <w:t>262.66</w:t>
      </w:r>
      <w:r>
        <w:rPr>
          <w:rFonts w:hint="eastAsia" w:asciiTheme="minorEastAsia" w:hAnsiTheme="minorEastAsia"/>
          <w:sz w:val="32"/>
          <w:szCs w:val="32"/>
        </w:rPr>
        <w:t>万元，增加21.3</w:t>
      </w:r>
      <w:r>
        <w:rPr>
          <w:rFonts w:hint="eastAsia" w:asciiTheme="minorEastAsia" w:hAnsiTheme="minorEastAsia"/>
          <w:sz w:val="32"/>
          <w:szCs w:val="32"/>
          <w:lang w:val="zh-CN"/>
        </w:rPr>
        <w:t>%</w:t>
      </w:r>
      <w:r>
        <w:rPr>
          <w:rFonts w:hint="eastAsia" w:asciiTheme="minorEastAsia" w:hAnsiTheme="minorEastAsia"/>
          <w:sz w:val="32"/>
          <w:szCs w:val="32"/>
        </w:rPr>
        <w:t>，主要是因为：一般公共预算财政拨款收入完成1402万元，比上年1044.96万元，增加34.1</w:t>
      </w:r>
      <w:r>
        <w:rPr>
          <w:rFonts w:hint="eastAsia" w:asciiTheme="minorEastAsia" w:hAnsiTheme="minorEastAsia"/>
          <w:sz w:val="32"/>
          <w:szCs w:val="32"/>
          <w:lang w:val="zh-CN"/>
        </w:rPr>
        <w:t>%，变化的主要原因是：</w:t>
      </w:r>
      <w:r>
        <w:rPr>
          <w:rFonts w:hint="eastAsia" w:asciiTheme="minorEastAsia" w:hAnsiTheme="minorEastAsia"/>
          <w:sz w:val="32"/>
          <w:szCs w:val="32"/>
        </w:rPr>
        <w:t>政策性调整。</w:t>
      </w:r>
    </w:p>
    <w:p>
      <w:pPr>
        <w:pStyle w:val="10"/>
        <w:rPr>
          <w:rFonts w:hAnsi="黑体"/>
          <w:b/>
          <w:sz w:val="32"/>
          <w:szCs w:val="32"/>
        </w:rPr>
      </w:pPr>
      <w:r>
        <w:rPr>
          <w:rFonts w:hint="eastAsia" w:hAnsi="黑体"/>
          <w:b/>
          <w:sz w:val="32"/>
          <w:szCs w:val="32"/>
        </w:rPr>
        <w:t>二、收入决算情况说明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本年收入合计1518.47万元，其中：财政拨款收入1518.47万元，占100%；本年度无政府性基金预算财政拨款收入，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cstheme="minorBidi"/>
          <w:color w:val="auto"/>
          <w:kern w:val="2"/>
          <w:sz w:val="32"/>
          <w:szCs w:val="32"/>
        </w:rPr>
        <w:t>1518.47万</w:t>
      </w:r>
      <w:r>
        <w:rPr>
          <w:rFonts w:hint="eastAsia" w:asciiTheme="minorEastAsia" w:hAnsiTheme="minorEastAsia" w:eastAsiaTheme="minorEastAsia"/>
          <w:sz w:val="32"/>
          <w:szCs w:val="32"/>
        </w:rPr>
        <w:t>元，其中：基本支出805.54万元，占53.05%；项目支出712.92元，占16.95%；上缴上级支出0万元，占0%；经营支出0万元，占0%；对附属单位补助支出0万元，占0%。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5"/>
        <w:shd w:val="clear" w:color="auto" w:fill="FFFFFF"/>
        <w:spacing w:before="0" w:beforeAutospacing="0" w:after="0" w:afterAutospacing="0"/>
        <w:ind w:firstLine="640" w:firstLineChars="20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2020年度财政拨款收、支总计</w:t>
      </w:r>
      <w:r>
        <w:rPr>
          <w:rFonts w:hint="eastAsia" w:asciiTheme="minorEastAsia" w:hAnsiTheme="minorEastAsia" w:eastAsiaTheme="minorEastAsia" w:cstheme="minorBidi"/>
          <w:kern w:val="2"/>
          <w:sz w:val="32"/>
          <w:szCs w:val="32"/>
        </w:rPr>
        <w:t>1523.47</w:t>
      </w:r>
      <w:r>
        <w:rPr>
          <w:rFonts w:hint="eastAsia" w:cs="黑体" w:asciiTheme="minorEastAsia" w:hAnsiTheme="minorEastAsia" w:eastAsiaTheme="minorEastAsia"/>
          <w:color w:val="000000"/>
          <w:sz w:val="32"/>
          <w:szCs w:val="32"/>
        </w:rPr>
        <w:t>万元，与2019年相比，增加262.66万元,增加</w:t>
      </w:r>
      <w:r>
        <w:rPr>
          <w:rFonts w:hint="eastAsia" w:asciiTheme="minorEastAsia" w:hAnsiTheme="minorEastAsia"/>
          <w:sz w:val="32"/>
          <w:szCs w:val="32"/>
        </w:rPr>
        <w:t>21.3</w:t>
      </w:r>
      <w:r>
        <w:rPr>
          <w:rFonts w:hint="eastAsia" w:cs="黑体" w:asciiTheme="minorEastAsia" w:hAnsiTheme="minorEastAsia" w:eastAsiaTheme="minorEastAsia"/>
          <w:color w:val="000000"/>
          <w:sz w:val="32"/>
          <w:szCs w:val="32"/>
        </w:rPr>
        <w:t>%，主要是因为：政府性基金预算财政拨款收入0万元，为政策性调资，抗击疫情，以及乡村振兴及人居环境整治项目支出增加。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0" w:beforeAutospacing="0" w:after="0" w:afterAutospacing="0"/>
        <w:ind w:firstLine="640" w:firstLineChars="20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2020年度财政拨款支出</w:t>
      </w:r>
      <w:r>
        <w:rPr>
          <w:rFonts w:hint="eastAsia" w:asciiTheme="minorEastAsia" w:hAnsiTheme="minorEastAsia" w:eastAsiaTheme="minorEastAsia" w:cstheme="minorBidi"/>
          <w:kern w:val="2"/>
          <w:sz w:val="32"/>
          <w:szCs w:val="32"/>
        </w:rPr>
        <w:t>1402</w:t>
      </w:r>
      <w:r>
        <w:rPr>
          <w:rFonts w:hint="eastAsia" w:cs="黑体" w:asciiTheme="minorEastAsia" w:hAnsiTheme="minorEastAsia" w:eastAsiaTheme="minorEastAsia"/>
          <w:color w:val="000000"/>
          <w:sz w:val="32"/>
          <w:szCs w:val="32"/>
        </w:rPr>
        <w:t>万元，占本年支出合计的92.03%，与2019年相比，财政拨款支出增加262.66万元，增加</w:t>
      </w:r>
      <w:r>
        <w:rPr>
          <w:rFonts w:hint="eastAsia" w:asciiTheme="minorEastAsia" w:hAnsiTheme="minorEastAsia"/>
          <w:sz w:val="32"/>
          <w:szCs w:val="32"/>
        </w:rPr>
        <w:t>21.3</w:t>
      </w:r>
      <w:r>
        <w:rPr>
          <w:rFonts w:hint="eastAsia" w:cs="黑体" w:asciiTheme="minorEastAsia" w:hAnsiTheme="minorEastAsia" w:eastAsiaTheme="minorEastAsia"/>
          <w:color w:val="000000"/>
          <w:sz w:val="32"/>
          <w:szCs w:val="32"/>
        </w:rPr>
        <w:t>%，主要是因为政策性调资，抗击疫情，乡村振兴及人居环境整治项目支出增加。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cstheme="minorBidi"/>
          <w:kern w:val="2"/>
          <w:sz w:val="32"/>
          <w:szCs w:val="32"/>
        </w:rPr>
        <w:t>1402</w:t>
      </w:r>
      <w:r>
        <w:rPr>
          <w:rFonts w:hint="eastAsia" w:asciiTheme="minorEastAsia" w:hAnsiTheme="minorEastAsia" w:eastAsiaTheme="minorEastAsia"/>
          <w:sz w:val="32"/>
          <w:szCs w:val="32"/>
        </w:rPr>
        <w:t>万元，主要用于以下方面：一般公共服务（类）支出609.70万元，占40.56%；社会保障和就业（类）支出57.42万元，占3.78%;卫生健康（类）支出13.68万元，占0.09%；城乡社区支出50万元，占3.29%；农林水（类）支出662.93万元，占44.07%；住房保障（类）支出8.27万元，占0.54%。</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2020年度财政拨款支出年初预算数为928.64元，支出决算数为</w:t>
      </w:r>
      <w:r>
        <w:rPr>
          <w:rFonts w:hint="eastAsia" w:asciiTheme="minorEastAsia" w:hAnsiTheme="minorEastAsia" w:eastAsiaTheme="minorEastAsia" w:cstheme="minorBidi"/>
          <w:kern w:val="2"/>
          <w:sz w:val="32"/>
          <w:szCs w:val="32"/>
        </w:rPr>
        <w:t>1402</w:t>
      </w:r>
      <w:r>
        <w:rPr>
          <w:rFonts w:hint="eastAsia" w:asciiTheme="minorEastAsia" w:hAnsiTheme="minorEastAsia" w:eastAsiaTheme="minorEastAsia"/>
          <w:sz w:val="32"/>
          <w:szCs w:val="32"/>
        </w:rPr>
        <w:t>万元，完成年初预算的164%，其中：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年初预算为311.77万元，支出决算为</w:t>
      </w:r>
      <w:r>
        <w:rPr>
          <w:rFonts w:hint="eastAsia" w:asciiTheme="minorEastAsia" w:hAnsiTheme="minorEastAsia" w:eastAsiaTheme="minorEastAsia"/>
          <w:color w:val="auto"/>
          <w:sz w:val="32"/>
          <w:szCs w:val="32"/>
        </w:rPr>
        <w:t>609.7</w:t>
      </w:r>
      <w:r>
        <w:rPr>
          <w:rFonts w:hint="eastAsia" w:asciiTheme="minorEastAsia" w:hAnsiTheme="minorEastAsia" w:eastAsiaTheme="minorEastAsia"/>
          <w:sz w:val="32"/>
          <w:szCs w:val="32"/>
        </w:rPr>
        <w:t>万元，完成年初预算的195%，决算数大于年初预算数的主要原因是：人员异动及政策性调整。</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年初预算为56.95万元，支出决算为57.42万元，完成年初预算的101%，决算数大于年初预算数的主要原因是：人员增加、补缴费用。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年初预算为9.68万元，支出决算为13.68万元，完成年初预算的141%，决算数大于年初预算数的主要原因是：追加村级改厕项目资金。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4.农林水支出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年初预算为541.97万元，支出决算为662.93万元，完成年初预算的122%决算数大于年初预算数的主要原因是：追加村级集体经济引导项目经费。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5.住房保障支出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年初预算为8.27万元，支出决算为8.27万元，完成年初预算的100%。</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6.城乡社区支出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年初预算为0万元，支出决算为50万元，决算数大于年初预算数的主要原因是：城乡卫生、社区经费支出。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7.抗疫特别国债安排的支出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年初预算为0万元，支出决算为116.47万元，决算数大于年初预算数的主要原因是：抗击疫情支出。</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689.07万元，其中：人员经费486.76万元，占基本支出的70.64%,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202.31万元，占基本支出的29.36%，主要包括办公费、水费、电费、邮电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“三公”经费年初预算12.5万元，上年决算数12.5万元，本年决算数9.5万元比上年决算数12.5万元减少24%。减少的主要原因是例行节约，严格控制三公经费支出。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公务接待本年年初预算4.5万元，和上年决算4.5万元一致。本年决算数4万元，同比下降12.5%。</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公务用车运行维护本年年初预算8万元，比上年决算数8万元持平，本年决算数5.5万元，同比下降31.25%。</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我镇三公经费严格按照年初预算以及各级部门相关要求，严把支出关， 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 度规定的标准执行。各项费用报账支出严格履行报账单“一单五签”程序，重大事项严格遵守：“三重一大”制度，“三公”经费较好地控制在预算范围之内。</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2020年度“三公”经费财政拨款支出决算中，公务接待费支出决算4万元，占42.1%,因公出国（境）费支出决算0万元，占0%,公务用车购置费及运行维护费支出决算5.5万元，占57.9%。其中：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2、公务接待费支出决算为4万元，本年共接待112批次，共接待521人次，均为国内公务接待。</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3、公务用车购置费及运行维护费支出决算为5.5万元，其中：公务用车购置费0万元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公务用车运行维护费5.5万元，主要是公务车用油、保养、维修支出，截止2020年12月31日，我单位开支财政拨款的公务用车保有量为1辆。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sz w:val="32"/>
          <w:szCs w:val="32"/>
        </w:rPr>
        <w:t xml:space="preserve">     2020年度本单位有政府性基金收支。</w:t>
      </w:r>
      <w:r>
        <w:rPr>
          <w:rFonts w:hint="eastAsia" w:asciiTheme="minorEastAsia" w:hAnsiTheme="minorEastAsia" w:eastAsiaTheme="minorEastAsia" w:cstheme="minorBidi"/>
          <w:color w:val="auto"/>
          <w:kern w:val="2"/>
          <w:sz w:val="32"/>
          <w:szCs w:val="32"/>
        </w:rPr>
        <w:t>2020年，收到衡南县财政局预算股拨付中央直达抗疫国债资金116.47万元，支付宣传费5.6万元、工作人员生活费5.9万元、镇内各职能站所防疫工作经费25万元、卫生院防控资金（栗江中心医院、隆市医院及檀市医院）44.1万元、农贸市场及隔离服务点材料费0.87万元、全镇村（社区）疫情防控资金（22个村、4个社区）35万元。</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本单位2020年没有国有资本经营预算财政拨款支出。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机关运行经费本年支出202.31万元，与上年的492.6万元相比，同比减少58.93%。变动原因为本年度支出口径与上年度有差异，划分了专项业务支出，譬如信访维稳，安全生产，党建专项，扶贫专项，城乡环境同治，本年度全列入项目支出。</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Theme="minorEastAsia" w:hAnsiTheme="minorEastAsia" w:eastAsiaTheme="minorEastAsia" w:cstheme="minorBidi"/>
          <w:color w:val="auto"/>
          <w:kern w:val="2"/>
          <w:sz w:val="32"/>
          <w:szCs w:val="32"/>
          <w:lang w:val="zh-CN"/>
        </w:rPr>
      </w:pPr>
      <w:r>
        <w:rPr>
          <w:rFonts w:hint="eastAsia" w:asciiTheme="minorEastAsia" w:hAnsiTheme="minorEastAsia" w:eastAsiaTheme="minorEastAsia" w:cstheme="minorBidi"/>
          <w:color w:val="auto"/>
          <w:kern w:val="2"/>
          <w:sz w:val="32"/>
          <w:szCs w:val="32"/>
        </w:rPr>
        <w:t>会议费支出情况：2020年会议费完成273128元，比上年减少286872元，下降47.03%，较上年大幅度减少，增减变化的主要原因是：压缩会议支出，合并会议；培训费支出情况：2020年培训费完成50000元，比上年增加18000元，上升56.25%，增减变化的主要原因是：本年新进人员多干部培训量大</w:t>
      </w:r>
      <w:r>
        <w:rPr>
          <w:rFonts w:hint="eastAsia" w:asciiTheme="minorEastAsia" w:hAnsiTheme="minorEastAsia" w:eastAsiaTheme="minorEastAsia" w:cstheme="minorBidi"/>
          <w:color w:val="auto"/>
          <w:kern w:val="2"/>
          <w:sz w:val="32"/>
          <w:szCs w:val="32"/>
          <w:lang w:val="zh-CN"/>
        </w:rPr>
        <w:t>。</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hAnsi="黑体"/>
          <w:b/>
          <w:sz w:val="32"/>
          <w:szCs w:val="32"/>
        </w:rPr>
      </w:pPr>
      <w:r>
        <w:rPr>
          <w:rFonts w:hint="eastAsia" w:asciiTheme="minorEastAsia" w:hAnsiTheme="minorEastAsia" w:eastAsiaTheme="minorEastAsia" w:cstheme="minorBidi"/>
          <w:color w:val="auto"/>
          <w:kern w:val="2"/>
          <w:sz w:val="32"/>
          <w:szCs w:val="32"/>
        </w:rPr>
        <w:t>本年度本单位政府采购支出22.4万元，均为财政拨款支出。全部为货物采购支出。包括办公桌椅，办公用电脑，打印机，街道垃圾桶。</w:t>
      </w:r>
    </w:p>
    <w:p>
      <w:pPr>
        <w:autoSpaceDE w:val="0"/>
        <w:autoSpaceDN w:val="0"/>
        <w:adjustRightInd w:val="0"/>
        <w:spacing w:line="520" w:lineRule="exact"/>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十三、关于国有资产占用情况说明</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截至2020年12月31日，本单位共有车辆1辆，其中，其他用车1辆，其他用车主要是干部下村公务用车；单位价值50万元以上通用设备0台（套）；单位价值100万元以上专用设备0台（套）。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十四、关于2020年度预算绩效情况说明</w:t>
      </w:r>
    </w:p>
    <w:p>
      <w:pPr>
        <w:widowControl/>
        <w:jc w:val="left"/>
        <w:rPr>
          <w:rFonts w:asciiTheme="minorEastAsia" w:hAnsiTheme="minorEastAsia"/>
          <w:sz w:val="32"/>
          <w:szCs w:val="32"/>
        </w:rPr>
      </w:pPr>
      <w:r>
        <w:rPr>
          <w:rFonts w:hint="eastAsia" w:asciiTheme="minorEastAsia" w:hAnsiTheme="minorEastAsia"/>
          <w:sz w:val="32"/>
          <w:szCs w:val="32"/>
        </w:rPr>
        <w:t>（一）预算绩效管理工作开展情况</w:t>
      </w:r>
    </w:p>
    <w:p>
      <w:pPr>
        <w:widowControl/>
        <w:ind w:firstLine="960" w:firstLineChars="300"/>
        <w:jc w:val="left"/>
        <w:rPr>
          <w:rFonts w:ascii="宋体" w:hAnsi="宋体" w:eastAsia="宋体" w:cs="宋体"/>
          <w:sz w:val="24"/>
          <w:szCs w:val="24"/>
        </w:rPr>
      </w:pPr>
      <w:r>
        <w:rPr>
          <w:rFonts w:hint="eastAsia" w:asciiTheme="minorEastAsia" w:hAnsiTheme="minorEastAsia"/>
          <w:sz w:val="32"/>
          <w:szCs w:val="32"/>
        </w:rPr>
        <w:t>2020 年我镇预算管理各项指标控制较好。主要从以下几个方面加强预 算管理：一是进一步规范财务管理。今年，根据中央八项规定有关精神以及财 务管理方面的法律、法规和审计等部门的意见，我办对机关财务管理制度 进一步进行了完善。同时，在财务开支把关方面认真执行相关文件并严格财务开支审批程序，加强对差旅费、会议费、接待费、公务用车运行经费 等各项开支的管理。重点保障机关运转及重点工作的需要，大力压缩一般 性支出，提高财政资金使用效益。 二是依法依规公开部门预决算。根据全县部门预决算公开工作统一安 排部署，我部公开了 2020年部门预算和“三公”经费预算，社会反响良好， 圆满完成了“三公”经费预算公开工作。</w:t>
      </w:r>
    </w:p>
    <w:p>
      <w:pPr>
        <w:widowControl/>
        <w:jc w:val="left"/>
        <w:rPr>
          <w:rFonts w:asciiTheme="minorEastAsia" w:hAnsiTheme="minorEastAsia"/>
          <w:sz w:val="32"/>
          <w:szCs w:val="32"/>
        </w:rPr>
      </w:pPr>
      <w:r>
        <w:rPr>
          <w:rFonts w:hint="eastAsia" w:asciiTheme="minorEastAsia" w:hAnsiTheme="minorEastAsia"/>
          <w:sz w:val="32"/>
          <w:szCs w:val="32"/>
        </w:rPr>
        <w:t xml:space="preserve">（二）部门整体支出绩效自评结果 </w:t>
      </w:r>
    </w:p>
    <w:p>
      <w:pPr>
        <w:widowControl/>
        <w:ind w:firstLine="640" w:firstLineChars="200"/>
        <w:jc w:val="left"/>
        <w:rPr>
          <w:rFonts w:asciiTheme="minorEastAsia" w:hAnsiTheme="minorEastAsia"/>
          <w:sz w:val="32"/>
          <w:szCs w:val="32"/>
        </w:rPr>
      </w:pPr>
      <w:r>
        <w:rPr>
          <w:rFonts w:asciiTheme="minorEastAsia" w:hAnsiTheme="minorEastAsia"/>
          <w:sz w:val="32"/>
          <w:szCs w:val="32"/>
        </w:rPr>
        <w:t xml:space="preserve">2020 </w:t>
      </w:r>
      <w:r>
        <w:rPr>
          <w:rFonts w:hint="eastAsia" w:asciiTheme="minorEastAsia" w:hAnsiTheme="minorEastAsia"/>
          <w:sz w:val="32"/>
          <w:szCs w:val="32"/>
        </w:rPr>
        <w:t>年，在县委、县政府的坚强领导下，我镇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作出了积极贡献，根据部门整体支出绩效评价指标体系，我镇2020 年度部门整体支出绩效自评 95.5 分。</w:t>
      </w:r>
    </w:p>
    <w:p>
      <w:pPr>
        <w:pStyle w:val="10"/>
        <w:ind w:firstLine="640" w:firstLineChars="200"/>
        <w:rPr>
          <w:rFonts w:asciiTheme="minorEastAsia" w:hAnsiTheme="minorEastAsia" w:eastAsiaTheme="minorEastAsia" w:cstheme="minorBidi"/>
          <w:color w:val="auto"/>
          <w:kern w:val="2"/>
          <w:sz w:val="32"/>
          <w:szCs w:val="32"/>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第四部分</w:t>
      </w:r>
    </w:p>
    <w:p>
      <w:pPr>
        <w:jc w:val="center"/>
        <w:rPr>
          <w:sz w:val="72"/>
          <w:szCs w:val="72"/>
        </w:rPr>
      </w:pPr>
    </w:p>
    <w:p>
      <w:pPr>
        <w:jc w:val="center"/>
        <w:rPr>
          <w:sz w:val="72"/>
          <w:szCs w:val="72"/>
        </w:rPr>
      </w:pPr>
      <w:r>
        <w:rPr>
          <w:rFonts w:hint="eastAsia"/>
          <w:sz w:val="72"/>
          <w:szCs w:val="72"/>
        </w:rPr>
        <w:t>名词解释</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widowControl/>
        <w:jc w:val="left"/>
        <w:rPr>
          <w:color w:val="333333"/>
          <w:sz w:val="28"/>
          <w:szCs w:val="28"/>
        </w:rPr>
      </w:pP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ind w:firstLine="560" w:firstLineChars="200"/>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第五部分</w:t>
      </w:r>
    </w:p>
    <w:p>
      <w:pPr>
        <w:pStyle w:val="10"/>
        <w:jc w:val="center"/>
        <w:rPr>
          <w:rFonts w:asciiTheme="minorHAnsi" w:eastAsiaTheme="minorEastAsia" w:cstheme="minorBidi"/>
          <w:color w:val="auto"/>
          <w:kern w:val="2"/>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附件</w:t>
      </w: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ascii="黑体" w:eastAsia="黑体" w:cs="黑体"/>
          <w:color w:val="000000"/>
          <w:kern w:val="0"/>
          <w:sz w:val="70"/>
          <w:szCs w:val="70"/>
        </w:rPr>
      </w:pPr>
      <w:r>
        <w:rPr>
          <w:rFonts w:hint="eastAsia" w:cs="黑体" w:asciiTheme="minorEastAsia" w:hAnsiTheme="minorEastAsia"/>
          <w:b/>
          <w:color w:val="000000"/>
          <w:kern w:val="0"/>
          <w:sz w:val="32"/>
          <w:szCs w:val="32"/>
        </w:rPr>
        <w:t>2020年度部门整体支出绩效评价报告</w:t>
      </w:r>
    </w:p>
    <w:p>
      <w:pPr>
        <w:pStyle w:val="5"/>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2020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的原则，运用较科学、合理的绩效评价指标、评价标准和评价方法，对本单位2020年度部门整体支出的绩效情况进行了客观、公正的评价。现将情况汇报如下：</w:t>
      </w:r>
    </w:p>
    <w:p>
      <w:pPr>
        <w:pStyle w:val="5"/>
        <w:rPr>
          <w:rFonts w:cs="Times New Roman"/>
          <w:b/>
          <w:bCs/>
          <w:sz w:val="28"/>
          <w:szCs w:val="28"/>
        </w:rPr>
      </w:pPr>
      <w:r>
        <w:rPr>
          <w:rFonts w:hint="eastAsia"/>
          <w:sz w:val="28"/>
          <w:szCs w:val="28"/>
        </w:rPr>
        <w:t>　</w:t>
      </w:r>
      <w:r>
        <w:rPr>
          <w:rFonts w:hint="eastAsia"/>
          <w:b/>
          <w:bCs/>
          <w:sz w:val="28"/>
          <w:szCs w:val="28"/>
        </w:rPr>
        <w:t>　一、部门基本情况</w:t>
      </w:r>
    </w:p>
    <w:p>
      <w:pPr>
        <w:pStyle w:val="5"/>
        <w:rPr>
          <w:rFonts w:cs="Times New Roman"/>
          <w:sz w:val="28"/>
          <w:szCs w:val="28"/>
        </w:rPr>
      </w:pPr>
      <w:r>
        <w:rPr>
          <w:rFonts w:hint="eastAsia"/>
          <w:sz w:val="28"/>
          <w:szCs w:val="28"/>
        </w:rPr>
        <w:t>　　</w:t>
      </w:r>
      <w:r>
        <w:rPr>
          <w:sz w:val="28"/>
          <w:szCs w:val="28"/>
        </w:rPr>
        <w:t>1.</w:t>
      </w:r>
      <w:r>
        <w:rPr>
          <w:rFonts w:hint="eastAsia"/>
          <w:sz w:val="28"/>
          <w:szCs w:val="28"/>
        </w:rPr>
        <w:t>部门职责</w:t>
      </w:r>
    </w:p>
    <w:p>
      <w:pPr>
        <w:pStyle w:val="5"/>
        <w:ind w:firstLine="560" w:firstLineChars="200"/>
        <w:rPr>
          <w:rFonts w:cs="Times New Roman"/>
          <w:sz w:val="28"/>
          <w:szCs w:val="28"/>
        </w:rPr>
      </w:pPr>
      <w:r>
        <w:rPr>
          <w:rFonts w:hint="eastAsia"/>
          <w:sz w:val="28"/>
          <w:szCs w:val="28"/>
        </w:rPr>
        <w:t>栗江镇人民政府系正科级单位，办公地址为衡南县栗江镇双岭南路5号，组织机构代码：770076247。主要职责：</w:t>
      </w:r>
    </w:p>
    <w:p>
      <w:pPr>
        <w:pStyle w:val="5"/>
        <w:rPr>
          <w:rFonts w:cs="Times New Roman"/>
          <w:sz w:val="28"/>
          <w:szCs w:val="28"/>
        </w:rPr>
      </w:pPr>
      <w:r>
        <w:rPr>
          <w:rFonts w:hint="eastAsia"/>
          <w:sz w:val="28"/>
          <w:szCs w:val="28"/>
        </w:rPr>
        <w:t>　　（一）坚持科学发展，落实惠农政策。宣传和贯彻执行党和国家对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w:t>
      </w:r>
    </w:p>
    <w:p>
      <w:pPr>
        <w:pStyle w:val="5"/>
        <w:rPr>
          <w:rFonts w:cs="Times New Roman"/>
          <w:sz w:val="28"/>
          <w:szCs w:val="28"/>
        </w:rPr>
      </w:pPr>
      <w:r>
        <w:rPr>
          <w:rFonts w:hint="eastAsia"/>
          <w:sz w:val="28"/>
          <w:szCs w:val="28"/>
        </w:rPr>
        <w:t>　　（二）促进经济发展，增加农民收入。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w:t>
      </w:r>
    </w:p>
    <w:p>
      <w:pPr>
        <w:pStyle w:val="5"/>
        <w:rPr>
          <w:rFonts w:cs="Times New Roman"/>
          <w:sz w:val="28"/>
          <w:szCs w:val="28"/>
        </w:rPr>
      </w:pPr>
      <w:r>
        <w:rPr>
          <w:rFonts w:hint="eastAsia"/>
          <w:sz w:val="28"/>
          <w:szCs w:val="28"/>
        </w:rPr>
        <w:t>　　（三）强化公共服务，着力改善民生。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pStyle w:val="5"/>
        <w:rPr>
          <w:rFonts w:cs="Times New Roman"/>
          <w:sz w:val="28"/>
          <w:szCs w:val="28"/>
        </w:rPr>
      </w:pPr>
      <w:r>
        <w:rPr>
          <w:rFonts w:hint="eastAsia"/>
          <w:sz w:val="28"/>
          <w:szCs w:val="28"/>
        </w:rPr>
        <w:t>　　（四）加强社会管理，维护农村稳定。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依法管理宗教事务，反对和制止利用宗教和宗教势力干预农村公共事务。协助县级有关部门做好安全生产、市场监管、劳动监察、环境保护等方面的工作。保证社会公正，维护社会秩序和社会稳定。</w:t>
      </w:r>
    </w:p>
    <w:p>
      <w:pPr>
        <w:pStyle w:val="5"/>
        <w:rPr>
          <w:rFonts w:cs="Times New Roman"/>
          <w:sz w:val="28"/>
          <w:szCs w:val="28"/>
        </w:rPr>
      </w:pPr>
      <w:r>
        <w:rPr>
          <w:rFonts w:hint="eastAsia"/>
          <w:sz w:val="28"/>
          <w:szCs w:val="28"/>
        </w:rPr>
        <w:t>　　（五）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w:t>
      </w:r>
    </w:p>
    <w:p>
      <w:pPr>
        <w:pStyle w:val="5"/>
        <w:ind w:firstLine="560"/>
        <w:rPr>
          <w:sz w:val="28"/>
          <w:szCs w:val="28"/>
        </w:rPr>
      </w:pPr>
      <w:r>
        <w:rPr>
          <w:rFonts w:hint="eastAsia"/>
          <w:sz w:val="28"/>
          <w:szCs w:val="28"/>
        </w:rPr>
        <w:t>2.机构设置情况</w:t>
      </w:r>
    </w:p>
    <w:p>
      <w:pPr>
        <w:pStyle w:val="5"/>
        <w:ind w:firstLine="560" w:firstLineChars="200"/>
        <w:rPr>
          <w:sz w:val="28"/>
          <w:szCs w:val="28"/>
        </w:rPr>
      </w:pPr>
      <w:r>
        <w:rPr>
          <w:rFonts w:hint="eastAsia"/>
          <w:sz w:val="28"/>
          <w:szCs w:val="28"/>
        </w:rPr>
        <w:t>根据上述职责，设下列党政机构:党政综合办公室、经济发展办公室(农业农村和扶贫工作办公室)、社会事务办公室、自然资源和生态环境办公室(村镇建设管理办公室)、社会治安综合治理和应急管理办公室、基层党建工作办公室。</w:t>
      </w:r>
    </w:p>
    <w:p>
      <w:pPr>
        <w:pStyle w:val="5"/>
        <w:numPr>
          <w:ilvl w:val="0"/>
          <w:numId w:val="3"/>
        </w:numPr>
        <w:spacing w:before="0" w:beforeAutospacing="0" w:after="0" w:afterAutospacing="0"/>
        <w:ind w:firstLine="560"/>
        <w:rPr>
          <w:sz w:val="28"/>
          <w:szCs w:val="28"/>
        </w:rPr>
      </w:pPr>
      <w:r>
        <w:rPr>
          <w:rFonts w:hint="eastAsia"/>
          <w:sz w:val="28"/>
          <w:szCs w:val="28"/>
        </w:rPr>
        <w:t>人员编制情况</w:t>
      </w:r>
    </w:p>
    <w:p>
      <w:pPr>
        <w:pStyle w:val="5"/>
        <w:ind w:firstLine="560" w:firstLineChars="200"/>
        <w:rPr>
          <w:sz w:val="28"/>
          <w:szCs w:val="28"/>
        </w:rPr>
      </w:pPr>
      <w:r>
        <w:rPr>
          <w:rFonts w:hint="eastAsia"/>
          <w:sz w:val="28"/>
          <w:szCs w:val="28"/>
        </w:rPr>
        <w:t>到2020年底，本单位年未实有人数25人，比上年减少7人。人员变化的原因是财政所7人划归县乡财局。</w:t>
      </w:r>
    </w:p>
    <w:p>
      <w:pPr>
        <w:pStyle w:val="5"/>
        <w:ind w:firstLine="560"/>
        <w:rPr>
          <w:b/>
          <w:bCs/>
          <w:sz w:val="28"/>
          <w:szCs w:val="28"/>
        </w:rPr>
      </w:pPr>
      <w:r>
        <w:rPr>
          <w:rFonts w:hint="eastAsia"/>
          <w:b/>
          <w:bCs/>
          <w:sz w:val="28"/>
          <w:szCs w:val="28"/>
        </w:rPr>
        <w:t>二、部门整体支出管理和使用情况</w:t>
      </w:r>
    </w:p>
    <w:p>
      <w:pPr>
        <w:pStyle w:val="5"/>
        <w:ind w:firstLine="560"/>
        <w:rPr>
          <w:sz w:val="28"/>
          <w:szCs w:val="28"/>
        </w:rPr>
      </w:pPr>
      <w:r>
        <w:rPr>
          <w:rFonts w:hint="eastAsia"/>
          <w:sz w:val="28"/>
          <w:szCs w:val="28"/>
        </w:rPr>
        <w:t>1、部门预算收支情况　　</w:t>
      </w:r>
    </w:p>
    <w:p>
      <w:pPr>
        <w:pStyle w:val="5"/>
        <w:ind w:firstLine="560"/>
        <w:rPr>
          <w:sz w:val="28"/>
          <w:szCs w:val="28"/>
        </w:rPr>
      </w:pPr>
      <w:r>
        <w:rPr>
          <w:rFonts w:hint="eastAsia"/>
          <w:sz w:val="28"/>
          <w:szCs w:val="28"/>
        </w:rPr>
        <w:t>我单位2020年度财政拨款总收入928.64万元，其他补助收入0万元，全年总支出1518.47万元(基本支出805.55万元，项目支出712.92万元)。</w:t>
      </w:r>
    </w:p>
    <w:p>
      <w:pPr>
        <w:pStyle w:val="5"/>
        <w:numPr>
          <w:ilvl w:val="0"/>
          <w:numId w:val="4"/>
        </w:numPr>
        <w:spacing w:before="0" w:beforeAutospacing="0" w:after="0" w:afterAutospacing="0"/>
        <w:ind w:firstLine="560"/>
        <w:rPr>
          <w:sz w:val="28"/>
          <w:szCs w:val="28"/>
        </w:rPr>
      </w:pPr>
      <w:r>
        <w:rPr>
          <w:rFonts w:hint="eastAsia"/>
          <w:sz w:val="28"/>
          <w:szCs w:val="28"/>
        </w:rPr>
        <w:t>基本支出分类情况</w:t>
      </w:r>
    </w:p>
    <w:p>
      <w:pPr>
        <w:pStyle w:val="5"/>
        <w:rPr>
          <w:sz w:val="28"/>
          <w:szCs w:val="28"/>
        </w:rPr>
      </w:pPr>
      <w:r>
        <w:rPr>
          <w:rFonts w:hint="eastAsia"/>
          <w:sz w:val="28"/>
          <w:szCs w:val="28"/>
        </w:rPr>
        <w:t xml:space="preserve">    我单位基本支出范围和主要用途包括：人员经费和日常公用经费。系保障我镇机构正常运转，完成日常工作任务发生的各项支出。主要用于干部职工工资、津补贴、办公费、差旅费、资料费、水电费、和办公设备购置等日常公用经费的开支。具体包括：工资福利支出、对个人和家庭的补助、一般商品和服务支出、专项经费支出。具体为：工资福利支出431.43万元，商品和服务支出202.31万元，对个人和家庭补助支出55.33万元。</w:t>
      </w:r>
    </w:p>
    <w:p>
      <w:pPr>
        <w:pStyle w:val="5"/>
        <w:rPr>
          <w:sz w:val="28"/>
          <w:szCs w:val="28"/>
        </w:rPr>
      </w:pPr>
      <w:r>
        <w:rPr>
          <w:rFonts w:hint="eastAsia"/>
          <w:sz w:val="28"/>
          <w:szCs w:val="28"/>
        </w:rPr>
        <w:t xml:space="preserve">    3、专项支出分类情况</w:t>
      </w:r>
    </w:p>
    <w:p>
      <w:pPr>
        <w:pStyle w:val="5"/>
        <w:rPr>
          <w:sz w:val="28"/>
          <w:szCs w:val="28"/>
        </w:rPr>
      </w:pPr>
      <w:r>
        <w:rPr>
          <w:rFonts w:hint="eastAsia"/>
          <w:sz w:val="28"/>
          <w:szCs w:val="28"/>
        </w:rPr>
        <w:t xml:space="preserve">    我镇2020年专项支出工作经费607.92万元,主要用于村级转移支付，信访维稳，党建专项，精准扶贫，城乡环境同治，农村改水改厕，补助村级公益事业建设支出及农村综合服务平台建设支出。</w:t>
      </w:r>
    </w:p>
    <w:p>
      <w:pPr>
        <w:rPr>
          <w:rFonts w:cs="宋体"/>
          <w:kern w:val="0"/>
          <w:sz w:val="28"/>
          <w:szCs w:val="28"/>
        </w:rPr>
      </w:pPr>
      <w:r>
        <w:rPr>
          <w:rFonts w:hint="eastAsia"/>
          <w:sz w:val="28"/>
          <w:szCs w:val="28"/>
        </w:rPr>
        <w:t xml:space="preserve">    4</w:t>
      </w:r>
      <w:r>
        <w:rPr>
          <w:sz w:val="28"/>
          <w:szCs w:val="28"/>
        </w:rPr>
        <w:t>.</w:t>
      </w:r>
      <w:r>
        <w:rPr>
          <w:rFonts w:hint="eastAsia" w:cs="宋体"/>
          <w:kern w:val="0"/>
          <w:sz w:val="28"/>
          <w:szCs w:val="28"/>
        </w:rPr>
        <w:t>“三公”经费支出使用和管理情况</w:t>
      </w:r>
    </w:p>
    <w:p>
      <w:pPr>
        <w:pStyle w:val="10"/>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我单位“三公”经费各费用均控制在预算范围内，且较预算金额有不同程度的结余。其中：因公出国出境费用本年未发生经费支出；公务接待费4万元，年初预算数4.5万元相比，结余率为11%；车辆运行维护费5.5万元。与年初预算数8万元相比结余2.5万元，结余率31%。</w:t>
      </w:r>
    </w:p>
    <w:p>
      <w:pPr>
        <w:pStyle w:val="10"/>
        <w:ind w:firstLine="560" w:firstLineChars="200"/>
        <w:rPr>
          <w:rFonts w:ascii="宋体" w:hAnsi="宋体" w:eastAsia="宋体" w:cs="宋体"/>
          <w:color w:val="auto"/>
          <w:sz w:val="28"/>
          <w:szCs w:val="28"/>
        </w:rPr>
      </w:pPr>
    </w:p>
    <w:p>
      <w:pPr>
        <w:pStyle w:val="10"/>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5、政府性基金预算财政拨款情况</w:t>
      </w:r>
    </w:p>
    <w:p>
      <w:pPr>
        <w:pStyle w:val="10"/>
        <w:rPr>
          <w:rFonts w:asciiTheme="minorEastAsia" w:hAnsiTheme="minorEastAsia" w:eastAsiaTheme="minorEastAsia" w:cstheme="minorBidi"/>
          <w:color w:val="auto"/>
          <w:kern w:val="2"/>
          <w:sz w:val="32"/>
          <w:szCs w:val="32"/>
        </w:rPr>
      </w:pPr>
      <w:r>
        <w:rPr>
          <w:rFonts w:hint="eastAsia" w:ascii="宋体" w:hAnsi="宋体" w:eastAsia="宋体" w:cs="宋体"/>
          <w:color w:val="auto"/>
          <w:sz w:val="28"/>
          <w:szCs w:val="28"/>
        </w:rPr>
        <w:t>我单位2020年政府性基金预算财政拨款116.47万元，是中央财政安排的抗疫特别国债安排的支出。已全部拨付到村、社区、卫生组织及购置防疫物资，其中</w:t>
      </w:r>
      <w:r>
        <w:rPr>
          <w:rFonts w:hint="eastAsia" w:asciiTheme="minorEastAsia" w:hAnsiTheme="minorEastAsia" w:eastAsiaTheme="minorEastAsia" w:cstheme="minorBidi"/>
          <w:color w:val="auto"/>
          <w:kern w:val="2"/>
          <w:sz w:val="32"/>
          <w:szCs w:val="32"/>
        </w:rPr>
        <w:t>支付宣传费5.6万元、工作人员生活费5.9万元、镇内各职能站所防疫工作经费25万元、卫生院防控资金（栗江中心医院、隆市医院及檀市医院）44.1万元、农贸市场及隔离服务点材料费0.87万元、全镇村（社区）疫情防控资金（22个村、4个社区）35万元。</w:t>
      </w:r>
    </w:p>
    <w:p>
      <w:pPr>
        <w:pStyle w:val="5"/>
        <w:ind w:firstLine="560" w:firstLineChars="200"/>
        <w:rPr>
          <w:b/>
          <w:bCs/>
          <w:sz w:val="28"/>
          <w:szCs w:val="28"/>
        </w:rPr>
      </w:pPr>
      <w:r>
        <w:rPr>
          <w:rFonts w:hint="eastAsia"/>
          <w:b/>
          <w:bCs/>
          <w:sz w:val="28"/>
          <w:szCs w:val="28"/>
        </w:rPr>
        <w:t>三、部门项目实施情况</w:t>
      </w:r>
    </w:p>
    <w:p>
      <w:pPr>
        <w:pStyle w:val="5"/>
        <w:rPr>
          <w:rFonts w:ascii="仿宋" w:hAnsi="仿宋" w:eastAsia="仿宋" w:cs="仿宋"/>
          <w:b/>
          <w:bCs/>
          <w:sz w:val="32"/>
          <w:szCs w:val="32"/>
        </w:rPr>
      </w:pPr>
      <w:r>
        <w:rPr>
          <w:rFonts w:hint="eastAsia"/>
          <w:sz w:val="28"/>
          <w:szCs w:val="28"/>
        </w:rPr>
        <w:t>　　2020年，本单位不断创新和加强管理，着力强化自身建设，切实提升保障服务水平，具体情况如下：</w:t>
      </w:r>
    </w:p>
    <w:p>
      <w:pPr>
        <w:keepNext/>
        <w:keepLines/>
        <w:shd w:val="clear" w:color="auto" w:fill="FFFFFF"/>
        <w:jc w:val="left"/>
        <w:rPr>
          <w:rFonts w:ascii="宋体" w:hAnsi="宋体" w:eastAsia="宋体" w:cs="宋体"/>
          <w:kern w:val="0"/>
          <w:sz w:val="28"/>
          <w:szCs w:val="28"/>
        </w:rPr>
      </w:pPr>
      <w:r>
        <w:rPr>
          <w:rFonts w:ascii="宋体" w:hAnsi="宋体" w:eastAsia="宋体" w:cs="宋体"/>
          <w:kern w:val="0"/>
          <w:sz w:val="28"/>
          <w:szCs w:val="28"/>
        </w:rPr>
        <w:t>(1)</w:t>
      </w:r>
      <w:r>
        <w:rPr>
          <w:rFonts w:hint="eastAsia"/>
          <w:sz w:val="28"/>
          <w:szCs w:val="28"/>
        </w:rPr>
        <w:t>党建工作。</w:t>
      </w:r>
      <w:r>
        <w:rPr>
          <w:rFonts w:hint="eastAsia" w:ascii="宋体" w:hAnsi="宋体" w:eastAsia="宋体" w:cs="宋体"/>
          <w:kern w:val="0"/>
          <w:sz w:val="28"/>
          <w:szCs w:val="28"/>
        </w:rPr>
        <w:t>创建了“五化”达标村、社区支部6个，高质量完成了鲤鱼村软弱涣散党组织和柘田村后进村整顿工作；截止今年年底已完成大泉、六合、林泉、石滩、鲤鱼、檀市6个村的综合服务平台建设。</w:t>
      </w:r>
    </w:p>
    <w:p>
      <w:pPr>
        <w:keepNext/>
        <w:keepLines/>
        <w:shd w:val="clear" w:color="auto" w:fill="FFFFFF"/>
        <w:jc w:val="left"/>
        <w:rPr>
          <w:rFonts w:ascii="宋体" w:hAnsi="宋体" w:eastAsia="宋体" w:cs="宋体"/>
          <w:kern w:val="0"/>
          <w:sz w:val="28"/>
          <w:szCs w:val="28"/>
        </w:rPr>
      </w:pPr>
    </w:p>
    <w:p>
      <w:pPr>
        <w:keepNext/>
        <w:keepLines/>
        <w:shd w:val="clear" w:color="auto" w:fill="FFFFFF"/>
        <w:jc w:val="left"/>
        <w:rPr>
          <w:rFonts w:ascii="宋体" w:hAnsi="宋体" w:eastAsia="宋体" w:cs="宋体"/>
          <w:kern w:val="0"/>
          <w:sz w:val="28"/>
          <w:szCs w:val="28"/>
        </w:rPr>
      </w:pPr>
      <w:r>
        <w:rPr>
          <w:rFonts w:ascii="宋体" w:hAnsi="宋体" w:eastAsia="宋体" w:cs="宋体"/>
          <w:kern w:val="0"/>
          <w:sz w:val="28"/>
          <w:szCs w:val="28"/>
        </w:rPr>
        <w:t>(</w:t>
      </w:r>
      <w:r>
        <w:rPr>
          <w:rFonts w:hint="eastAsia" w:ascii="宋体" w:hAnsi="宋体" w:eastAsia="宋体" w:cs="宋体"/>
          <w:kern w:val="0"/>
          <w:sz w:val="28"/>
          <w:szCs w:val="28"/>
        </w:rPr>
        <w:t>2</w:t>
      </w:r>
      <w:r>
        <w:rPr>
          <w:rFonts w:ascii="宋体" w:hAnsi="宋体" w:eastAsia="宋体" w:cs="宋体"/>
          <w:kern w:val="0"/>
          <w:sz w:val="28"/>
          <w:szCs w:val="28"/>
        </w:rPr>
        <w:t>)</w:t>
      </w:r>
      <w:r>
        <w:rPr>
          <w:rFonts w:hint="eastAsia" w:ascii="宋体" w:hAnsi="宋体" w:eastAsia="宋体" w:cs="宋体"/>
          <w:kern w:val="0"/>
          <w:sz w:val="28"/>
          <w:szCs w:val="28"/>
        </w:rPr>
        <w:t>在综合社会治理工作上，一是全力开展扫黑除恶专项斗争。二是民调工作成效巩固。三是严肃推进禁毒工作，建立禁毒工作网格化服务管理体系，镇禁毒办协同派出所对全镇进行全面排查，保障我镇社会风清气正。</w:t>
      </w:r>
    </w:p>
    <w:p>
      <w:pPr>
        <w:pStyle w:val="5"/>
        <w:rPr>
          <w:sz w:val="28"/>
          <w:szCs w:val="28"/>
        </w:rPr>
      </w:pPr>
      <w:r>
        <w:rPr>
          <w:sz w:val="28"/>
          <w:szCs w:val="28"/>
        </w:rPr>
        <w:t>(</w:t>
      </w:r>
      <w:r>
        <w:rPr>
          <w:rFonts w:hint="eastAsia"/>
          <w:sz w:val="28"/>
          <w:szCs w:val="28"/>
        </w:rPr>
        <w:t>3</w:t>
      </w:r>
      <w:r>
        <w:rPr>
          <w:sz w:val="28"/>
          <w:szCs w:val="28"/>
        </w:rPr>
        <w:t>)</w:t>
      </w:r>
      <w:r>
        <w:rPr>
          <w:rFonts w:hint="eastAsia"/>
          <w:sz w:val="28"/>
          <w:szCs w:val="28"/>
        </w:rPr>
        <w:t>在脱贫攻坚上，全面巩固提升，已脱贫贫困户“一超过、两不愁、三保障”已达标；贫困户人均纯收入超过4260元，不愁吃穿，义务教育、基本医疗、安全住房、安全饮用水、生活用电等均有保障。</w:t>
      </w:r>
    </w:p>
    <w:p>
      <w:pPr>
        <w:pStyle w:val="5"/>
        <w:rPr>
          <w:sz w:val="28"/>
          <w:szCs w:val="28"/>
        </w:rPr>
      </w:pPr>
      <w:r>
        <w:rPr>
          <w:rFonts w:hint="eastAsia"/>
          <w:sz w:val="28"/>
          <w:szCs w:val="28"/>
        </w:rPr>
        <w:t>(4)在应急管理工作上，出台了安全生产、道路交通、防汛、森林防火、食品安全等相关的工作方案和应急预案，确保了全镇未发生重大及以上生产安全事故、森林火灾、道路交通事故、食品安全责任事故。</w:t>
      </w:r>
    </w:p>
    <w:p>
      <w:pPr>
        <w:pStyle w:val="5"/>
        <w:ind w:firstLine="560"/>
        <w:rPr>
          <w:rFonts w:cs="Times New Roman"/>
          <w:sz w:val="28"/>
          <w:szCs w:val="28"/>
        </w:rPr>
      </w:pPr>
      <w:r>
        <w:rPr>
          <w:rFonts w:hint="eastAsia"/>
          <w:b/>
          <w:bCs/>
          <w:sz w:val="28"/>
          <w:szCs w:val="28"/>
        </w:rPr>
        <w:t>四、部门整体支出绩效评价情况</w:t>
      </w:r>
    </w:p>
    <w:p>
      <w:pPr>
        <w:pStyle w:val="5"/>
        <w:rPr>
          <w:sz w:val="28"/>
          <w:szCs w:val="28"/>
        </w:rPr>
      </w:pPr>
      <w:r>
        <w:rPr>
          <w:rFonts w:hint="eastAsia"/>
          <w:sz w:val="28"/>
          <w:szCs w:val="28"/>
        </w:rPr>
        <w:t>　　</w:t>
      </w:r>
      <w:r>
        <w:rPr>
          <w:sz w:val="28"/>
          <w:szCs w:val="28"/>
        </w:rPr>
        <w:t>1.</w:t>
      </w:r>
      <w:r>
        <w:rPr>
          <w:rFonts w:hint="eastAsia"/>
          <w:sz w:val="28"/>
          <w:szCs w:val="28"/>
        </w:rPr>
        <w:t>预算配置情况</w:t>
      </w:r>
    </w:p>
    <w:p>
      <w:pPr>
        <w:pStyle w:val="5"/>
        <w:rPr>
          <w:sz w:val="28"/>
          <w:szCs w:val="28"/>
        </w:rPr>
      </w:pPr>
      <w:r>
        <w:rPr>
          <w:rFonts w:hint="eastAsia"/>
          <w:sz w:val="28"/>
          <w:szCs w:val="28"/>
        </w:rPr>
        <w:t>　　</w:t>
      </w:r>
      <w:r>
        <w:rPr>
          <w:sz w:val="28"/>
          <w:szCs w:val="28"/>
        </w:rPr>
        <w:t>(1)</w:t>
      </w:r>
      <w:r>
        <w:rPr>
          <w:rFonts w:hint="eastAsia"/>
          <w:sz w:val="28"/>
          <w:szCs w:val="28"/>
        </w:rPr>
        <w:t>在职人员控制率</w:t>
      </w:r>
      <w:r>
        <w:rPr>
          <w:sz w:val="28"/>
          <w:szCs w:val="28"/>
        </w:rPr>
        <w:t>(2</w:t>
      </w:r>
      <w:r>
        <w:rPr>
          <w:rFonts w:hint="eastAsia"/>
          <w:sz w:val="28"/>
          <w:szCs w:val="28"/>
        </w:rPr>
        <w:t>分</w:t>
      </w:r>
      <w:r>
        <w:rPr>
          <w:sz w:val="28"/>
          <w:szCs w:val="28"/>
        </w:rPr>
        <w:t>)</w:t>
      </w:r>
      <w:r>
        <w:rPr>
          <w:rFonts w:hint="eastAsia"/>
          <w:sz w:val="28"/>
          <w:szCs w:val="28"/>
        </w:rPr>
        <w:t>：本单位2020年度编制数为</w:t>
      </w:r>
      <w:r>
        <w:rPr>
          <w:sz w:val="28"/>
          <w:szCs w:val="28"/>
        </w:rPr>
        <w:t>2</w:t>
      </w:r>
      <w:r>
        <w:rPr>
          <w:rFonts w:hint="eastAsia"/>
          <w:sz w:val="28"/>
          <w:szCs w:val="28"/>
        </w:rPr>
        <w:t>5人，实际在职人员为</w:t>
      </w:r>
      <w:r>
        <w:rPr>
          <w:sz w:val="28"/>
          <w:szCs w:val="28"/>
        </w:rPr>
        <w:t>2</w:t>
      </w:r>
      <w:r>
        <w:rPr>
          <w:rFonts w:hint="eastAsia"/>
          <w:sz w:val="28"/>
          <w:szCs w:val="28"/>
        </w:rPr>
        <w:t>5人，实际在职人员控制率＝</w:t>
      </w:r>
      <w:r>
        <w:rPr>
          <w:sz w:val="28"/>
          <w:szCs w:val="28"/>
        </w:rPr>
        <w:t>(</w:t>
      </w:r>
      <w:r>
        <w:rPr>
          <w:rFonts w:hint="eastAsia"/>
          <w:sz w:val="28"/>
          <w:szCs w:val="28"/>
        </w:rPr>
        <w:t>在职人员数</w:t>
      </w:r>
      <w:r>
        <w:rPr>
          <w:sz w:val="28"/>
          <w:szCs w:val="28"/>
        </w:rPr>
        <w:t>/</w:t>
      </w:r>
      <w:r>
        <w:rPr>
          <w:rFonts w:hint="eastAsia"/>
          <w:sz w:val="28"/>
          <w:szCs w:val="28"/>
        </w:rPr>
        <w:t>编制数</w:t>
      </w:r>
      <w:r>
        <w:rPr>
          <w:sz w:val="28"/>
          <w:szCs w:val="28"/>
        </w:rPr>
        <w:t>)×100%</w:t>
      </w:r>
      <w:r>
        <w:rPr>
          <w:rFonts w:hint="eastAsia"/>
          <w:sz w:val="28"/>
          <w:szCs w:val="28"/>
        </w:rPr>
        <w:t>＝</w:t>
      </w:r>
      <w:r>
        <w:rPr>
          <w:sz w:val="28"/>
          <w:szCs w:val="28"/>
        </w:rPr>
        <w:t>(29/29)×100%</w:t>
      </w:r>
      <w:r>
        <w:rPr>
          <w:rFonts w:hint="eastAsia"/>
          <w:sz w:val="28"/>
          <w:szCs w:val="28"/>
        </w:rPr>
        <w:t>＝</w:t>
      </w:r>
      <w:r>
        <w:rPr>
          <w:sz w:val="28"/>
          <w:szCs w:val="28"/>
        </w:rPr>
        <w:t>100%</w:t>
      </w:r>
      <w:r>
        <w:rPr>
          <w:rFonts w:hint="eastAsia"/>
          <w:sz w:val="28"/>
          <w:szCs w:val="28"/>
        </w:rPr>
        <w:t>，在职人员控制率为</w:t>
      </w:r>
      <w:r>
        <w:rPr>
          <w:sz w:val="28"/>
          <w:szCs w:val="28"/>
        </w:rPr>
        <w:t>100%</w:t>
      </w:r>
      <w:r>
        <w:rPr>
          <w:rFonts w:hint="eastAsia"/>
          <w:sz w:val="28"/>
          <w:szCs w:val="28"/>
        </w:rPr>
        <w:t>，根据评价标准该项得</w:t>
      </w:r>
      <w:r>
        <w:rPr>
          <w:rFonts w:cs="Times New Roman"/>
          <w:sz w:val="28"/>
          <w:szCs w:val="28"/>
        </w:rPr>
        <w:t> </w:t>
      </w:r>
      <w:r>
        <w:rPr>
          <w:sz w:val="28"/>
          <w:szCs w:val="28"/>
        </w:rPr>
        <w:t>2</w:t>
      </w:r>
      <w:r>
        <w:rPr>
          <w:rFonts w:cs="Times New Roman"/>
          <w:sz w:val="28"/>
          <w:szCs w:val="28"/>
        </w:rPr>
        <w:t> </w:t>
      </w:r>
      <w:r>
        <w:rPr>
          <w:rFonts w:hint="eastAsia"/>
          <w:sz w:val="28"/>
          <w:szCs w:val="28"/>
        </w:rPr>
        <w:t>分。</w:t>
      </w:r>
    </w:p>
    <w:p>
      <w:pPr>
        <w:pStyle w:val="5"/>
        <w:rPr>
          <w:rFonts w:cs="Times New Roman"/>
          <w:sz w:val="28"/>
          <w:szCs w:val="28"/>
        </w:rPr>
      </w:pPr>
      <w:r>
        <w:rPr>
          <w:rFonts w:hint="eastAsia"/>
          <w:sz w:val="28"/>
          <w:szCs w:val="28"/>
        </w:rPr>
        <w:t>　　(</w:t>
      </w:r>
      <w:r>
        <w:rPr>
          <w:sz w:val="28"/>
          <w:szCs w:val="28"/>
        </w:rPr>
        <w:t>2)“</w:t>
      </w:r>
      <w:r>
        <w:rPr>
          <w:rFonts w:hint="eastAsia"/>
          <w:sz w:val="28"/>
          <w:szCs w:val="28"/>
        </w:rPr>
        <w:t>三公经费</w:t>
      </w:r>
      <w:r>
        <w:rPr>
          <w:sz w:val="28"/>
          <w:szCs w:val="28"/>
        </w:rPr>
        <w:t>”</w:t>
      </w:r>
      <w:r>
        <w:rPr>
          <w:rFonts w:hint="eastAsia"/>
          <w:sz w:val="28"/>
          <w:szCs w:val="28"/>
        </w:rPr>
        <w:t>变动率情况</w:t>
      </w:r>
      <w:r>
        <w:rPr>
          <w:sz w:val="28"/>
          <w:szCs w:val="28"/>
        </w:rPr>
        <w:t>(2</w:t>
      </w:r>
      <w:r>
        <w:rPr>
          <w:rFonts w:hint="eastAsia"/>
          <w:sz w:val="28"/>
          <w:szCs w:val="28"/>
        </w:rPr>
        <w:t>分</w:t>
      </w:r>
      <w:r>
        <w:rPr>
          <w:sz w:val="28"/>
          <w:szCs w:val="28"/>
        </w:rPr>
        <w:t>)</w:t>
      </w:r>
      <w:r>
        <w:rPr>
          <w:rFonts w:hint="eastAsia"/>
          <w:sz w:val="28"/>
          <w:szCs w:val="28"/>
        </w:rPr>
        <w:t>：</w:t>
      </w:r>
      <w:r>
        <w:rPr>
          <w:sz w:val="28"/>
          <w:szCs w:val="28"/>
        </w:rPr>
        <w:t>“</w:t>
      </w:r>
      <w:r>
        <w:rPr>
          <w:rFonts w:hint="eastAsia"/>
          <w:sz w:val="28"/>
          <w:szCs w:val="28"/>
        </w:rPr>
        <w:t>2020年度本单位预算安排</w:t>
      </w:r>
      <w:r>
        <w:rPr>
          <w:sz w:val="28"/>
          <w:szCs w:val="28"/>
        </w:rPr>
        <w:t>“</w:t>
      </w:r>
      <w:r>
        <w:rPr>
          <w:rFonts w:hint="eastAsia"/>
          <w:sz w:val="28"/>
          <w:szCs w:val="28"/>
        </w:rPr>
        <w:t>三公经费</w:t>
      </w:r>
      <w:r>
        <w:rPr>
          <w:sz w:val="28"/>
          <w:szCs w:val="28"/>
        </w:rPr>
        <w:t>”</w:t>
      </w:r>
      <w:r>
        <w:rPr>
          <w:rFonts w:hint="eastAsia"/>
          <w:sz w:val="28"/>
          <w:szCs w:val="28"/>
        </w:rPr>
        <w:t>总额为33.5万元，2020年度</w:t>
      </w:r>
      <w:r>
        <w:rPr>
          <w:sz w:val="28"/>
          <w:szCs w:val="28"/>
        </w:rPr>
        <w:t>“</w:t>
      </w:r>
      <w:r>
        <w:rPr>
          <w:rFonts w:hint="eastAsia"/>
          <w:sz w:val="28"/>
          <w:szCs w:val="28"/>
        </w:rPr>
        <w:t>三公经费</w:t>
      </w:r>
      <w:r>
        <w:rPr>
          <w:sz w:val="28"/>
          <w:szCs w:val="28"/>
        </w:rPr>
        <w:t>”</w:t>
      </w:r>
      <w:r>
        <w:rPr>
          <w:rFonts w:hint="eastAsia"/>
          <w:sz w:val="28"/>
          <w:szCs w:val="28"/>
        </w:rPr>
        <w:t>支出为9.5万元。上年度</w:t>
      </w:r>
      <w:r>
        <w:rPr>
          <w:sz w:val="28"/>
          <w:szCs w:val="28"/>
        </w:rPr>
        <w:t>“</w:t>
      </w:r>
      <w:r>
        <w:rPr>
          <w:rFonts w:hint="eastAsia"/>
          <w:sz w:val="28"/>
          <w:szCs w:val="28"/>
        </w:rPr>
        <w:t>三公经费</w:t>
      </w:r>
      <w:r>
        <w:rPr>
          <w:sz w:val="28"/>
          <w:szCs w:val="28"/>
        </w:rPr>
        <w:t>”</w:t>
      </w:r>
      <w:r>
        <w:rPr>
          <w:rFonts w:hint="eastAsia"/>
          <w:sz w:val="28"/>
          <w:szCs w:val="28"/>
        </w:rPr>
        <w:t>支出为12.5万元，本单位</w:t>
      </w:r>
      <w:r>
        <w:rPr>
          <w:sz w:val="28"/>
          <w:szCs w:val="28"/>
        </w:rPr>
        <w:t>“</w:t>
      </w:r>
      <w:r>
        <w:rPr>
          <w:rFonts w:hint="eastAsia"/>
          <w:sz w:val="28"/>
          <w:szCs w:val="28"/>
        </w:rPr>
        <w:t>三公经费</w:t>
      </w:r>
      <w:r>
        <w:rPr>
          <w:sz w:val="28"/>
          <w:szCs w:val="28"/>
        </w:rPr>
        <w:t>”</w:t>
      </w:r>
      <w:r>
        <w:rPr>
          <w:rFonts w:hint="eastAsia"/>
          <w:sz w:val="28"/>
          <w:szCs w:val="28"/>
        </w:rPr>
        <w:t>变动率＝</w:t>
      </w:r>
      <w:r>
        <w:rPr>
          <w:sz w:val="28"/>
          <w:szCs w:val="28"/>
        </w:rPr>
        <w:t>(</w:t>
      </w:r>
      <w:r>
        <w:rPr>
          <w:rFonts w:hint="eastAsia"/>
          <w:sz w:val="28"/>
          <w:szCs w:val="28"/>
        </w:rPr>
        <w:t>本年度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w:t>
      </w:r>
      <w:r>
        <w:rPr>
          <w:rFonts w:hint="eastAsia"/>
          <w:sz w:val="28"/>
          <w:szCs w:val="28"/>
        </w:rPr>
        <w:t>上年度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w:t>
      </w:r>
      <w:r>
        <w:rPr>
          <w:rFonts w:hint="eastAsia"/>
          <w:sz w:val="28"/>
          <w:szCs w:val="28"/>
        </w:rPr>
        <w:t>上年度</w:t>
      </w:r>
      <w:r>
        <w:rPr>
          <w:sz w:val="28"/>
          <w:szCs w:val="28"/>
        </w:rPr>
        <w:t>“</w:t>
      </w:r>
      <w:r>
        <w:rPr>
          <w:rFonts w:hint="eastAsia"/>
          <w:sz w:val="28"/>
          <w:szCs w:val="28"/>
        </w:rPr>
        <w:t>三公经费</w:t>
      </w:r>
      <w:r>
        <w:rPr>
          <w:sz w:val="28"/>
          <w:szCs w:val="28"/>
        </w:rPr>
        <w:t>”</w:t>
      </w:r>
      <w:r>
        <w:rPr>
          <w:rFonts w:hint="eastAsia"/>
          <w:sz w:val="28"/>
          <w:szCs w:val="28"/>
        </w:rPr>
        <w:t>总额</w:t>
      </w:r>
      <w:r>
        <w:rPr>
          <w:sz w:val="28"/>
          <w:szCs w:val="28"/>
        </w:rPr>
        <w:t>×100%</w:t>
      </w:r>
      <w:r>
        <w:rPr>
          <w:rFonts w:hint="eastAsia"/>
          <w:sz w:val="28"/>
          <w:szCs w:val="28"/>
        </w:rPr>
        <w:t>＝</w:t>
      </w:r>
      <w:r>
        <w:rPr>
          <w:sz w:val="28"/>
          <w:szCs w:val="28"/>
        </w:rPr>
        <w:t>(</w:t>
      </w:r>
      <w:r>
        <w:rPr>
          <w:rFonts w:hint="eastAsia"/>
          <w:sz w:val="28"/>
          <w:szCs w:val="28"/>
        </w:rPr>
        <w:t>9.5-12.5</w:t>
      </w:r>
      <w:r>
        <w:rPr>
          <w:sz w:val="28"/>
          <w:szCs w:val="28"/>
        </w:rPr>
        <w:t>)/</w:t>
      </w:r>
      <w:r>
        <w:rPr>
          <w:rFonts w:hint="eastAsia"/>
          <w:sz w:val="28"/>
          <w:szCs w:val="28"/>
        </w:rPr>
        <w:t>12.5</w:t>
      </w:r>
      <w:r>
        <w:rPr>
          <w:sz w:val="28"/>
          <w:szCs w:val="28"/>
        </w:rPr>
        <w:t>×100%</w:t>
      </w:r>
      <w:r>
        <w:rPr>
          <w:rFonts w:hint="eastAsia"/>
          <w:sz w:val="28"/>
          <w:szCs w:val="28"/>
        </w:rPr>
        <w:t>＝-24%小于10%。根据评价标准该项得满分</w:t>
      </w:r>
      <w:r>
        <w:rPr>
          <w:sz w:val="28"/>
          <w:szCs w:val="28"/>
        </w:rPr>
        <w:t>2</w:t>
      </w:r>
      <w:r>
        <w:rPr>
          <w:rFonts w:hint="eastAsia"/>
          <w:sz w:val="28"/>
          <w:szCs w:val="28"/>
        </w:rPr>
        <w:t>分。</w:t>
      </w:r>
    </w:p>
    <w:p>
      <w:pPr>
        <w:pStyle w:val="5"/>
        <w:rPr>
          <w:rFonts w:cs="Times New Roman"/>
          <w:sz w:val="28"/>
          <w:szCs w:val="28"/>
        </w:rPr>
      </w:pPr>
      <w:r>
        <w:rPr>
          <w:rFonts w:hint="eastAsia"/>
          <w:sz w:val="28"/>
          <w:szCs w:val="28"/>
        </w:rPr>
        <w:t>　　</w:t>
      </w:r>
      <w:r>
        <w:rPr>
          <w:sz w:val="28"/>
          <w:szCs w:val="28"/>
        </w:rPr>
        <w:t>2.</w:t>
      </w:r>
      <w:r>
        <w:rPr>
          <w:rFonts w:hint="eastAsia"/>
          <w:sz w:val="28"/>
          <w:szCs w:val="28"/>
        </w:rPr>
        <w:t>预算执行情况</w:t>
      </w:r>
    </w:p>
    <w:p>
      <w:pPr>
        <w:pStyle w:val="5"/>
        <w:ind w:firstLine="560"/>
        <w:rPr>
          <w:sz w:val="28"/>
          <w:szCs w:val="28"/>
        </w:rPr>
      </w:pPr>
      <w:r>
        <w:rPr>
          <w:rFonts w:hint="eastAsia"/>
          <w:sz w:val="28"/>
          <w:szCs w:val="28"/>
        </w:rPr>
        <w:t>公用经费控制率</w:t>
      </w:r>
      <w:r>
        <w:rPr>
          <w:sz w:val="28"/>
          <w:szCs w:val="28"/>
        </w:rPr>
        <w:t>(</w:t>
      </w:r>
      <w:r>
        <w:rPr>
          <w:rFonts w:hint="eastAsia"/>
          <w:sz w:val="28"/>
          <w:szCs w:val="28"/>
        </w:rPr>
        <w:t>2分</w:t>
      </w:r>
      <w:r>
        <w:rPr>
          <w:sz w:val="28"/>
          <w:szCs w:val="28"/>
        </w:rPr>
        <w:t>)</w:t>
      </w:r>
      <w:r>
        <w:rPr>
          <w:rFonts w:hint="eastAsia"/>
          <w:sz w:val="28"/>
          <w:szCs w:val="28"/>
        </w:rPr>
        <w:t>：2020年度本单位实际公用经费支出为202.31万元，年初预算安排公用经费为162.57万元，本单位公用经费控制率＝</w:t>
      </w:r>
      <w:r>
        <w:rPr>
          <w:sz w:val="28"/>
          <w:szCs w:val="28"/>
        </w:rPr>
        <w:t>(</w:t>
      </w:r>
      <w:r>
        <w:rPr>
          <w:rFonts w:hint="eastAsia"/>
          <w:sz w:val="28"/>
          <w:szCs w:val="28"/>
        </w:rPr>
        <w:t>实际支出公用经费总额</w:t>
      </w:r>
      <w:r>
        <w:rPr>
          <w:sz w:val="28"/>
          <w:szCs w:val="28"/>
        </w:rPr>
        <w:t>÷</w:t>
      </w:r>
      <w:r>
        <w:rPr>
          <w:rFonts w:hint="eastAsia"/>
          <w:sz w:val="28"/>
          <w:szCs w:val="28"/>
        </w:rPr>
        <w:t>预算安排公用经费总额</w:t>
      </w:r>
      <w:r>
        <w:rPr>
          <w:sz w:val="28"/>
          <w:szCs w:val="28"/>
        </w:rPr>
        <w:t>)×100%</w:t>
      </w:r>
      <w:r>
        <w:rPr>
          <w:rFonts w:hint="eastAsia"/>
          <w:sz w:val="28"/>
          <w:szCs w:val="28"/>
        </w:rPr>
        <w:t>＝202.31万元</w:t>
      </w:r>
      <w:r>
        <w:rPr>
          <w:sz w:val="28"/>
          <w:szCs w:val="28"/>
        </w:rPr>
        <w:t>÷</w:t>
      </w:r>
      <w:r>
        <w:rPr>
          <w:rFonts w:hint="eastAsia"/>
          <w:sz w:val="28"/>
          <w:szCs w:val="28"/>
        </w:rPr>
        <w:t>162.57万元</w:t>
      </w:r>
      <w:r>
        <w:rPr>
          <w:sz w:val="28"/>
          <w:szCs w:val="28"/>
        </w:rPr>
        <w:t>×100%</w:t>
      </w:r>
      <w:r>
        <w:rPr>
          <w:rFonts w:hint="eastAsia"/>
          <w:sz w:val="28"/>
          <w:szCs w:val="28"/>
        </w:rPr>
        <w:t>＝124.44</w:t>
      </w:r>
      <w:r>
        <w:rPr>
          <w:sz w:val="28"/>
          <w:szCs w:val="28"/>
        </w:rPr>
        <w:t>%</w:t>
      </w:r>
      <w:r>
        <w:rPr>
          <w:rFonts w:hint="eastAsia"/>
          <w:sz w:val="28"/>
          <w:szCs w:val="28"/>
        </w:rPr>
        <w:t>&gt;</w:t>
      </w:r>
      <w:r>
        <w:rPr>
          <w:sz w:val="28"/>
          <w:szCs w:val="28"/>
        </w:rPr>
        <w:t>100%</w:t>
      </w:r>
      <w:r>
        <w:rPr>
          <w:rFonts w:hint="eastAsia"/>
          <w:sz w:val="28"/>
          <w:szCs w:val="28"/>
        </w:rPr>
        <w:t>，根据评分标准，本单位该项指标应得1.8分。</w:t>
      </w:r>
    </w:p>
    <w:p>
      <w:pPr>
        <w:pStyle w:val="5"/>
        <w:ind w:firstLine="560" w:firstLineChars="200"/>
        <w:rPr>
          <w:rFonts w:cs="Times New Roman"/>
          <w:sz w:val="28"/>
          <w:szCs w:val="28"/>
        </w:rPr>
      </w:pPr>
      <w:r>
        <w:rPr>
          <w:sz w:val="28"/>
          <w:szCs w:val="28"/>
        </w:rPr>
        <w:t>“</w:t>
      </w:r>
      <w:r>
        <w:rPr>
          <w:rFonts w:hint="eastAsia"/>
          <w:sz w:val="28"/>
          <w:szCs w:val="28"/>
        </w:rPr>
        <w:t>三公经费</w:t>
      </w:r>
      <w:r>
        <w:rPr>
          <w:sz w:val="28"/>
          <w:szCs w:val="28"/>
        </w:rPr>
        <w:t>”</w:t>
      </w:r>
      <w:r>
        <w:rPr>
          <w:rFonts w:hint="eastAsia"/>
          <w:sz w:val="28"/>
          <w:szCs w:val="28"/>
        </w:rPr>
        <w:t>控制率</w:t>
      </w:r>
      <w:r>
        <w:rPr>
          <w:sz w:val="28"/>
          <w:szCs w:val="28"/>
        </w:rPr>
        <w:t>(</w:t>
      </w:r>
      <w:r>
        <w:rPr>
          <w:rFonts w:hint="eastAsia"/>
          <w:sz w:val="28"/>
          <w:szCs w:val="28"/>
        </w:rPr>
        <w:t>2分</w:t>
      </w:r>
      <w:r>
        <w:rPr>
          <w:sz w:val="28"/>
          <w:szCs w:val="28"/>
        </w:rPr>
        <w:t>)</w:t>
      </w:r>
      <w:r>
        <w:rPr>
          <w:rFonts w:hint="eastAsia"/>
          <w:sz w:val="28"/>
          <w:szCs w:val="28"/>
        </w:rPr>
        <w:t>：2020年度本单位</w:t>
      </w:r>
      <w:r>
        <w:rPr>
          <w:sz w:val="28"/>
          <w:szCs w:val="28"/>
        </w:rPr>
        <w:t>“</w:t>
      </w:r>
      <w:r>
        <w:rPr>
          <w:rFonts w:hint="eastAsia"/>
          <w:sz w:val="28"/>
          <w:szCs w:val="28"/>
        </w:rPr>
        <w:t>三公经费</w:t>
      </w:r>
      <w:r>
        <w:rPr>
          <w:sz w:val="28"/>
          <w:szCs w:val="28"/>
        </w:rPr>
        <w:t>”</w:t>
      </w:r>
      <w:r>
        <w:rPr>
          <w:rFonts w:hint="eastAsia"/>
          <w:sz w:val="28"/>
          <w:szCs w:val="28"/>
        </w:rPr>
        <w:t>实际支出数为9.5万元</w:t>
      </w:r>
      <w:r>
        <w:rPr>
          <w:sz w:val="28"/>
          <w:szCs w:val="28"/>
        </w:rPr>
        <w:t>(</w:t>
      </w:r>
      <w:r>
        <w:rPr>
          <w:rFonts w:hint="eastAsia"/>
          <w:sz w:val="28"/>
          <w:szCs w:val="28"/>
        </w:rPr>
        <w:t>公务接待费4万元、公务用车运行维护费5.5万元</w:t>
      </w:r>
      <w:r>
        <w:rPr>
          <w:sz w:val="28"/>
          <w:szCs w:val="28"/>
        </w:rPr>
        <w:t>)</w:t>
      </w:r>
      <w:r>
        <w:rPr>
          <w:rFonts w:hint="eastAsia"/>
          <w:sz w:val="28"/>
          <w:szCs w:val="28"/>
        </w:rPr>
        <w:t>，</w:t>
      </w:r>
      <w:r>
        <w:rPr>
          <w:sz w:val="28"/>
          <w:szCs w:val="28"/>
        </w:rPr>
        <w:t>“</w:t>
      </w:r>
      <w:r>
        <w:rPr>
          <w:rFonts w:hint="eastAsia"/>
          <w:sz w:val="28"/>
          <w:szCs w:val="28"/>
        </w:rPr>
        <w:t>三公经费</w:t>
      </w:r>
      <w:r>
        <w:rPr>
          <w:sz w:val="28"/>
          <w:szCs w:val="28"/>
        </w:rPr>
        <w:t>”</w:t>
      </w:r>
      <w:r>
        <w:rPr>
          <w:rFonts w:hint="eastAsia"/>
          <w:sz w:val="28"/>
          <w:szCs w:val="28"/>
        </w:rPr>
        <w:t>年初预算数为33.5万元</w:t>
      </w:r>
      <w:r>
        <w:rPr>
          <w:sz w:val="28"/>
          <w:szCs w:val="28"/>
        </w:rPr>
        <w:t>(</w:t>
      </w:r>
      <w:r>
        <w:rPr>
          <w:rFonts w:hint="eastAsia"/>
          <w:sz w:val="28"/>
          <w:szCs w:val="28"/>
        </w:rPr>
        <w:t>公务接待费19万元、公务用车运行维护费14.5万元</w:t>
      </w:r>
      <w:r>
        <w:rPr>
          <w:sz w:val="28"/>
          <w:szCs w:val="28"/>
        </w:rPr>
        <w:t>)</w:t>
      </w:r>
      <w:r>
        <w:rPr>
          <w:rFonts w:hint="eastAsia"/>
          <w:sz w:val="28"/>
          <w:szCs w:val="28"/>
        </w:rPr>
        <w:t>，本单位</w:t>
      </w:r>
      <w:r>
        <w:rPr>
          <w:sz w:val="28"/>
          <w:szCs w:val="28"/>
        </w:rPr>
        <w:t>“</w:t>
      </w:r>
      <w:r>
        <w:rPr>
          <w:rFonts w:hint="eastAsia"/>
          <w:sz w:val="28"/>
          <w:szCs w:val="28"/>
        </w:rPr>
        <w:t>三公经费</w:t>
      </w:r>
      <w:r>
        <w:rPr>
          <w:sz w:val="28"/>
          <w:szCs w:val="28"/>
        </w:rPr>
        <w:t>”</w:t>
      </w:r>
      <w:r>
        <w:rPr>
          <w:rFonts w:hint="eastAsia"/>
          <w:sz w:val="28"/>
          <w:szCs w:val="28"/>
        </w:rPr>
        <w:t>控制率＝</w:t>
      </w:r>
      <w:r>
        <w:rPr>
          <w:sz w:val="28"/>
          <w:szCs w:val="28"/>
        </w:rPr>
        <w:t>(“</w:t>
      </w:r>
      <w:r>
        <w:rPr>
          <w:rFonts w:hint="eastAsia"/>
          <w:sz w:val="28"/>
          <w:szCs w:val="28"/>
        </w:rPr>
        <w:t>三公经费</w:t>
      </w:r>
      <w:r>
        <w:rPr>
          <w:sz w:val="28"/>
          <w:szCs w:val="28"/>
        </w:rPr>
        <w:t>”</w:t>
      </w:r>
      <w:r>
        <w:rPr>
          <w:rFonts w:hint="eastAsia"/>
          <w:sz w:val="28"/>
          <w:szCs w:val="28"/>
        </w:rPr>
        <w:t>实际支出数</w:t>
      </w:r>
      <w:r>
        <w:rPr>
          <w:sz w:val="28"/>
          <w:szCs w:val="28"/>
        </w:rPr>
        <w:t>÷“</w:t>
      </w:r>
      <w:r>
        <w:rPr>
          <w:rFonts w:hint="eastAsia"/>
          <w:sz w:val="28"/>
          <w:szCs w:val="28"/>
        </w:rPr>
        <w:t>三公经费</w:t>
      </w:r>
      <w:r>
        <w:rPr>
          <w:sz w:val="28"/>
          <w:szCs w:val="28"/>
        </w:rPr>
        <w:t>”</w:t>
      </w:r>
      <w:r>
        <w:rPr>
          <w:rFonts w:hint="eastAsia"/>
          <w:sz w:val="28"/>
          <w:szCs w:val="28"/>
        </w:rPr>
        <w:t>预算安排数</w:t>
      </w:r>
      <w:r>
        <w:rPr>
          <w:sz w:val="28"/>
          <w:szCs w:val="28"/>
        </w:rPr>
        <w:t>)×100%</w:t>
      </w:r>
      <w:r>
        <w:rPr>
          <w:rFonts w:hint="eastAsia"/>
          <w:sz w:val="28"/>
          <w:szCs w:val="28"/>
        </w:rPr>
        <w:t>＝9.5万元</w:t>
      </w:r>
      <w:r>
        <w:rPr>
          <w:sz w:val="28"/>
          <w:szCs w:val="28"/>
        </w:rPr>
        <w:t>/</w:t>
      </w:r>
      <w:r>
        <w:rPr>
          <w:rFonts w:hint="eastAsia"/>
          <w:sz w:val="28"/>
          <w:szCs w:val="28"/>
        </w:rPr>
        <w:t>33.5万元</w:t>
      </w:r>
      <w:r>
        <w:rPr>
          <w:sz w:val="28"/>
          <w:szCs w:val="28"/>
        </w:rPr>
        <w:t>×100%</w:t>
      </w:r>
      <w:r>
        <w:rPr>
          <w:rFonts w:hint="eastAsia"/>
          <w:sz w:val="28"/>
          <w:szCs w:val="28"/>
        </w:rPr>
        <w:t>＝28.35</w:t>
      </w:r>
      <w:r>
        <w:rPr>
          <w:sz w:val="28"/>
          <w:szCs w:val="28"/>
        </w:rPr>
        <w:t>%&lt;100%</w:t>
      </w:r>
      <w:r>
        <w:rPr>
          <w:rFonts w:hint="eastAsia"/>
          <w:sz w:val="28"/>
          <w:szCs w:val="28"/>
        </w:rPr>
        <w:t>，根据评分标准，本单位该项指标应得满分。</w:t>
      </w:r>
    </w:p>
    <w:p>
      <w:pPr>
        <w:pStyle w:val="5"/>
        <w:ind w:firstLine="560"/>
        <w:rPr>
          <w:sz w:val="28"/>
          <w:szCs w:val="28"/>
        </w:rPr>
      </w:pPr>
      <w:r>
        <w:rPr>
          <w:rFonts w:hint="eastAsia"/>
          <w:sz w:val="28"/>
          <w:szCs w:val="28"/>
        </w:rPr>
        <w:t>3.预算管理情况</w:t>
      </w:r>
    </w:p>
    <w:p>
      <w:pPr>
        <w:pStyle w:val="5"/>
        <w:ind w:firstLine="560" w:firstLineChars="200"/>
        <w:rPr>
          <w:sz w:val="28"/>
          <w:szCs w:val="28"/>
        </w:rPr>
      </w:pPr>
      <w:r>
        <w:rPr>
          <w:rFonts w:hint="eastAsia"/>
          <w:sz w:val="28"/>
          <w:szCs w:val="28"/>
        </w:rPr>
        <w:t>管理制度健全性</w:t>
      </w:r>
      <w:r>
        <w:rPr>
          <w:sz w:val="28"/>
          <w:szCs w:val="28"/>
        </w:rPr>
        <w:t>(</w:t>
      </w:r>
      <w:r>
        <w:rPr>
          <w:rFonts w:hint="eastAsia"/>
          <w:sz w:val="28"/>
          <w:szCs w:val="28"/>
        </w:rPr>
        <w:t>2分</w:t>
      </w:r>
      <w:r>
        <w:rPr>
          <w:sz w:val="28"/>
          <w:szCs w:val="28"/>
        </w:rPr>
        <w:t>)</w:t>
      </w:r>
      <w:r>
        <w:rPr>
          <w:rFonts w:hint="eastAsia"/>
          <w:sz w:val="28"/>
          <w:szCs w:val="28"/>
        </w:rPr>
        <w:t>：本单位制订了《栗江镇人民政府管理制度》，建立了各项管理制度，有内部财务管理制度、公务接待管理制度、公务出差审批制度、公车管理制度等相关制度，有本部门厉行节约制度，相关管理制度合法、合规、完整，相关管理制度得到有效执行，根据评分标准，本单位该项指标得满分。</w:t>
      </w:r>
    </w:p>
    <w:p>
      <w:pPr>
        <w:pStyle w:val="5"/>
        <w:ind w:firstLine="560" w:firstLineChars="200"/>
        <w:rPr>
          <w:rFonts w:cs="Times New Roman"/>
          <w:sz w:val="28"/>
          <w:szCs w:val="28"/>
        </w:rPr>
      </w:pPr>
      <w:r>
        <w:rPr>
          <w:rFonts w:hint="eastAsia"/>
          <w:sz w:val="28"/>
          <w:szCs w:val="28"/>
        </w:rPr>
        <w:t>资金使用和规性</w:t>
      </w:r>
      <w:r>
        <w:rPr>
          <w:sz w:val="28"/>
          <w:szCs w:val="28"/>
        </w:rPr>
        <w:t>(</w:t>
      </w:r>
      <w:r>
        <w:rPr>
          <w:rFonts w:hint="eastAsia"/>
          <w:sz w:val="28"/>
          <w:szCs w:val="28"/>
        </w:rPr>
        <w:t>4分</w:t>
      </w:r>
      <w:r>
        <w:rPr>
          <w:sz w:val="28"/>
          <w:szCs w:val="28"/>
        </w:rPr>
        <w:t>)</w:t>
      </w:r>
      <w:r>
        <w:rPr>
          <w:rFonts w:hint="eastAsia"/>
          <w:sz w:val="28"/>
          <w:szCs w:val="28"/>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w:t>
      </w:r>
    </w:p>
    <w:p>
      <w:pPr>
        <w:pStyle w:val="5"/>
        <w:ind w:firstLine="560"/>
        <w:rPr>
          <w:sz w:val="28"/>
          <w:szCs w:val="28"/>
        </w:rPr>
      </w:pPr>
      <w:r>
        <w:rPr>
          <w:rFonts w:hint="eastAsia"/>
          <w:sz w:val="28"/>
          <w:szCs w:val="28"/>
        </w:rPr>
        <w:t>预决算信息公开性</w:t>
      </w:r>
      <w:r>
        <w:rPr>
          <w:sz w:val="28"/>
          <w:szCs w:val="28"/>
        </w:rPr>
        <w:t>(</w:t>
      </w:r>
      <w:r>
        <w:rPr>
          <w:rFonts w:hint="eastAsia"/>
          <w:sz w:val="28"/>
          <w:szCs w:val="28"/>
        </w:rPr>
        <w:t>2分</w:t>
      </w:r>
      <w:r>
        <w:rPr>
          <w:sz w:val="28"/>
          <w:szCs w:val="28"/>
        </w:rPr>
        <w:t>)</w:t>
      </w:r>
      <w:r>
        <w:rPr>
          <w:rFonts w:hint="eastAsia"/>
          <w:sz w:val="28"/>
          <w:szCs w:val="28"/>
        </w:rPr>
        <w:t>：本单位2020年度预算和决算都已按财政局要求进行公开，本单位基础数据信息和会计信息资料真实、完整，基础数据信息和汇集信息资料准确。根据评分标准，本单位该项指标得满分。</w:t>
      </w:r>
    </w:p>
    <w:p>
      <w:pPr>
        <w:pStyle w:val="5"/>
        <w:ind w:firstLine="560"/>
        <w:rPr>
          <w:sz w:val="28"/>
          <w:szCs w:val="28"/>
        </w:rPr>
      </w:pPr>
      <w:r>
        <w:rPr>
          <w:rFonts w:hint="eastAsia"/>
          <w:sz w:val="28"/>
          <w:szCs w:val="28"/>
        </w:rPr>
        <w:t>4、固定资产管理　</w:t>
      </w:r>
    </w:p>
    <w:p>
      <w:pPr>
        <w:pStyle w:val="5"/>
        <w:ind w:firstLine="560"/>
        <w:rPr>
          <w:sz w:val="28"/>
          <w:szCs w:val="28"/>
        </w:rPr>
      </w:pPr>
      <w:r>
        <w:rPr>
          <w:rFonts w:hint="eastAsia"/>
          <w:sz w:val="28"/>
          <w:szCs w:val="28"/>
        </w:rPr>
        <w:t>本单位固定资产保存完整，使用合规，配置合理，处置规范。固定资产有专人管理，并且有专帐，及时进行卡片登记，固定资产账实账物相符，资产利用率高。</w:t>
      </w:r>
    </w:p>
    <w:p>
      <w:pPr>
        <w:pStyle w:val="5"/>
        <w:ind w:firstLine="560"/>
        <w:rPr>
          <w:sz w:val="28"/>
          <w:szCs w:val="28"/>
        </w:rPr>
      </w:pPr>
      <w:r>
        <w:rPr>
          <w:rFonts w:hint="eastAsia"/>
          <w:sz w:val="28"/>
          <w:szCs w:val="28"/>
        </w:rPr>
        <w:t>5、职责履行及履职效益</w:t>
      </w:r>
    </w:p>
    <w:p>
      <w:pPr>
        <w:pStyle w:val="5"/>
        <w:rPr>
          <w:rFonts w:cs="Times New Roman"/>
          <w:sz w:val="28"/>
          <w:szCs w:val="28"/>
        </w:rPr>
      </w:pPr>
      <w:r>
        <w:rPr>
          <w:rFonts w:hint="eastAsia"/>
          <w:sz w:val="28"/>
          <w:szCs w:val="28"/>
        </w:rPr>
        <w:t>　　重点工作办结率</w:t>
      </w:r>
      <w:r>
        <w:rPr>
          <w:sz w:val="28"/>
          <w:szCs w:val="28"/>
        </w:rPr>
        <w:t>(</w:t>
      </w:r>
      <w:r>
        <w:rPr>
          <w:rFonts w:hint="eastAsia"/>
          <w:sz w:val="28"/>
          <w:szCs w:val="28"/>
        </w:rPr>
        <w:t>5分</w:t>
      </w:r>
      <w:r>
        <w:rPr>
          <w:sz w:val="28"/>
          <w:szCs w:val="28"/>
        </w:rPr>
        <w:t>)</w:t>
      </w:r>
      <w:r>
        <w:rPr>
          <w:rFonts w:hint="eastAsia"/>
          <w:sz w:val="28"/>
          <w:szCs w:val="28"/>
        </w:rPr>
        <w:t>：本单位要围绕促进经济发展、增加农民收入，强化公共服务、着力改善民生，加强社会管理、维护农村稳定，推进基层民主、促进农村和谐四个方面全面履行职能，圆满完成了各项工作任务。根据评分标准，本单位该项指标得5分。</w:t>
      </w:r>
    </w:p>
    <w:p>
      <w:pPr>
        <w:pStyle w:val="5"/>
        <w:ind w:firstLine="560" w:firstLineChars="200"/>
        <w:rPr>
          <w:sz w:val="28"/>
          <w:szCs w:val="28"/>
        </w:rPr>
      </w:pPr>
      <w:r>
        <w:rPr>
          <w:rFonts w:hint="eastAsia"/>
          <w:sz w:val="28"/>
          <w:szCs w:val="28"/>
        </w:rPr>
        <w:t>经济效益</w:t>
      </w:r>
      <w:r>
        <w:rPr>
          <w:sz w:val="28"/>
          <w:szCs w:val="28"/>
        </w:rPr>
        <w:t>(</w:t>
      </w:r>
      <w:r>
        <w:rPr>
          <w:rFonts w:hint="eastAsia"/>
          <w:sz w:val="28"/>
          <w:szCs w:val="28"/>
        </w:rPr>
        <w:t>8分</w:t>
      </w:r>
      <w:r>
        <w:rPr>
          <w:sz w:val="28"/>
          <w:szCs w:val="28"/>
        </w:rPr>
        <w:t>)</w:t>
      </w:r>
      <w:r>
        <w:rPr>
          <w:rFonts w:hint="eastAsia"/>
          <w:sz w:val="28"/>
          <w:szCs w:val="28"/>
        </w:rPr>
        <w:t>：本单位坚决宣传和贯彻执行党和国家对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根据评分标准，本单位（经济效益）该项指标得满分8分。</w:t>
      </w:r>
    </w:p>
    <w:p>
      <w:pPr>
        <w:pStyle w:val="5"/>
        <w:ind w:firstLine="560" w:firstLineChars="200"/>
        <w:rPr>
          <w:rFonts w:cs="Times New Roman"/>
          <w:sz w:val="28"/>
          <w:szCs w:val="28"/>
        </w:rPr>
      </w:pPr>
      <w:r>
        <w:rPr>
          <w:rFonts w:hint="eastAsia"/>
          <w:sz w:val="28"/>
          <w:szCs w:val="28"/>
        </w:rPr>
        <w:t>社会效益</w:t>
      </w:r>
      <w:r>
        <w:rPr>
          <w:sz w:val="28"/>
          <w:szCs w:val="28"/>
        </w:rPr>
        <w:t>(</w:t>
      </w:r>
      <w:r>
        <w:rPr>
          <w:rFonts w:hint="eastAsia"/>
          <w:sz w:val="28"/>
          <w:szCs w:val="28"/>
        </w:rPr>
        <w:t>8分</w:t>
      </w:r>
      <w:r>
        <w:rPr>
          <w:sz w:val="28"/>
          <w:szCs w:val="28"/>
        </w:rPr>
        <w:t>)</w:t>
      </w:r>
      <w:r>
        <w:rPr>
          <w:rFonts w:hint="eastAsia"/>
          <w:sz w:val="28"/>
          <w:szCs w:val="28"/>
        </w:rPr>
        <w:t>：本单位狠抓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本单位（社会效益）该项指标得满分8分。</w:t>
      </w:r>
    </w:p>
    <w:p>
      <w:pPr>
        <w:pStyle w:val="5"/>
        <w:rPr>
          <w:rFonts w:cs="Times New Roman"/>
          <w:sz w:val="28"/>
          <w:szCs w:val="28"/>
        </w:rPr>
      </w:pPr>
      <w:r>
        <w:rPr>
          <w:rFonts w:hint="eastAsia"/>
          <w:sz w:val="28"/>
          <w:szCs w:val="28"/>
        </w:rPr>
        <w:t>　　</w:t>
      </w:r>
      <w:r>
        <w:rPr>
          <w:rFonts w:hint="eastAsia"/>
          <w:b/>
          <w:bCs/>
          <w:sz w:val="28"/>
          <w:szCs w:val="28"/>
        </w:rPr>
        <w:t>五、绩效评价结论</w:t>
      </w:r>
    </w:p>
    <w:p>
      <w:pPr>
        <w:pStyle w:val="5"/>
        <w:ind w:firstLine="560"/>
        <w:rPr>
          <w:sz w:val="28"/>
          <w:szCs w:val="28"/>
        </w:rPr>
      </w:pPr>
      <w:r>
        <w:rPr>
          <w:sz w:val="28"/>
          <w:szCs w:val="28"/>
        </w:rPr>
        <w:t>1.</w:t>
      </w:r>
      <w:r>
        <w:rPr>
          <w:rFonts w:hint="eastAsia"/>
          <w:sz w:val="28"/>
          <w:szCs w:val="28"/>
        </w:rPr>
        <w:t>绩效评价得分情况。根据评价指标体系测算，本单位部门整体支出绩效评价得分是：投入绩效为</w:t>
      </w:r>
      <w:r>
        <w:rPr>
          <w:sz w:val="28"/>
          <w:szCs w:val="28"/>
        </w:rPr>
        <w:t>1</w:t>
      </w:r>
      <w:r>
        <w:rPr>
          <w:rFonts w:hint="eastAsia"/>
          <w:sz w:val="28"/>
          <w:szCs w:val="28"/>
        </w:rPr>
        <w:t>0分，过程绩效为28.5分，产出为25分，效率绩效为32分，总绩效为95.5分。　　</w:t>
      </w:r>
    </w:p>
    <w:p>
      <w:pPr>
        <w:pStyle w:val="5"/>
        <w:ind w:firstLine="560"/>
        <w:rPr>
          <w:rFonts w:cs="Times New Roman"/>
          <w:sz w:val="28"/>
          <w:szCs w:val="28"/>
        </w:rPr>
      </w:pPr>
      <w:r>
        <w:rPr>
          <w:sz w:val="28"/>
          <w:szCs w:val="28"/>
        </w:rPr>
        <w:t>2.</w:t>
      </w:r>
      <w:r>
        <w:rPr>
          <w:rFonts w:hint="eastAsia"/>
          <w:sz w:val="28"/>
          <w:szCs w:val="28"/>
        </w:rPr>
        <w:t>存在绩效问题。</w:t>
      </w:r>
    </w:p>
    <w:p>
      <w:pPr>
        <w:pStyle w:val="5"/>
        <w:rPr>
          <w:rFonts w:cs="Times New Roman"/>
          <w:sz w:val="28"/>
          <w:szCs w:val="28"/>
        </w:rPr>
      </w:pPr>
      <w:r>
        <w:rPr>
          <w:rFonts w:hint="eastAsia"/>
          <w:sz w:val="28"/>
          <w:szCs w:val="28"/>
        </w:rPr>
        <w:t>　　</w:t>
      </w:r>
      <w:r>
        <w:rPr>
          <w:sz w:val="28"/>
          <w:szCs w:val="28"/>
        </w:rPr>
        <w:t>(1)</w:t>
      </w:r>
      <w:r>
        <w:rPr>
          <w:rFonts w:hint="eastAsia"/>
          <w:sz w:val="28"/>
          <w:szCs w:val="28"/>
        </w:rPr>
        <w:t>年初编制的预算不够精确，导致年内预算追加较大，预算调整率较高，影响单位评分及评价等次。</w:t>
      </w:r>
    </w:p>
    <w:p>
      <w:pPr>
        <w:pStyle w:val="5"/>
        <w:ind w:firstLine="560"/>
        <w:rPr>
          <w:sz w:val="28"/>
          <w:szCs w:val="28"/>
        </w:rPr>
      </w:pPr>
      <w:r>
        <w:rPr>
          <w:sz w:val="28"/>
          <w:szCs w:val="28"/>
        </w:rPr>
        <w:t>(2)</w:t>
      </w:r>
      <w:r>
        <w:rPr>
          <w:rFonts w:hint="eastAsia"/>
          <w:sz w:val="28"/>
          <w:szCs w:val="28"/>
        </w:rPr>
        <w:t>财政预算资金到位比较迟缓，各项目经费支付不能及时到位。预算执行情况还有待加强，年终有结余，预算完成率及结转结余率影响扣分，应养成当年经费当年支出，改掉阴历年前结账的习惯。</w:t>
      </w:r>
    </w:p>
    <w:p>
      <w:pPr>
        <w:pStyle w:val="5"/>
        <w:ind w:firstLine="560"/>
        <w:rPr>
          <w:sz w:val="28"/>
          <w:szCs w:val="28"/>
        </w:rPr>
      </w:pPr>
      <w:r>
        <w:rPr>
          <w:sz w:val="28"/>
          <w:szCs w:val="28"/>
        </w:rPr>
        <w:t>(</w:t>
      </w:r>
      <w:r>
        <w:rPr>
          <w:rFonts w:hint="eastAsia"/>
          <w:sz w:val="28"/>
          <w:szCs w:val="28"/>
        </w:rPr>
        <w:t>3</w:t>
      </w:r>
      <w:r>
        <w:rPr>
          <w:sz w:val="28"/>
          <w:szCs w:val="28"/>
        </w:rPr>
        <w:t>)</w:t>
      </w:r>
      <w:r>
        <w:rPr>
          <w:rFonts w:hint="eastAsia"/>
          <w:sz w:val="28"/>
          <w:szCs w:val="28"/>
        </w:rPr>
        <w:t>财务制度执行力有待加强，资金使用计划有待细化。</w:t>
      </w:r>
    </w:p>
    <w:p>
      <w:pPr>
        <w:pStyle w:val="5"/>
        <w:ind w:firstLine="560" w:firstLineChars="200"/>
        <w:rPr>
          <w:sz w:val="28"/>
          <w:szCs w:val="28"/>
        </w:rPr>
      </w:pPr>
      <w:r>
        <w:rPr>
          <w:sz w:val="28"/>
          <w:szCs w:val="28"/>
        </w:rPr>
        <w:t>(</w:t>
      </w:r>
      <w:r>
        <w:rPr>
          <w:rFonts w:hint="eastAsia"/>
          <w:sz w:val="28"/>
          <w:szCs w:val="28"/>
        </w:rPr>
        <w:t>4</w:t>
      </w:r>
      <w:r>
        <w:rPr>
          <w:sz w:val="28"/>
          <w:szCs w:val="28"/>
        </w:rPr>
        <w:t>)</w:t>
      </w:r>
      <w:r>
        <w:rPr>
          <w:rFonts w:hint="eastAsia"/>
          <w:sz w:val="28"/>
          <w:szCs w:val="28"/>
        </w:rPr>
        <w:t>随着对预、决算编制工作水平要求越来越高，数据编制要求越来越精 准、规范；时间紧、任务大；会计人员业务明显增加，人员紧缺。</w:t>
      </w:r>
    </w:p>
    <w:p>
      <w:pPr>
        <w:pStyle w:val="5"/>
        <w:ind w:firstLine="560" w:firstLineChars="200"/>
        <w:rPr>
          <w:b/>
          <w:bCs/>
          <w:sz w:val="28"/>
          <w:szCs w:val="28"/>
        </w:rPr>
      </w:pPr>
      <w:r>
        <w:rPr>
          <w:rFonts w:hint="eastAsia"/>
          <w:b/>
          <w:bCs/>
          <w:sz w:val="28"/>
          <w:szCs w:val="28"/>
        </w:rPr>
        <w:t>六、改进措施与建议</w:t>
      </w:r>
    </w:p>
    <w:p>
      <w:pPr>
        <w:pStyle w:val="5"/>
        <w:ind w:firstLine="560"/>
        <w:rPr>
          <w:rFonts w:cs="Times New Roman"/>
          <w:sz w:val="28"/>
          <w:szCs w:val="28"/>
        </w:rPr>
      </w:pPr>
      <w:r>
        <w:rPr>
          <w:rFonts w:hint="eastAsia"/>
          <w:sz w:val="28"/>
          <w:szCs w:val="28"/>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pPr>
        <w:pStyle w:val="5"/>
        <w:rPr>
          <w:rFonts w:cs="Times New Roman"/>
          <w:sz w:val="28"/>
          <w:szCs w:val="28"/>
        </w:rPr>
      </w:pPr>
      <w:r>
        <w:rPr>
          <w:rFonts w:hint="eastAsia"/>
          <w:sz w:val="28"/>
          <w:szCs w:val="28"/>
        </w:rPr>
        <w:t>　　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w:t>
      </w:r>
    </w:p>
    <w:p>
      <w:pPr>
        <w:pStyle w:val="5"/>
        <w:ind w:firstLine="560" w:firstLineChars="200"/>
        <w:rPr>
          <w:sz w:val="28"/>
          <w:szCs w:val="28"/>
        </w:rPr>
      </w:pPr>
      <w:r>
        <w:rPr>
          <w:rFonts w:hint="eastAsia"/>
          <w:sz w:val="28"/>
          <w:szCs w:val="28"/>
        </w:rPr>
        <w:t>3.加强财政资金管理，及时均衡足额拨付财政资金，按时开展各项工作，确保工作任务优质完成。</w:t>
      </w:r>
    </w:p>
    <w:p>
      <w:pPr>
        <w:pStyle w:val="5"/>
        <w:ind w:firstLine="560" w:firstLineChars="200"/>
        <w:rPr>
          <w:sz w:val="28"/>
          <w:szCs w:val="28"/>
        </w:rPr>
      </w:pPr>
      <w:r>
        <w:rPr>
          <w:rFonts w:hint="eastAsia"/>
          <w:sz w:val="28"/>
          <w:szCs w:val="28"/>
        </w:rPr>
        <w:t>4.合理安排会计岗位，强烈要求增加会计人员，增加业务知识培训。</w:t>
      </w:r>
    </w:p>
    <w:sectPr>
      <w:pgSz w:w="11906" w:h="16838"/>
      <w:pgMar w:top="720" w:right="1306" w:bottom="720"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75FB92"/>
    <w:multiLevelType w:val="singleLevel"/>
    <w:tmpl w:val="E975FB92"/>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11B31"/>
    <w:multiLevelType w:val="singleLevel"/>
    <w:tmpl w:val="5A711B31"/>
    <w:lvl w:ilvl="0" w:tentative="0">
      <w:start w:val="3"/>
      <w:numFmt w:val="decimal"/>
      <w:suff w:val="nothing"/>
      <w:lvlText w:val="%1."/>
      <w:lvlJc w:val="left"/>
    </w:lvl>
  </w:abstractNum>
  <w:abstractNum w:abstractNumId="3">
    <w:nsid w:val="5A711C24"/>
    <w:multiLevelType w:val="singleLevel"/>
    <w:tmpl w:val="5A711C24"/>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4506F9"/>
    <w:rsid w:val="000040DA"/>
    <w:rsid w:val="000166B0"/>
    <w:rsid w:val="0002229B"/>
    <w:rsid w:val="000273BD"/>
    <w:rsid w:val="00035368"/>
    <w:rsid w:val="000415B7"/>
    <w:rsid w:val="000658A3"/>
    <w:rsid w:val="00074155"/>
    <w:rsid w:val="000A3F69"/>
    <w:rsid w:val="000B1A5F"/>
    <w:rsid w:val="000E79FC"/>
    <w:rsid w:val="00141F70"/>
    <w:rsid w:val="00152C6D"/>
    <w:rsid w:val="00162D39"/>
    <w:rsid w:val="001A67DB"/>
    <w:rsid w:val="001D51E5"/>
    <w:rsid w:val="001D7DBF"/>
    <w:rsid w:val="001F0C3B"/>
    <w:rsid w:val="00214427"/>
    <w:rsid w:val="00236503"/>
    <w:rsid w:val="00265724"/>
    <w:rsid w:val="0027426B"/>
    <w:rsid w:val="00275391"/>
    <w:rsid w:val="002E2553"/>
    <w:rsid w:val="00310E54"/>
    <w:rsid w:val="003479BD"/>
    <w:rsid w:val="003768D5"/>
    <w:rsid w:val="004506F9"/>
    <w:rsid w:val="004717A2"/>
    <w:rsid w:val="0048147C"/>
    <w:rsid w:val="00491741"/>
    <w:rsid w:val="00500E5F"/>
    <w:rsid w:val="00504E20"/>
    <w:rsid w:val="005122EF"/>
    <w:rsid w:val="00517C33"/>
    <w:rsid w:val="00523644"/>
    <w:rsid w:val="0054069E"/>
    <w:rsid w:val="005767CC"/>
    <w:rsid w:val="00590D9F"/>
    <w:rsid w:val="00595D26"/>
    <w:rsid w:val="005A74E6"/>
    <w:rsid w:val="005D4D55"/>
    <w:rsid w:val="005E2CFB"/>
    <w:rsid w:val="0062378F"/>
    <w:rsid w:val="00640737"/>
    <w:rsid w:val="00651EEC"/>
    <w:rsid w:val="00652FEE"/>
    <w:rsid w:val="006A351B"/>
    <w:rsid w:val="006A7728"/>
    <w:rsid w:val="006B0422"/>
    <w:rsid w:val="006C1B53"/>
    <w:rsid w:val="006D7730"/>
    <w:rsid w:val="006E33E6"/>
    <w:rsid w:val="006E5284"/>
    <w:rsid w:val="006F3EB5"/>
    <w:rsid w:val="00700445"/>
    <w:rsid w:val="00702E34"/>
    <w:rsid w:val="00704395"/>
    <w:rsid w:val="00720FF1"/>
    <w:rsid w:val="0079646A"/>
    <w:rsid w:val="007A19B3"/>
    <w:rsid w:val="007C08B2"/>
    <w:rsid w:val="00800CF2"/>
    <w:rsid w:val="00801C2C"/>
    <w:rsid w:val="00812ED5"/>
    <w:rsid w:val="008277D9"/>
    <w:rsid w:val="008A3E8D"/>
    <w:rsid w:val="009016AF"/>
    <w:rsid w:val="009237C4"/>
    <w:rsid w:val="00942649"/>
    <w:rsid w:val="00950252"/>
    <w:rsid w:val="00967F5D"/>
    <w:rsid w:val="00971110"/>
    <w:rsid w:val="009A0F95"/>
    <w:rsid w:val="009B3ADF"/>
    <w:rsid w:val="009C3B52"/>
    <w:rsid w:val="009C62E2"/>
    <w:rsid w:val="00A42218"/>
    <w:rsid w:val="00A574ED"/>
    <w:rsid w:val="00A70249"/>
    <w:rsid w:val="00A947E0"/>
    <w:rsid w:val="00B128B0"/>
    <w:rsid w:val="00B212E6"/>
    <w:rsid w:val="00B33BEA"/>
    <w:rsid w:val="00B37021"/>
    <w:rsid w:val="00B57C9F"/>
    <w:rsid w:val="00B845B3"/>
    <w:rsid w:val="00B85D8B"/>
    <w:rsid w:val="00BE3674"/>
    <w:rsid w:val="00C0697D"/>
    <w:rsid w:val="00C22F7A"/>
    <w:rsid w:val="00C3049A"/>
    <w:rsid w:val="00C31B1E"/>
    <w:rsid w:val="00C67010"/>
    <w:rsid w:val="00C77645"/>
    <w:rsid w:val="00CA2069"/>
    <w:rsid w:val="00CE04C3"/>
    <w:rsid w:val="00CE76A0"/>
    <w:rsid w:val="00D148C6"/>
    <w:rsid w:val="00D17642"/>
    <w:rsid w:val="00D94744"/>
    <w:rsid w:val="00DD06FF"/>
    <w:rsid w:val="00DD5FE9"/>
    <w:rsid w:val="00E00C7A"/>
    <w:rsid w:val="00E01863"/>
    <w:rsid w:val="00E55B68"/>
    <w:rsid w:val="00EF29EE"/>
    <w:rsid w:val="00F74360"/>
    <w:rsid w:val="00FB3E68"/>
    <w:rsid w:val="00FB462F"/>
    <w:rsid w:val="00FE0C89"/>
    <w:rsid w:val="00FE16FA"/>
    <w:rsid w:val="00FE328A"/>
    <w:rsid w:val="05C0754B"/>
    <w:rsid w:val="0A733E75"/>
    <w:rsid w:val="0A9D5880"/>
    <w:rsid w:val="0B154457"/>
    <w:rsid w:val="0B6B3BFE"/>
    <w:rsid w:val="0E15549B"/>
    <w:rsid w:val="13FD0881"/>
    <w:rsid w:val="14E75642"/>
    <w:rsid w:val="174F6690"/>
    <w:rsid w:val="1B776439"/>
    <w:rsid w:val="20C332C3"/>
    <w:rsid w:val="2A2C24F5"/>
    <w:rsid w:val="2C2D7B92"/>
    <w:rsid w:val="2F7F075D"/>
    <w:rsid w:val="37FC4126"/>
    <w:rsid w:val="3DCB0822"/>
    <w:rsid w:val="429C1407"/>
    <w:rsid w:val="4A3715F3"/>
    <w:rsid w:val="4BD56D48"/>
    <w:rsid w:val="549F610D"/>
    <w:rsid w:val="57831D16"/>
    <w:rsid w:val="616E017D"/>
    <w:rsid w:val="796E28C6"/>
    <w:rsid w:val="7E9479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164D-BC7E-4CFC-8FD3-5E05482A70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1665</Words>
  <Characters>9496</Characters>
  <Lines>79</Lines>
  <Paragraphs>22</Paragraphs>
  <TotalTime>70</TotalTime>
  <ScaleCrop>false</ScaleCrop>
  <LinksUpToDate>false</LinksUpToDate>
  <CharactersWithSpaces>11139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2020-09-24T01:10:00Z</dcterms:created>
  <dc:creator>李航 null</dc:creator>
  <cp:lastModifiedBy>孙泽宇</cp:lastModifiedBy>
  <cp:lastPrinted>2020-09-24T07:08:00Z</cp:lastPrinted>
  <dcterms:modified xsi:type="dcterms:W3CDTF">2023-11-24T10:10:26Z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B71EA1873DCC470B98CE39E22741F816_13</vt:lpwstr>
  </property>
</Properties>
</file>