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bookmarkStart w:id="0" w:name="_GoBack"/>
      <w:r>
        <w:rPr>
          <w:rFonts w:hint="eastAsia"/>
          <w:sz w:val="84"/>
          <w:szCs w:val="84"/>
        </w:rPr>
        <w:t>2020年度</w:t>
      </w:r>
    </w:p>
    <w:p>
      <w:pPr>
        <w:pStyle w:val="10"/>
        <w:jc w:val="center"/>
        <w:rPr>
          <w:sz w:val="84"/>
          <w:szCs w:val="84"/>
        </w:rPr>
      </w:pPr>
      <w:r>
        <w:rPr>
          <w:rFonts w:hint="eastAsia"/>
          <w:sz w:val="84"/>
          <w:szCs w:val="84"/>
        </w:rPr>
        <w:t>衡南县总工会</w:t>
      </w:r>
    </w:p>
    <w:p>
      <w:pPr>
        <w:pStyle w:val="10"/>
        <w:jc w:val="center"/>
        <w:rPr>
          <w:sz w:val="84"/>
          <w:szCs w:val="84"/>
        </w:rPr>
      </w:pPr>
      <w:r>
        <w:rPr>
          <w:rFonts w:hint="eastAsia"/>
          <w:sz w:val="84"/>
          <w:szCs w:val="84"/>
        </w:rPr>
        <w:t>部门决算</w:t>
      </w:r>
    </w:p>
    <w:bookmarkEnd w:id="0"/>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rPr>
          <w:sz w:val="56"/>
          <w:szCs w:val="56"/>
        </w:rPr>
      </w:pPr>
    </w:p>
    <w:p>
      <w:pPr>
        <w:pStyle w:val="10"/>
        <w:spacing w:line="520" w:lineRule="exact"/>
        <w:jc w:val="center"/>
        <w:rPr>
          <w:sz w:val="56"/>
          <w:szCs w:val="56"/>
        </w:rPr>
      </w:pPr>
    </w:p>
    <w:p>
      <w:pPr>
        <w:pStyle w:val="10"/>
        <w:spacing w:line="520" w:lineRule="exact"/>
        <w:ind w:firstLine="440" w:firstLineChars="100"/>
        <w:jc w:val="center"/>
        <w:rPr>
          <w:sz w:val="44"/>
          <w:szCs w:val="44"/>
        </w:rPr>
      </w:pPr>
      <w:r>
        <w:rPr>
          <w:rFonts w:hint="eastAsia"/>
          <w:sz w:val="44"/>
          <w:szCs w:val="44"/>
        </w:rPr>
        <w:t>目录</w:t>
      </w:r>
    </w:p>
    <w:p>
      <w:pPr>
        <w:pStyle w:val="10"/>
        <w:spacing w:line="520" w:lineRule="exact"/>
        <w:rPr>
          <w:sz w:val="30"/>
          <w:szCs w:val="30"/>
        </w:rPr>
      </w:pPr>
      <w:r>
        <w:rPr>
          <w:rFonts w:hint="eastAsia" w:ascii="宋体" w:hAnsi="宋体" w:eastAsia="宋体"/>
          <w:b/>
          <w:sz w:val="30"/>
          <w:szCs w:val="30"/>
        </w:rPr>
        <w:t>第一部分：衡南县总工会概况</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一、部门职责</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二、机构设置</w:t>
      </w:r>
    </w:p>
    <w:p>
      <w:pPr>
        <w:pStyle w:val="10"/>
        <w:spacing w:line="520" w:lineRule="exact"/>
        <w:rPr>
          <w:rFonts w:ascii="宋体" w:hAnsi="宋体" w:eastAsia="宋体" w:cs="仿宋_GB2312"/>
          <w:b/>
          <w:sz w:val="30"/>
          <w:szCs w:val="30"/>
        </w:rPr>
      </w:pPr>
      <w:r>
        <w:rPr>
          <w:rFonts w:hint="eastAsia" w:ascii="宋体" w:hAnsi="宋体" w:eastAsia="宋体"/>
          <w:b/>
          <w:sz w:val="30"/>
          <w:szCs w:val="30"/>
        </w:rPr>
        <w:t>第二部分：</w:t>
      </w:r>
      <w:r>
        <w:rPr>
          <w:rFonts w:ascii="宋体" w:hAnsi="宋体" w:eastAsia="宋体"/>
          <w:b/>
          <w:sz w:val="30"/>
          <w:szCs w:val="30"/>
        </w:rPr>
        <w:t>20</w:t>
      </w:r>
      <w:r>
        <w:rPr>
          <w:rFonts w:hint="eastAsia" w:ascii="宋体" w:hAnsi="宋体" w:eastAsia="宋体"/>
          <w:b/>
          <w:sz w:val="30"/>
          <w:szCs w:val="30"/>
        </w:rPr>
        <w:t>20年度部门决算表</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一、收入支出决算总表</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二、收入决算表</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三、支出决算表</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四、财政拨款收入支出决算总表</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五、一般公共预算财政拨款支出决算表</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六、一般公共预算财政拨款基本支出决算表</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七、一般公共预算财政拨款“三公”经费支出决算表</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八、政府性基金预算财政拨款收入支出决算表</w:t>
      </w:r>
    </w:p>
    <w:p>
      <w:pPr>
        <w:pStyle w:val="10"/>
        <w:spacing w:line="520" w:lineRule="exact"/>
        <w:ind w:firstLine="750" w:firstLineChars="250"/>
        <w:rPr>
          <w:rFonts w:ascii="宋体" w:hAnsi="宋体" w:eastAsia="宋体" w:cs="仿宋_GB2312"/>
          <w:sz w:val="30"/>
          <w:szCs w:val="30"/>
        </w:rPr>
      </w:pPr>
      <w:r>
        <w:rPr>
          <w:rFonts w:hint="eastAsia" w:ascii="宋体" w:hAnsi="宋体" w:eastAsia="宋体" w:cs="仿宋_GB2312"/>
          <w:sz w:val="30"/>
          <w:szCs w:val="30"/>
        </w:rPr>
        <w:t>九、国有资本经营预算财政拨款支出决算表</w:t>
      </w:r>
    </w:p>
    <w:p>
      <w:pPr>
        <w:pStyle w:val="10"/>
        <w:spacing w:line="520" w:lineRule="exact"/>
        <w:rPr>
          <w:rFonts w:ascii="宋体" w:hAnsi="宋体" w:eastAsia="宋体" w:cs="仿宋_GB2312"/>
          <w:b/>
          <w:sz w:val="30"/>
          <w:szCs w:val="30"/>
        </w:rPr>
      </w:pPr>
      <w:r>
        <w:rPr>
          <w:rFonts w:hint="eastAsia" w:ascii="宋体" w:hAnsi="宋体" w:eastAsia="宋体"/>
          <w:b/>
          <w:sz w:val="30"/>
          <w:szCs w:val="30"/>
        </w:rPr>
        <w:t>第三部分：</w:t>
      </w:r>
      <w:r>
        <w:rPr>
          <w:rFonts w:ascii="宋体" w:hAnsi="宋体" w:eastAsia="宋体"/>
          <w:b/>
          <w:sz w:val="30"/>
          <w:szCs w:val="30"/>
        </w:rPr>
        <w:t>20</w:t>
      </w:r>
      <w:r>
        <w:rPr>
          <w:rFonts w:hint="eastAsia" w:ascii="宋体" w:hAnsi="宋体" w:eastAsia="宋体"/>
          <w:b/>
          <w:sz w:val="30"/>
          <w:szCs w:val="30"/>
        </w:rPr>
        <w:t>20年度部门决算情况说明</w:t>
      </w:r>
    </w:p>
    <w:p>
      <w:pPr>
        <w:pStyle w:val="10"/>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一、收入支出决算总体情况说明</w:t>
      </w:r>
    </w:p>
    <w:p>
      <w:pPr>
        <w:spacing w:line="520" w:lineRule="exact"/>
        <w:ind w:firstLine="750" w:firstLineChars="250"/>
        <w:jc w:val="left"/>
        <w:rPr>
          <w:rFonts w:ascii="宋体" w:hAnsi="宋体" w:eastAsia="宋体" w:cs="仿宋_GB2312"/>
          <w:sz w:val="30"/>
          <w:szCs w:val="30"/>
        </w:rPr>
      </w:pPr>
      <w:r>
        <w:rPr>
          <w:rFonts w:ascii="宋体" w:hAnsi="宋体" w:eastAsia="宋体" w:cs="仿宋_GB2312"/>
          <w:sz w:val="30"/>
          <w:szCs w:val="30"/>
        </w:rPr>
        <w:t>二、收入决算情况说明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ascii="宋体" w:hAnsi="宋体" w:eastAsia="宋体" w:cs="仿宋_GB2312"/>
          <w:color w:val="000000"/>
          <w:kern w:val="0"/>
          <w:sz w:val="30"/>
          <w:szCs w:val="30"/>
        </w:rPr>
        <w:t>三、支出决算情况说明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ascii="宋体" w:hAnsi="宋体" w:eastAsia="宋体" w:cs="仿宋_GB2312"/>
          <w:color w:val="000000"/>
          <w:kern w:val="0"/>
          <w:sz w:val="30"/>
          <w:szCs w:val="30"/>
        </w:rPr>
        <w:t>四、财政拨款收入支出决算总体情况说明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ascii="宋体" w:hAnsi="宋体" w:eastAsia="宋体" w:cs="仿宋_GB2312"/>
          <w:color w:val="000000"/>
          <w:kern w:val="0"/>
          <w:sz w:val="30"/>
          <w:szCs w:val="30"/>
        </w:rPr>
        <w:t>五、一般公共预算财政拨款支出决算情况说明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ascii="宋体" w:hAnsi="宋体" w:eastAsia="宋体" w:cs="仿宋_GB2312"/>
          <w:color w:val="000000"/>
          <w:kern w:val="0"/>
          <w:sz w:val="30"/>
          <w:szCs w:val="30"/>
        </w:rPr>
        <w:t>六、一般公共预算财政拨款基本支出决算情况说明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ascii="宋体" w:hAnsi="宋体" w:eastAsia="宋体" w:cs="仿宋_GB2312"/>
          <w:color w:val="000000"/>
          <w:kern w:val="0"/>
          <w:sz w:val="30"/>
          <w:szCs w:val="30"/>
        </w:rPr>
        <w:t>七、一般公共预算财政拨款三公经费支出决算情况说明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hint="eastAsia" w:ascii="宋体" w:hAnsi="宋体" w:eastAsia="宋体" w:cs="仿宋_GB2312"/>
          <w:color w:val="000000"/>
          <w:kern w:val="0"/>
          <w:sz w:val="30"/>
          <w:szCs w:val="30"/>
        </w:rPr>
        <w:t>八</w:t>
      </w:r>
      <w:r>
        <w:rPr>
          <w:rFonts w:ascii="宋体" w:hAnsi="宋体" w:eastAsia="宋体" w:cs="仿宋_GB2312"/>
          <w:color w:val="000000"/>
          <w:kern w:val="0"/>
          <w:sz w:val="30"/>
          <w:szCs w:val="30"/>
        </w:rPr>
        <w:t>、</w:t>
      </w:r>
      <w:r>
        <w:rPr>
          <w:rFonts w:hint="eastAsia" w:ascii="宋体" w:hAnsi="宋体" w:eastAsia="宋体" w:cs="仿宋_GB2312"/>
          <w:color w:val="000000"/>
          <w:kern w:val="0"/>
          <w:sz w:val="30"/>
          <w:szCs w:val="30"/>
        </w:rPr>
        <w:t>政府性基金预算收入支出决算情况</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hint="eastAsia" w:ascii="宋体" w:hAnsi="宋体" w:eastAsia="宋体" w:cs="仿宋_GB2312"/>
          <w:color w:val="000000"/>
          <w:kern w:val="0"/>
          <w:sz w:val="30"/>
          <w:szCs w:val="30"/>
        </w:rPr>
        <w:t>九、国有资本经营预算财政拨款支出决算情况</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hint="eastAsia" w:ascii="宋体" w:hAnsi="宋体" w:eastAsia="宋体" w:cs="仿宋_GB2312"/>
          <w:color w:val="000000"/>
          <w:kern w:val="0"/>
          <w:sz w:val="30"/>
          <w:szCs w:val="30"/>
        </w:rPr>
        <w:t>十、关于机关运行经费支出说明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hint="eastAsia" w:ascii="宋体" w:hAnsi="宋体" w:eastAsia="宋体" w:cs="仿宋_GB2312"/>
          <w:color w:val="000000"/>
          <w:kern w:val="0"/>
          <w:sz w:val="30"/>
          <w:szCs w:val="30"/>
        </w:rPr>
        <w:t>十一、一般性支出情况说明</w:t>
      </w:r>
    </w:p>
    <w:p>
      <w:pPr>
        <w:autoSpaceDE w:val="0"/>
        <w:autoSpaceDN w:val="0"/>
        <w:adjustRightInd w:val="0"/>
        <w:spacing w:line="520" w:lineRule="exact"/>
        <w:jc w:val="left"/>
        <w:rPr>
          <w:rFonts w:ascii="宋体" w:hAnsi="宋体" w:eastAsia="宋体" w:cs="仿宋_GB2312"/>
          <w:color w:val="000000"/>
          <w:kern w:val="0"/>
          <w:sz w:val="30"/>
          <w:szCs w:val="30"/>
        </w:rPr>
      </w:pPr>
      <w:r>
        <w:rPr>
          <w:rFonts w:hint="eastAsia" w:ascii="宋体" w:hAnsi="宋体" w:eastAsia="宋体" w:cs="仿宋_GB2312"/>
          <w:color w:val="000000"/>
          <w:kern w:val="0"/>
          <w:sz w:val="30"/>
          <w:szCs w:val="30"/>
        </w:rPr>
        <w:t>十二、关于政府采购支出说明</w:t>
      </w:r>
    </w:p>
    <w:p>
      <w:pPr>
        <w:autoSpaceDE w:val="0"/>
        <w:autoSpaceDN w:val="0"/>
        <w:adjustRightInd w:val="0"/>
        <w:spacing w:line="520" w:lineRule="exact"/>
        <w:jc w:val="left"/>
        <w:rPr>
          <w:rFonts w:ascii="宋体" w:hAnsi="宋体" w:eastAsia="宋体" w:cs="仿宋_GB2312"/>
          <w:color w:val="000000"/>
          <w:kern w:val="0"/>
          <w:sz w:val="30"/>
          <w:szCs w:val="30"/>
        </w:rPr>
      </w:pPr>
      <w:r>
        <w:rPr>
          <w:rFonts w:hint="eastAsia" w:ascii="宋体" w:hAnsi="宋体" w:eastAsia="宋体" w:cs="仿宋_GB2312"/>
          <w:color w:val="000000"/>
          <w:kern w:val="0"/>
          <w:sz w:val="30"/>
          <w:szCs w:val="30"/>
        </w:rPr>
        <w:t>十三、关于国有资产占用情况说明</w:t>
      </w:r>
    </w:p>
    <w:p>
      <w:pPr>
        <w:autoSpaceDE w:val="0"/>
        <w:autoSpaceDN w:val="0"/>
        <w:adjustRightInd w:val="0"/>
        <w:spacing w:line="520" w:lineRule="exact"/>
        <w:jc w:val="left"/>
        <w:rPr>
          <w:rFonts w:ascii="宋体" w:hAnsi="宋体" w:eastAsia="宋体" w:cs="仿宋_GB2312"/>
          <w:color w:val="000000"/>
          <w:kern w:val="0"/>
          <w:sz w:val="30"/>
          <w:szCs w:val="30"/>
        </w:rPr>
      </w:pPr>
      <w:r>
        <w:rPr>
          <w:rFonts w:hint="eastAsia" w:ascii="宋体" w:hAnsi="宋体" w:eastAsia="宋体" w:cs="仿宋_GB2312"/>
          <w:color w:val="000000"/>
          <w:kern w:val="0"/>
          <w:sz w:val="30"/>
          <w:szCs w:val="30"/>
        </w:rPr>
        <w:t>十四、关于2020年度预算绩效情况说明</w:t>
      </w:r>
    </w:p>
    <w:p>
      <w:pPr>
        <w:autoSpaceDE w:val="0"/>
        <w:autoSpaceDN w:val="0"/>
        <w:adjustRightInd w:val="0"/>
        <w:spacing w:line="520" w:lineRule="exact"/>
        <w:jc w:val="left"/>
        <w:rPr>
          <w:rFonts w:ascii="黑体" w:hAnsi="黑体" w:eastAsia="黑体" w:cs="仿宋_GB2312"/>
          <w:b/>
          <w:color w:val="000000"/>
          <w:kern w:val="0"/>
          <w:sz w:val="30"/>
          <w:szCs w:val="30"/>
        </w:rPr>
      </w:pPr>
      <w:r>
        <w:rPr>
          <w:rFonts w:ascii="黑体" w:hAnsi="黑体" w:eastAsia="黑体" w:cs="黑体"/>
          <w:b/>
          <w:color w:val="000000"/>
          <w:kern w:val="0"/>
          <w:sz w:val="30"/>
          <w:szCs w:val="30"/>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第一部分</w:t>
      </w:r>
    </w:p>
    <w:p>
      <w:pPr>
        <w:pStyle w:val="10"/>
        <w:jc w:val="center"/>
        <w:rPr>
          <w:sz w:val="84"/>
          <w:szCs w:val="84"/>
        </w:rPr>
      </w:pPr>
    </w:p>
    <w:p>
      <w:pPr>
        <w:pStyle w:val="10"/>
        <w:jc w:val="center"/>
        <w:rPr>
          <w:sz w:val="84"/>
          <w:szCs w:val="84"/>
        </w:rPr>
      </w:pPr>
      <w:r>
        <w:rPr>
          <w:rFonts w:hint="eastAsia"/>
          <w:sz w:val="84"/>
          <w:szCs w:val="84"/>
        </w:rPr>
        <w:t>衡南县总工会概况</w:t>
      </w:r>
    </w:p>
    <w:p>
      <w:pPr>
        <w:jc w:val="center"/>
        <w:rPr>
          <w:sz w:val="72"/>
          <w:szCs w:val="72"/>
        </w:rPr>
      </w:pPr>
    </w:p>
    <w:p>
      <w:pPr>
        <w:jc w:val="center"/>
        <w:rPr>
          <w:sz w:val="72"/>
          <w:szCs w:val="72"/>
        </w:rPr>
      </w:pPr>
    </w:p>
    <w:p>
      <w:pPr>
        <w:jc w:val="center"/>
        <w:rPr>
          <w:sz w:val="72"/>
          <w:szCs w:val="72"/>
        </w:rPr>
      </w:pPr>
    </w:p>
    <w:p>
      <w:pPr>
        <w:jc w:val="left"/>
        <w:rPr>
          <w:sz w:val="72"/>
          <w:szCs w:val="72"/>
        </w:rPr>
      </w:pPr>
    </w:p>
    <w:p>
      <w:pPr>
        <w:pStyle w:val="2"/>
      </w:pPr>
    </w:p>
    <w:p>
      <w:pPr>
        <w:ind w:firstLine="315" w:firstLineChars="98"/>
        <w:jc w:val="left"/>
        <w:rPr>
          <w:rFonts w:ascii="宋体" w:hAnsi="宋体" w:eastAsia="宋体"/>
          <w:b/>
          <w:sz w:val="32"/>
          <w:szCs w:val="32"/>
        </w:rPr>
      </w:pPr>
      <w:r>
        <w:rPr>
          <w:rFonts w:ascii="宋体" w:hAnsi="宋体" w:eastAsia="宋体"/>
          <w:b/>
          <w:sz w:val="32"/>
          <w:szCs w:val="32"/>
        </w:rPr>
        <w:t>一</w:t>
      </w:r>
      <w:r>
        <w:rPr>
          <w:rFonts w:hint="eastAsia" w:ascii="宋体" w:hAnsi="宋体" w:eastAsia="宋体"/>
          <w:b/>
          <w:sz w:val="32"/>
          <w:szCs w:val="32"/>
        </w:rPr>
        <w:t>、</w:t>
      </w:r>
      <w:r>
        <w:rPr>
          <w:rFonts w:ascii="宋体" w:hAnsi="宋体" w:eastAsia="宋体"/>
          <w:b/>
          <w:sz w:val="32"/>
          <w:szCs w:val="32"/>
        </w:rPr>
        <w:t>部门职责</w:t>
      </w:r>
    </w:p>
    <w:p>
      <w:pPr>
        <w:spacing w:line="600" w:lineRule="exact"/>
        <w:ind w:left="420" w:leftChars="200" w:firstLine="600" w:firstLineChars="200"/>
        <w:jc w:val="left"/>
        <w:rPr>
          <w:rFonts w:ascii="宋体" w:hAnsi="宋体" w:eastAsia="宋体" w:cstheme="minorEastAsia"/>
          <w:sz w:val="30"/>
          <w:szCs w:val="30"/>
          <w:shd w:val="clear" w:color="auto" w:fill="FFFFFF"/>
        </w:rPr>
      </w:pPr>
      <w:r>
        <w:rPr>
          <w:rFonts w:hint="eastAsia" w:ascii="宋体" w:hAnsi="宋体" w:eastAsia="宋体" w:cstheme="minorEastAsia"/>
          <w:sz w:val="30"/>
          <w:szCs w:val="30"/>
        </w:rPr>
        <w:t>1、根据党的基本理论、路线和纲领，围绕大局，结合实际，依照法律和章程，组织和指导全县各级工会认真履行工会各项社会职能。</w:t>
      </w:r>
    </w:p>
    <w:p>
      <w:pPr>
        <w:spacing w:line="600" w:lineRule="exact"/>
        <w:ind w:left="420" w:leftChars="200" w:firstLine="600" w:firstLineChars="200"/>
        <w:jc w:val="left"/>
        <w:rPr>
          <w:rFonts w:ascii="宋体" w:hAnsi="宋体" w:eastAsia="宋体" w:cstheme="minorEastAsia"/>
          <w:sz w:val="30"/>
          <w:szCs w:val="30"/>
        </w:rPr>
      </w:pPr>
      <w:r>
        <w:rPr>
          <w:rFonts w:hint="eastAsia" w:ascii="宋体" w:hAnsi="宋体" w:eastAsia="宋体" w:cstheme="minorEastAsia"/>
          <w:sz w:val="30"/>
          <w:szCs w:val="30"/>
        </w:rPr>
        <w:t>2、对有关职工利益的重大问题进行调查研究，参与涉及职工切身利益的有关政策、措施和制度的制定，对侵犯职工合法权益的重大事件进行调查并提出处理意见。</w:t>
      </w:r>
    </w:p>
    <w:p>
      <w:pPr>
        <w:spacing w:line="600" w:lineRule="exact"/>
        <w:ind w:left="420" w:leftChars="200" w:firstLine="600" w:firstLineChars="200"/>
        <w:jc w:val="left"/>
        <w:rPr>
          <w:rFonts w:ascii="宋体" w:hAnsi="宋体" w:eastAsia="宋体" w:cstheme="minorEastAsia"/>
          <w:sz w:val="30"/>
          <w:szCs w:val="30"/>
          <w:shd w:val="clear" w:color="auto" w:fill="FFFFFF"/>
        </w:rPr>
      </w:pPr>
      <w:r>
        <w:rPr>
          <w:rFonts w:hint="eastAsia" w:ascii="宋体" w:hAnsi="宋体" w:eastAsia="宋体" w:cstheme="minorEastAsia"/>
          <w:sz w:val="30"/>
          <w:szCs w:val="30"/>
        </w:rPr>
        <w:t>3、开展工会理论政策研究，为各级工会提供理论政策服务，研究制定工会组织制度和民主管理制度，监督检查《工会法》和《工会章程》的贯彻执行情况，指导全县各级工会的自身建设，指导基层工会开展以职工代表大会为基本制度的民主选举、民主决策、民主管理和民主监督工作，建立健全调整劳动关系，维护职工劳动权益的平等协商制度和集体合同制度。</w:t>
      </w:r>
    </w:p>
    <w:p>
      <w:pPr>
        <w:spacing w:line="600" w:lineRule="exact"/>
        <w:ind w:left="420" w:leftChars="200" w:firstLine="600" w:firstLineChars="200"/>
        <w:jc w:val="left"/>
        <w:rPr>
          <w:rFonts w:ascii="宋体" w:hAnsi="宋体" w:eastAsia="宋体" w:cstheme="minorEastAsia"/>
          <w:sz w:val="30"/>
          <w:szCs w:val="30"/>
          <w:shd w:val="clear" w:color="auto" w:fill="FFFFFF"/>
        </w:rPr>
      </w:pPr>
      <w:r>
        <w:rPr>
          <w:rFonts w:hint="eastAsia" w:ascii="宋体" w:hAnsi="宋体" w:eastAsia="宋体" w:cstheme="minorEastAsia"/>
          <w:sz w:val="30"/>
          <w:szCs w:val="30"/>
        </w:rPr>
        <w:t>4、动员和组织全县广大职工积极参加改革和经济建设，引导职工深入开展岗位练兵、技术革新、发明创造等经济技术活动，接受县人民政府委托，做好劳模推荐、评选、表彰和管理工作。</w:t>
      </w:r>
    </w:p>
    <w:p>
      <w:pPr>
        <w:pStyle w:val="11"/>
        <w:spacing w:line="600" w:lineRule="exact"/>
        <w:ind w:left="420" w:leftChars="200" w:firstLine="600"/>
        <w:jc w:val="left"/>
        <w:rPr>
          <w:rFonts w:ascii="宋体" w:hAnsi="宋体" w:eastAsia="宋体" w:cstheme="minorEastAsia"/>
          <w:sz w:val="30"/>
          <w:szCs w:val="30"/>
        </w:rPr>
      </w:pPr>
      <w:r>
        <w:rPr>
          <w:rFonts w:hint="eastAsia" w:ascii="宋体" w:hAnsi="宋体" w:eastAsia="宋体" w:cstheme="minorEastAsia"/>
          <w:sz w:val="30"/>
          <w:szCs w:val="30"/>
        </w:rPr>
        <w:t>5、完成县委、县政府及上级工会交办的其他工作。</w:t>
      </w:r>
    </w:p>
    <w:p>
      <w:pPr>
        <w:widowControl/>
        <w:spacing w:line="600" w:lineRule="exact"/>
        <w:ind w:firstLine="643" w:firstLineChars="200"/>
        <w:jc w:val="left"/>
        <w:rPr>
          <w:rFonts w:ascii="宋体" w:hAnsi="宋体" w:eastAsia="宋体"/>
          <w:b/>
          <w:bCs/>
          <w:kern w:val="0"/>
          <w:sz w:val="32"/>
          <w:szCs w:val="32"/>
        </w:rPr>
      </w:pPr>
      <w:r>
        <w:rPr>
          <w:rFonts w:hint="eastAsia" w:ascii="宋体" w:hAnsi="宋体" w:eastAsia="宋体"/>
          <w:b/>
          <w:bCs/>
          <w:kern w:val="0"/>
          <w:sz w:val="32"/>
          <w:szCs w:val="32"/>
        </w:rPr>
        <w:t>二、机构设置及决算单位构成</w:t>
      </w:r>
    </w:p>
    <w:p>
      <w:pPr>
        <w:spacing w:line="600" w:lineRule="exact"/>
        <w:ind w:firstLine="640" w:firstLineChars="200"/>
        <w:jc w:val="left"/>
        <w:rPr>
          <w:rFonts w:ascii="宋体" w:hAnsi="宋体" w:eastAsia="宋体" w:cstheme="minorEastAsia"/>
          <w:color w:val="000000"/>
          <w:spacing w:val="-4"/>
          <w:sz w:val="32"/>
          <w:szCs w:val="32"/>
        </w:rPr>
      </w:pPr>
      <w:r>
        <w:rPr>
          <w:rFonts w:hint="eastAsia" w:ascii="宋体" w:hAnsi="宋体" w:eastAsia="宋体"/>
          <w:bCs/>
          <w:kern w:val="0"/>
          <w:sz w:val="32"/>
          <w:szCs w:val="32"/>
        </w:rPr>
        <w:t>（一）</w:t>
      </w:r>
      <w:r>
        <w:rPr>
          <w:rFonts w:hint="eastAsia" w:ascii="宋体" w:hAnsi="宋体" w:eastAsia="宋体"/>
          <w:b/>
          <w:bCs/>
          <w:kern w:val="0"/>
          <w:sz w:val="32"/>
          <w:szCs w:val="32"/>
        </w:rPr>
        <w:t>内设机构设置</w:t>
      </w:r>
      <w:r>
        <w:rPr>
          <w:rFonts w:hint="eastAsia" w:ascii="宋体" w:hAnsi="宋体" w:eastAsia="宋体"/>
          <w:bCs/>
          <w:kern w:val="0"/>
          <w:sz w:val="32"/>
          <w:szCs w:val="32"/>
        </w:rPr>
        <w:t>。</w:t>
      </w:r>
      <w:r>
        <w:rPr>
          <w:rFonts w:hint="eastAsia" w:ascii="宋体" w:hAnsi="宋体" w:eastAsia="宋体" w:cstheme="minorEastAsia"/>
          <w:color w:val="000000"/>
          <w:spacing w:val="-4"/>
          <w:sz w:val="32"/>
          <w:szCs w:val="32"/>
        </w:rPr>
        <w:t>我单位内设办公室、职工服务和权益保障部、基层工作和经济服务部、财务资产部四个部室。</w:t>
      </w:r>
    </w:p>
    <w:p>
      <w:pPr>
        <w:widowControl/>
        <w:spacing w:line="600" w:lineRule="exact"/>
        <w:ind w:firstLine="643" w:firstLineChars="200"/>
        <w:jc w:val="left"/>
        <w:rPr>
          <w:rFonts w:ascii="宋体" w:hAnsi="宋体" w:eastAsia="宋体"/>
          <w:sz w:val="28"/>
          <w:szCs w:val="28"/>
        </w:rPr>
      </w:pPr>
      <w:r>
        <w:rPr>
          <w:rFonts w:ascii="宋体" w:hAnsi="宋体" w:eastAsia="宋体" w:cs="Times New Roman"/>
          <w:b/>
          <w:bCs/>
          <w:kern w:val="0"/>
          <w:sz w:val="32"/>
          <w:szCs w:val="32"/>
        </w:rPr>
        <w:t>（二）决算单位构成。</w:t>
      </w:r>
      <w:r>
        <w:rPr>
          <w:rFonts w:hint="eastAsia" w:ascii="宋体" w:hAnsi="宋体" w:eastAsia="宋体" w:cs="Times New Roman"/>
          <w:bCs/>
          <w:kern w:val="0"/>
          <w:sz w:val="32"/>
          <w:szCs w:val="32"/>
        </w:rPr>
        <w:t>衡</w:t>
      </w:r>
      <w:r>
        <w:rPr>
          <w:rFonts w:ascii="宋体" w:hAnsi="宋体" w:eastAsia="宋体" w:cs="Times New Roman"/>
          <w:bCs/>
          <w:kern w:val="0"/>
          <w:sz w:val="32"/>
          <w:szCs w:val="32"/>
        </w:rPr>
        <w:t>南县总工会20</w:t>
      </w:r>
      <w:r>
        <w:rPr>
          <w:rFonts w:hint="eastAsia" w:ascii="宋体" w:hAnsi="宋体" w:eastAsia="宋体" w:cs="Times New Roman"/>
          <w:bCs/>
          <w:kern w:val="0"/>
          <w:sz w:val="32"/>
          <w:szCs w:val="32"/>
        </w:rPr>
        <w:t>20</w:t>
      </w:r>
      <w:r>
        <w:rPr>
          <w:rFonts w:ascii="宋体" w:hAnsi="宋体" w:eastAsia="宋体" w:cs="Times New Roman"/>
          <w:bCs/>
          <w:kern w:val="0"/>
          <w:sz w:val="32"/>
          <w:szCs w:val="32"/>
        </w:rPr>
        <w:t>年部门决算公开单位构成</w:t>
      </w:r>
      <w:r>
        <w:rPr>
          <w:rFonts w:hint="eastAsia" w:ascii="宋体" w:hAnsi="宋体" w:eastAsia="宋体" w:cs="Times New Roman"/>
          <w:bCs/>
          <w:kern w:val="0"/>
          <w:sz w:val="32"/>
          <w:szCs w:val="32"/>
        </w:rPr>
        <w:t>包括：衡南县总工会单位本级以及衡南县困难职工维权帮扶中心。</w:t>
      </w:r>
    </w:p>
    <w:p>
      <w:pPr>
        <w:ind w:firstLine="560" w:firstLineChars="200"/>
        <w:rPr>
          <w:rFonts w:ascii="宋体" w:hAnsi="宋体" w:eastAsia="宋体"/>
          <w:sz w:val="28"/>
          <w:szCs w:val="28"/>
        </w:rPr>
      </w:pPr>
    </w:p>
    <w:p>
      <w:pPr>
        <w:ind w:firstLine="560" w:firstLineChars="200"/>
        <w:rPr>
          <w:rFonts w:ascii="宋体" w:hAnsi="宋体" w:eastAsia="宋体"/>
          <w:sz w:val="28"/>
          <w:szCs w:val="28"/>
        </w:rPr>
      </w:pPr>
    </w:p>
    <w:p>
      <w:pPr>
        <w:jc w:val="center"/>
        <w:rPr>
          <w:rFonts w:ascii="宋体" w:hAnsi="宋体" w:eastAsia="宋体"/>
          <w:sz w:val="28"/>
          <w:szCs w:val="28"/>
        </w:rPr>
      </w:pPr>
    </w:p>
    <w:p>
      <w:pPr>
        <w:jc w:val="center"/>
        <w:rPr>
          <w:rFonts w:ascii="宋体" w:hAnsi="宋体" w:eastAsia="宋体"/>
          <w:sz w:val="28"/>
          <w:szCs w:val="28"/>
        </w:rPr>
      </w:pPr>
    </w:p>
    <w:p>
      <w:pPr>
        <w:jc w:val="center"/>
        <w:rPr>
          <w:rFonts w:ascii="宋体" w:hAnsi="宋体" w:eastAsia="宋体"/>
          <w:sz w:val="28"/>
          <w:szCs w:val="28"/>
        </w:rPr>
      </w:pPr>
    </w:p>
    <w:p>
      <w:pPr>
        <w:jc w:val="center"/>
        <w:rPr>
          <w:rFonts w:ascii="宋体" w:hAnsi="宋体" w:eastAsia="宋体"/>
          <w:sz w:val="28"/>
          <w:szCs w:val="28"/>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r>
        <w:rPr>
          <w:rFonts w:hint="eastAsia" w:ascii="宋体" w:hAnsi="宋体" w:eastAsia="宋体"/>
          <w:sz w:val="72"/>
          <w:szCs w:val="72"/>
        </w:rPr>
        <w:t>第二部分</w:t>
      </w:r>
    </w:p>
    <w:p>
      <w:pPr>
        <w:jc w:val="center"/>
        <w:rPr>
          <w:rFonts w:ascii="宋体" w:hAnsi="宋体" w:eastAsia="宋体"/>
          <w:sz w:val="72"/>
          <w:szCs w:val="72"/>
        </w:rPr>
      </w:pPr>
    </w:p>
    <w:p>
      <w:pPr>
        <w:jc w:val="center"/>
        <w:rPr>
          <w:rFonts w:ascii="宋体" w:hAnsi="宋体" w:eastAsia="宋体"/>
          <w:sz w:val="72"/>
          <w:szCs w:val="72"/>
        </w:rPr>
      </w:pPr>
      <w:r>
        <w:rPr>
          <w:rFonts w:hint="eastAsia" w:ascii="宋体" w:hAnsi="宋体" w:eastAsia="宋体"/>
          <w:sz w:val="72"/>
          <w:szCs w:val="72"/>
        </w:rPr>
        <w:t>部门决算表</w:t>
      </w:r>
    </w:p>
    <w:p>
      <w:pPr>
        <w:jc w:val="center"/>
        <w:rPr>
          <w:rFonts w:ascii="宋体" w:hAnsi="宋体" w:eastAsia="宋体"/>
          <w:sz w:val="72"/>
          <w:szCs w:val="72"/>
        </w:rPr>
      </w:pPr>
    </w:p>
    <w:p>
      <w:pPr>
        <w:jc w:val="center"/>
        <w:rPr>
          <w:rFonts w:ascii="宋体" w:hAnsi="宋体" w:eastAsia="宋体"/>
          <w:sz w:val="72"/>
          <w:szCs w:val="72"/>
        </w:rPr>
      </w:pPr>
      <w:r>
        <w:rPr>
          <w:rFonts w:hint="eastAsia" w:ascii="宋体" w:hAnsi="宋体" w:eastAsia="宋体"/>
          <w:sz w:val="72"/>
          <w:szCs w:val="72"/>
        </w:rPr>
        <w:t>(部门决算公示表附后)</w:t>
      </w: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left"/>
        <w:rPr>
          <w:rFonts w:ascii="宋体" w:hAnsi="宋体" w:eastAsia="宋体"/>
          <w:sz w:val="32"/>
          <w:szCs w:val="32"/>
        </w:rPr>
        <w:sectPr>
          <w:pgSz w:w="11906" w:h="16838"/>
          <w:pgMar w:top="1440" w:right="1800" w:bottom="1440" w:left="1800" w:header="851" w:footer="992" w:gutter="0"/>
          <w:cols w:space="425" w:num="1"/>
          <w:docGrid w:type="lines" w:linePitch="312" w:charSpace="0"/>
        </w:sectPr>
      </w:pPr>
    </w:p>
    <w:p>
      <w:pPr>
        <w:pStyle w:val="10"/>
        <w:rPr>
          <w:rFonts w:ascii="宋体" w:hAnsi="宋体" w:eastAsia="宋体"/>
          <w:sz w:val="72"/>
          <w:szCs w:val="72"/>
        </w:rPr>
      </w:pPr>
    </w:p>
    <w:p>
      <w:pPr>
        <w:pStyle w:val="10"/>
        <w:rPr>
          <w:rFonts w:ascii="宋体" w:hAnsi="宋体" w:eastAsia="宋体"/>
          <w:sz w:val="72"/>
          <w:szCs w:val="72"/>
        </w:rPr>
      </w:pPr>
    </w:p>
    <w:p>
      <w:pPr>
        <w:pStyle w:val="10"/>
        <w:rPr>
          <w:rFonts w:ascii="宋体" w:hAnsi="宋体" w:eastAsia="宋体"/>
          <w:sz w:val="72"/>
          <w:szCs w:val="72"/>
        </w:rPr>
      </w:pPr>
    </w:p>
    <w:p>
      <w:pPr>
        <w:pStyle w:val="10"/>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r>
        <w:rPr>
          <w:rFonts w:hint="eastAsia" w:ascii="宋体" w:hAnsi="宋体" w:eastAsia="宋体"/>
          <w:sz w:val="72"/>
          <w:szCs w:val="72"/>
        </w:rPr>
        <w:t>第三部分</w:t>
      </w:r>
    </w:p>
    <w:p>
      <w:pPr>
        <w:pStyle w:val="10"/>
        <w:jc w:val="center"/>
        <w:rPr>
          <w:rFonts w:ascii="宋体" w:hAnsi="宋体" w:eastAsia="宋体"/>
          <w:sz w:val="70"/>
          <w:szCs w:val="70"/>
        </w:rPr>
      </w:pPr>
    </w:p>
    <w:p>
      <w:pPr>
        <w:pStyle w:val="10"/>
        <w:jc w:val="center"/>
        <w:rPr>
          <w:rFonts w:ascii="宋体" w:hAnsi="宋体" w:eastAsia="宋体"/>
          <w:sz w:val="70"/>
          <w:szCs w:val="70"/>
        </w:rPr>
      </w:pPr>
      <w:r>
        <w:rPr>
          <w:rFonts w:ascii="宋体" w:hAnsi="宋体" w:eastAsia="宋体"/>
          <w:sz w:val="70"/>
          <w:szCs w:val="70"/>
        </w:rPr>
        <w:t>20</w:t>
      </w:r>
      <w:r>
        <w:rPr>
          <w:rFonts w:hint="eastAsia" w:ascii="宋体" w:hAnsi="宋体" w:eastAsia="宋体"/>
          <w:sz w:val="70"/>
          <w:szCs w:val="70"/>
        </w:rPr>
        <w:t>20年度部门决算情况说明</w:t>
      </w:r>
    </w:p>
    <w:p>
      <w:pPr>
        <w:widowControl/>
        <w:jc w:val="left"/>
        <w:rPr>
          <w:rFonts w:ascii="宋体" w:hAnsi="宋体" w:eastAsia="宋体" w:cs="黑体"/>
          <w:color w:val="000000"/>
          <w:kern w:val="0"/>
          <w:sz w:val="70"/>
          <w:szCs w:val="70"/>
        </w:rPr>
      </w:pPr>
      <w:r>
        <w:rPr>
          <w:rFonts w:ascii="宋体" w:hAnsi="宋体" w:eastAsia="宋体"/>
          <w:sz w:val="70"/>
          <w:szCs w:val="70"/>
        </w:rPr>
        <w:br w:type="page"/>
      </w:r>
    </w:p>
    <w:p>
      <w:pPr>
        <w:pStyle w:val="10"/>
        <w:ind w:left="420" w:leftChars="200" w:right="420" w:rightChars="200"/>
        <w:rPr>
          <w:rFonts w:ascii="宋体" w:hAnsi="宋体" w:eastAsia="宋体"/>
          <w:sz w:val="32"/>
          <w:szCs w:val="32"/>
        </w:rPr>
      </w:pP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一、收入支出决算总体情况说明</w:t>
      </w:r>
    </w:p>
    <w:p>
      <w:pPr>
        <w:pStyle w:val="10"/>
        <w:ind w:left="420" w:leftChars="200" w:right="420" w:rightChars="200" w:firstLine="640" w:firstLineChars="200"/>
        <w:rPr>
          <w:rFonts w:ascii="宋体" w:hAnsi="宋体" w:eastAsia="宋体"/>
          <w:sz w:val="32"/>
          <w:szCs w:val="32"/>
        </w:rPr>
      </w:pPr>
      <w:r>
        <w:rPr>
          <w:rFonts w:hint="eastAsia" w:ascii="宋体" w:hAnsi="宋体" w:eastAsia="宋体"/>
          <w:sz w:val="32"/>
          <w:szCs w:val="32"/>
        </w:rPr>
        <w:t>2020 年度收、支总计970.94万元。与2019年相比，增加339.05万元，增加53.66%，主要是因为：1、2019年下半年的税务代收工会经费294.44万，衡阳市总工会2020年度下拨，计入到当年的工会经费拨缴收入。2、2020年度因疫情原因，省、市总工会下拨的政策性专项资金增多。</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二、收入决算情况说明</w:t>
      </w:r>
    </w:p>
    <w:p>
      <w:pPr>
        <w:spacing w:line="520" w:lineRule="exact"/>
        <w:ind w:left="420" w:leftChars="200" w:right="420" w:rightChars="200" w:firstLine="640" w:firstLineChars="200"/>
        <w:jc w:val="left"/>
        <w:rPr>
          <w:rFonts w:ascii="宋体" w:hAnsi="宋体" w:eastAsia="宋体"/>
          <w:sz w:val="32"/>
          <w:szCs w:val="32"/>
        </w:rPr>
      </w:pPr>
      <w:r>
        <w:rPr>
          <w:rFonts w:hint="eastAsia" w:ascii="宋体" w:hAnsi="宋体" w:eastAsia="宋体"/>
          <w:sz w:val="32"/>
          <w:szCs w:val="32"/>
        </w:rPr>
        <w:t>本年收入合计970.94万元，其中：财政拨款收入219.13万元，占22.57%；</w:t>
      </w:r>
      <w:r>
        <w:rPr>
          <w:rFonts w:hint="eastAsia" w:asciiTheme="minorEastAsia" w:hAnsiTheme="minorEastAsia"/>
          <w:sz w:val="32"/>
          <w:szCs w:val="32"/>
        </w:rPr>
        <w:t>政府性基金预算财政拨款收入0万元，占0%，上级补助收入0万元，占0%；事业收入0万元，占0%；经营收入0万元，占0%；附属单位上缴收入0万元，占0%；</w:t>
      </w:r>
      <w:r>
        <w:rPr>
          <w:rFonts w:hint="eastAsia" w:ascii="宋体" w:hAnsi="宋体" w:eastAsia="宋体"/>
          <w:sz w:val="32"/>
          <w:szCs w:val="32"/>
        </w:rPr>
        <w:t>其他收入751.8万元，占77.43%。</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三、支出决算情况说明</w:t>
      </w:r>
    </w:p>
    <w:p>
      <w:pPr>
        <w:pStyle w:val="10"/>
        <w:ind w:left="420" w:leftChars="200" w:right="420" w:rightChars="200" w:firstLine="640" w:firstLineChars="200"/>
        <w:rPr>
          <w:rFonts w:ascii="宋体" w:hAnsi="宋体" w:eastAsiaTheme="minorEastAsia"/>
          <w:sz w:val="32"/>
          <w:szCs w:val="32"/>
        </w:rPr>
      </w:pPr>
      <w:r>
        <w:rPr>
          <w:rFonts w:hint="eastAsia" w:ascii="宋体" w:hAnsi="宋体" w:eastAsia="宋体"/>
          <w:sz w:val="32"/>
          <w:szCs w:val="32"/>
        </w:rPr>
        <w:t>本年支出合计581.17万元，其中：基本支出219.13万元，占37.7%。</w:t>
      </w:r>
      <w:r>
        <w:rPr>
          <w:rFonts w:hint="eastAsia" w:asciiTheme="minorEastAsia" w:hAnsiTheme="minorEastAsia" w:eastAsiaTheme="minorEastAsia"/>
          <w:sz w:val="32"/>
          <w:szCs w:val="32"/>
        </w:rPr>
        <w:t>上缴上级支出0万元，占0%；经营支出0万元，占0%；对附属单位补助支出362.04万元，占62.3%，与2019年相比增加130.37万元，增长28.92%，主要原因是对基层工会补助资金增加。</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四、财政拨款收入支出决算总体情况说明</w:t>
      </w:r>
    </w:p>
    <w:p>
      <w:pPr>
        <w:pStyle w:val="10"/>
        <w:ind w:left="420" w:leftChars="200" w:right="420" w:rightChars="200" w:firstLine="640" w:firstLineChars="200"/>
        <w:rPr>
          <w:rFonts w:ascii="宋体" w:hAnsi="宋体" w:eastAsia="宋体"/>
          <w:sz w:val="32"/>
          <w:szCs w:val="32"/>
        </w:rPr>
      </w:pPr>
      <w:r>
        <w:rPr>
          <w:rFonts w:hint="eastAsia" w:ascii="宋体" w:hAnsi="宋体" w:eastAsia="宋体"/>
          <w:sz w:val="32"/>
          <w:szCs w:val="32"/>
        </w:rPr>
        <w:t>2020年度财政拨款收入219.13万元，收入与2019年相比，减少12.03万元,减少5.57%。主要原因是继续缩减项目资金。</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五、一般公共预算财政拨款支出决算情况说明</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（一）财政拨款支出决算总体情况</w:t>
      </w:r>
    </w:p>
    <w:p>
      <w:pPr>
        <w:pStyle w:val="10"/>
        <w:ind w:left="420" w:leftChars="200" w:right="420" w:rightChars="200" w:firstLine="640" w:firstLineChars="200"/>
        <w:rPr>
          <w:rFonts w:hint="eastAsia" w:ascii="宋体" w:hAnsi="宋体" w:eastAsia="宋体"/>
          <w:sz w:val="32"/>
          <w:szCs w:val="32"/>
        </w:rPr>
      </w:pPr>
      <w:r>
        <w:rPr>
          <w:rFonts w:hint="eastAsia" w:ascii="宋体" w:hAnsi="宋体" w:eastAsia="宋体"/>
          <w:sz w:val="32"/>
          <w:szCs w:val="32"/>
        </w:rPr>
        <w:t>2020年度财政拨款支出219.13万元，占本年支出合计的37.7%。与2</w:t>
      </w:r>
      <w:r>
        <w:rPr>
          <w:rFonts w:ascii="宋体" w:hAnsi="宋体" w:eastAsia="宋体"/>
          <w:sz w:val="32"/>
          <w:szCs w:val="32"/>
        </w:rPr>
        <w:t>019年相比增加</w:t>
      </w:r>
      <w:r>
        <w:rPr>
          <w:rFonts w:hint="eastAsia" w:ascii="宋体" w:hAnsi="宋体" w:eastAsia="宋体"/>
          <w:sz w:val="32"/>
          <w:szCs w:val="32"/>
        </w:rPr>
        <w:t>3</w:t>
      </w:r>
      <w:r>
        <w:rPr>
          <w:rFonts w:ascii="宋体" w:hAnsi="宋体" w:eastAsia="宋体"/>
          <w:sz w:val="32"/>
          <w:szCs w:val="32"/>
        </w:rPr>
        <w:t>.22万元</w:t>
      </w:r>
      <w:r>
        <w:rPr>
          <w:rFonts w:hint="eastAsia" w:ascii="宋体" w:hAnsi="宋体" w:eastAsia="宋体"/>
          <w:sz w:val="32"/>
          <w:szCs w:val="32"/>
        </w:rPr>
        <w:t>，</w:t>
      </w:r>
      <w:r>
        <w:rPr>
          <w:rFonts w:ascii="宋体" w:hAnsi="宋体" w:eastAsia="宋体"/>
          <w:sz w:val="32"/>
          <w:szCs w:val="32"/>
        </w:rPr>
        <w:t>增加</w:t>
      </w:r>
      <w:r>
        <w:rPr>
          <w:rFonts w:hint="eastAsia" w:ascii="宋体" w:hAnsi="宋体" w:eastAsia="宋体"/>
          <w:sz w:val="32"/>
          <w:szCs w:val="32"/>
        </w:rPr>
        <w:t>1</w:t>
      </w:r>
      <w:r>
        <w:rPr>
          <w:rFonts w:ascii="宋体" w:hAnsi="宋体" w:eastAsia="宋体"/>
          <w:sz w:val="32"/>
          <w:szCs w:val="32"/>
        </w:rPr>
        <w:t>.4</w:t>
      </w:r>
      <w:r>
        <w:rPr>
          <w:rFonts w:hint="eastAsia" w:ascii="宋体" w:hAnsi="宋体" w:eastAsia="宋体"/>
          <w:sz w:val="32"/>
          <w:szCs w:val="32"/>
        </w:rPr>
        <w:t>%，</w:t>
      </w:r>
      <w:r>
        <w:rPr>
          <w:rFonts w:ascii="宋体" w:hAnsi="宋体" w:eastAsia="宋体"/>
          <w:sz w:val="32"/>
          <w:szCs w:val="32"/>
        </w:rPr>
        <w:t>主要原因是人员养老保险和医疗保险费增加</w:t>
      </w:r>
      <w:r>
        <w:rPr>
          <w:rFonts w:hint="eastAsia" w:ascii="宋体" w:hAnsi="宋体" w:eastAsia="宋体"/>
          <w:sz w:val="32"/>
          <w:szCs w:val="32"/>
        </w:rPr>
        <w:t>。</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（二）财政拨款支出决算结构情况</w:t>
      </w:r>
    </w:p>
    <w:p>
      <w:pPr>
        <w:tabs>
          <w:tab w:val="left" w:pos="312"/>
        </w:tabs>
        <w:spacing w:line="600" w:lineRule="exact"/>
        <w:ind w:left="420" w:leftChars="200" w:right="420" w:rightChars="200" w:firstLine="640" w:firstLineChars="200"/>
        <w:jc w:val="left"/>
        <w:rPr>
          <w:rFonts w:ascii="宋体" w:hAnsi="宋体" w:eastAsia="宋体" w:cs="Times New Roman"/>
          <w:sz w:val="32"/>
          <w:szCs w:val="24"/>
        </w:rPr>
      </w:pPr>
      <w:r>
        <w:rPr>
          <w:rFonts w:ascii="宋体" w:hAnsi="宋体" w:eastAsia="宋体" w:cs="Times New Roman"/>
          <w:sz w:val="32"/>
          <w:szCs w:val="32"/>
        </w:rPr>
        <w:t>20</w:t>
      </w:r>
      <w:r>
        <w:rPr>
          <w:rFonts w:hint="eastAsia" w:ascii="宋体" w:hAnsi="宋体" w:eastAsia="宋体" w:cs="Times New Roman"/>
          <w:sz w:val="32"/>
          <w:szCs w:val="32"/>
        </w:rPr>
        <w:t>20</w:t>
      </w:r>
      <w:r>
        <w:rPr>
          <w:rFonts w:ascii="宋体" w:hAnsi="宋体" w:eastAsia="宋体" w:cs="Times New Roman"/>
          <w:sz w:val="32"/>
          <w:szCs w:val="32"/>
        </w:rPr>
        <w:t>年度财政拨款支出</w:t>
      </w:r>
      <w:r>
        <w:rPr>
          <w:rFonts w:hint="eastAsia" w:ascii="宋体" w:hAnsi="宋体" w:eastAsia="宋体" w:cs="Times New Roman"/>
          <w:sz w:val="32"/>
          <w:szCs w:val="32"/>
        </w:rPr>
        <w:t>219.13</w:t>
      </w:r>
      <w:r>
        <w:rPr>
          <w:rFonts w:ascii="宋体" w:hAnsi="宋体" w:eastAsia="宋体" w:cs="Times New Roman"/>
          <w:sz w:val="32"/>
          <w:szCs w:val="32"/>
        </w:rPr>
        <w:t>万元，主要用于以下方面：一般公共服务支出</w:t>
      </w:r>
      <w:r>
        <w:rPr>
          <w:rFonts w:hint="eastAsia" w:ascii="宋体" w:hAnsi="宋体" w:eastAsia="宋体" w:cs="Times New Roman"/>
          <w:sz w:val="32"/>
          <w:szCs w:val="24"/>
        </w:rPr>
        <w:t>177.1</w:t>
      </w:r>
      <w:r>
        <w:rPr>
          <w:rFonts w:ascii="宋体" w:hAnsi="宋体" w:eastAsia="宋体" w:cs="Times New Roman"/>
          <w:sz w:val="32"/>
          <w:szCs w:val="24"/>
        </w:rPr>
        <w:t>万元，占</w:t>
      </w:r>
      <w:r>
        <w:rPr>
          <w:rFonts w:hint="eastAsia" w:ascii="宋体" w:hAnsi="宋体" w:eastAsia="宋体" w:cs="Times New Roman"/>
          <w:sz w:val="32"/>
          <w:szCs w:val="24"/>
        </w:rPr>
        <w:t>80.82</w:t>
      </w:r>
      <w:r>
        <w:rPr>
          <w:rFonts w:ascii="宋体" w:hAnsi="宋体" w:eastAsia="宋体" w:cs="Times New Roman"/>
          <w:sz w:val="32"/>
          <w:szCs w:val="24"/>
        </w:rPr>
        <w:t>%，社会保障和就业支出</w:t>
      </w:r>
      <w:r>
        <w:rPr>
          <w:rFonts w:hint="eastAsia" w:ascii="宋体" w:hAnsi="宋体" w:eastAsia="宋体" w:cs="Times New Roman"/>
          <w:sz w:val="32"/>
          <w:szCs w:val="24"/>
        </w:rPr>
        <w:t>36.79</w:t>
      </w:r>
      <w:r>
        <w:rPr>
          <w:rFonts w:ascii="宋体" w:hAnsi="宋体" w:eastAsia="宋体" w:cs="Times New Roman"/>
          <w:sz w:val="32"/>
          <w:szCs w:val="24"/>
        </w:rPr>
        <w:t>万元，占</w:t>
      </w:r>
      <w:r>
        <w:rPr>
          <w:rFonts w:hint="eastAsia" w:ascii="宋体" w:hAnsi="宋体" w:eastAsia="宋体" w:cs="Times New Roman"/>
          <w:sz w:val="32"/>
          <w:szCs w:val="24"/>
        </w:rPr>
        <w:t>16.79</w:t>
      </w:r>
      <w:r>
        <w:rPr>
          <w:rFonts w:ascii="宋体" w:hAnsi="宋体" w:eastAsia="宋体" w:cs="Times New Roman"/>
          <w:sz w:val="32"/>
          <w:szCs w:val="24"/>
        </w:rPr>
        <w:t>%，卫生健康支出</w:t>
      </w:r>
      <w:r>
        <w:rPr>
          <w:rFonts w:hint="eastAsia" w:ascii="宋体" w:hAnsi="宋体" w:eastAsia="宋体" w:cs="Times New Roman"/>
          <w:sz w:val="32"/>
          <w:szCs w:val="24"/>
        </w:rPr>
        <w:t>5.24</w:t>
      </w:r>
      <w:r>
        <w:rPr>
          <w:rFonts w:ascii="宋体" w:hAnsi="宋体" w:eastAsia="宋体" w:cs="Times New Roman"/>
          <w:sz w:val="32"/>
          <w:szCs w:val="24"/>
        </w:rPr>
        <w:t>万元</w:t>
      </w:r>
      <w:r>
        <w:rPr>
          <w:rFonts w:hint="eastAsia" w:ascii="宋体" w:hAnsi="宋体" w:eastAsia="宋体" w:cs="Times New Roman"/>
          <w:sz w:val="32"/>
          <w:szCs w:val="32"/>
        </w:rPr>
        <w:t>，</w:t>
      </w:r>
      <w:r>
        <w:rPr>
          <w:rFonts w:ascii="宋体" w:hAnsi="宋体" w:eastAsia="宋体" w:cs="Times New Roman"/>
          <w:sz w:val="32"/>
          <w:szCs w:val="24"/>
        </w:rPr>
        <w:t>占</w:t>
      </w:r>
      <w:r>
        <w:rPr>
          <w:rFonts w:hint="eastAsia" w:ascii="宋体" w:hAnsi="宋体" w:eastAsia="宋体" w:cs="Times New Roman"/>
          <w:sz w:val="32"/>
          <w:szCs w:val="24"/>
        </w:rPr>
        <w:t>2.39</w:t>
      </w:r>
      <w:r>
        <w:rPr>
          <w:rFonts w:ascii="宋体" w:hAnsi="宋体" w:eastAsia="宋体" w:cs="Times New Roman"/>
          <w:sz w:val="32"/>
          <w:szCs w:val="24"/>
        </w:rPr>
        <w:t>%</w:t>
      </w:r>
      <w:r>
        <w:rPr>
          <w:rFonts w:hint="eastAsia" w:ascii="宋体" w:hAnsi="宋体" w:eastAsia="宋体" w:cs="Times New Roman"/>
          <w:sz w:val="32"/>
          <w:szCs w:val="24"/>
        </w:rPr>
        <w:t>。</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（三）财政拨款支出决算具体情况</w:t>
      </w:r>
    </w:p>
    <w:p>
      <w:pPr>
        <w:pStyle w:val="10"/>
        <w:ind w:left="420" w:leftChars="200" w:right="420" w:rightChars="200" w:firstLine="640" w:firstLineChars="200"/>
        <w:rPr>
          <w:rFonts w:ascii="宋体" w:hAnsi="宋体" w:eastAsia="宋体"/>
          <w:sz w:val="32"/>
          <w:szCs w:val="32"/>
        </w:rPr>
      </w:pPr>
      <w:r>
        <w:rPr>
          <w:rFonts w:hint="eastAsia" w:ascii="宋体" w:hAnsi="宋体" w:eastAsia="宋体"/>
          <w:sz w:val="32"/>
          <w:szCs w:val="32"/>
        </w:rPr>
        <w:t>2020年度财政拨款支出年初预算数为195.26万元，支出决算数为219.13万元，完成年初预算的112%，其中：</w:t>
      </w:r>
    </w:p>
    <w:p>
      <w:pPr>
        <w:pStyle w:val="10"/>
        <w:ind w:left="420" w:leftChars="200" w:right="420" w:rightChars="200" w:firstLine="640" w:firstLineChars="200"/>
        <w:rPr>
          <w:rFonts w:ascii="宋体" w:hAnsi="宋体" w:eastAsia="宋体" w:cs="Times New Roman"/>
          <w:sz w:val="32"/>
          <w:szCs w:val="32"/>
        </w:rPr>
      </w:pPr>
      <w:r>
        <w:rPr>
          <w:rFonts w:ascii="宋体" w:hAnsi="宋体" w:eastAsia="宋体" w:cs="Times New Roman"/>
          <w:sz w:val="32"/>
          <w:szCs w:val="32"/>
        </w:rPr>
        <w:t>1、一般公共服务支出</w:t>
      </w:r>
    </w:p>
    <w:p>
      <w:pPr>
        <w:pStyle w:val="10"/>
        <w:ind w:left="420" w:leftChars="200" w:right="420" w:rightChars="200" w:firstLine="640" w:firstLineChars="200"/>
        <w:rPr>
          <w:rFonts w:ascii="宋体" w:hAnsi="宋体" w:eastAsia="宋体" w:cs="Times New Roman"/>
          <w:sz w:val="32"/>
          <w:szCs w:val="32"/>
        </w:rPr>
      </w:pPr>
      <w:r>
        <w:rPr>
          <w:rFonts w:ascii="宋体" w:hAnsi="宋体" w:eastAsia="宋体" w:cs="Times New Roman"/>
          <w:sz w:val="32"/>
          <w:szCs w:val="32"/>
        </w:rPr>
        <w:t>年初预算为</w:t>
      </w:r>
      <w:r>
        <w:rPr>
          <w:rFonts w:hint="eastAsia" w:ascii="宋体" w:hAnsi="宋体" w:eastAsia="宋体" w:cs="Times New Roman"/>
          <w:sz w:val="32"/>
          <w:szCs w:val="32"/>
        </w:rPr>
        <w:t>165.23</w:t>
      </w:r>
      <w:r>
        <w:rPr>
          <w:rFonts w:ascii="宋体" w:hAnsi="宋体" w:eastAsia="宋体" w:cs="Times New Roman"/>
          <w:sz w:val="32"/>
          <w:szCs w:val="32"/>
        </w:rPr>
        <w:t>万元，支出决算为</w:t>
      </w:r>
      <w:r>
        <w:rPr>
          <w:rFonts w:hint="eastAsia" w:ascii="宋体" w:hAnsi="宋体" w:eastAsia="宋体" w:cs="Times New Roman"/>
          <w:sz w:val="32"/>
          <w:szCs w:val="32"/>
        </w:rPr>
        <w:t>177.1</w:t>
      </w:r>
      <w:r>
        <w:rPr>
          <w:rFonts w:ascii="宋体" w:hAnsi="宋体" w:eastAsia="宋体" w:cs="Times New Roman"/>
          <w:sz w:val="32"/>
          <w:szCs w:val="32"/>
        </w:rPr>
        <w:t>万元，完成年初预算的</w:t>
      </w:r>
      <w:r>
        <w:rPr>
          <w:rFonts w:hint="eastAsia" w:ascii="宋体" w:hAnsi="宋体" w:eastAsia="宋体" w:cs="Times New Roman"/>
          <w:sz w:val="32"/>
          <w:szCs w:val="32"/>
        </w:rPr>
        <w:t>107</w:t>
      </w:r>
      <w:r>
        <w:rPr>
          <w:rFonts w:ascii="宋体" w:hAnsi="宋体" w:eastAsia="宋体" w:cs="Times New Roman"/>
          <w:sz w:val="32"/>
          <w:szCs w:val="32"/>
        </w:rPr>
        <w:t>%</w:t>
      </w:r>
      <w:r>
        <w:rPr>
          <w:rFonts w:hint="eastAsia" w:ascii="宋体" w:hAnsi="宋体" w:eastAsia="宋体" w:cs="Times New Roman"/>
          <w:sz w:val="32"/>
          <w:szCs w:val="32"/>
        </w:rPr>
        <w:t>。</w:t>
      </w:r>
    </w:p>
    <w:p>
      <w:pPr>
        <w:pStyle w:val="10"/>
        <w:ind w:left="420" w:leftChars="200" w:right="420" w:rightChars="200" w:firstLine="640" w:firstLineChars="200"/>
        <w:rPr>
          <w:rFonts w:ascii="宋体" w:hAnsi="宋体" w:eastAsia="宋体" w:cs="Times New Roman"/>
          <w:sz w:val="32"/>
          <w:szCs w:val="32"/>
        </w:rPr>
      </w:pPr>
      <w:r>
        <w:rPr>
          <w:rFonts w:hint="eastAsia" w:ascii="宋体" w:hAnsi="宋体" w:eastAsia="宋体" w:cs="Times New Roman"/>
          <w:sz w:val="32"/>
          <w:szCs w:val="32"/>
        </w:rPr>
        <w:t xml:space="preserve"> 2</w:t>
      </w:r>
      <w:r>
        <w:rPr>
          <w:rFonts w:ascii="宋体" w:hAnsi="宋体" w:eastAsia="宋体" w:cs="Times New Roman"/>
          <w:sz w:val="32"/>
          <w:szCs w:val="32"/>
        </w:rPr>
        <w:t>、社会保障和就业支出</w:t>
      </w:r>
    </w:p>
    <w:p>
      <w:pPr>
        <w:spacing w:line="560" w:lineRule="exact"/>
        <w:ind w:left="420" w:leftChars="200" w:right="420" w:rightChars="200" w:firstLine="640" w:firstLineChars="200"/>
        <w:jc w:val="left"/>
        <w:rPr>
          <w:rFonts w:ascii="宋体" w:hAnsi="宋体" w:eastAsia="宋体" w:cs="Times New Roman"/>
          <w:sz w:val="32"/>
          <w:szCs w:val="32"/>
        </w:rPr>
      </w:pPr>
      <w:r>
        <w:rPr>
          <w:rFonts w:ascii="宋体" w:hAnsi="宋体" w:eastAsia="宋体" w:cs="Times New Roman"/>
          <w:sz w:val="32"/>
          <w:szCs w:val="32"/>
        </w:rPr>
        <w:t>社会保障和就业支出年初预算</w:t>
      </w:r>
      <w:r>
        <w:rPr>
          <w:rFonts w:hint="eastAsia" w:ascii="宋体" w:hAnsi="宋体" w:eastAsia="宋体" w:cs="Times New Roman"/>
          <w:sz w:val="32"/>
          <w:szCs w:val="32"/>
        </w:rPr>
        <w:t>21.17</w:t>
      </w:r>
      <w:r>
        <w:rPr>
          <w:rFonts w:ascii="宋体" w:hAnsi="宋体" w:eastAsia="宋体" w:cs="Times New Roman"/>
          <w:sz w:val="32"/>
          <w:szCs w:val="32"/>
        </w:rPr>
        <w:t>万元，决算数</w:t>
      </w:r>
      <w:r>
        <w:rPr>
          <w:rFonts w:hint="eastAsia" w:ascii="宋体" w:hAnsi="宋体" w:eastAsia="宋体" w:cs="Times New Roman"/>
          <w:sz w:val="32"/>
          <w:szCs w:val="32"/>
        </w:rPr>
        <w:t>36.79</w:t>
      </w:r>
      <w:r>
        <w:rPr>
          <w:rFonts w:ascii="宋体" w:hAnsi="宋体" w:eastAsia="宋体" w:cs="Times New Roman"/>
          <w:sz w:val="32"/>
          <w:szCs w:val="32"/>
        </w:rPr>
        <w:t>万元，完成年初预算的</w:t>
      </w:r>
      <w:r>
        <w:rPr>
          <w:rFonts w:hint="eastAsia" w:ascii="宋体" w:hAnsi="宋体" w:eastAsia="宋体" w:cs="Times New Roman"/>
          <w:sz w:val="32"/>
          <w:szCs w:val="32"/>
        </w:rPr>
        <w:t>174</w:t>
      </w:r>
      <w:r>
        <w:rPr>
          <w:rFonts w:ascii="宋体" w:hAnsi="宋体" w:eastAsia="宋体" w:cs="Times New Roman"/>
          <w:sz w:val="32"/>
          <w:szCs w:val="32"/>
        </w:rPr>
        <w:t>%</w:t>
      </w:r>
      <w:r>
        <w:rPr>
          <w:rFonts w:hint="eastAsia" w:ascii="宋体" w:hAnsi="宋体" w:eastAsia="宋体" w:cs="Times New Roman"/>
          <w:sz w:val="32"/>
          <w:szCs w:val="32"/>
        </w:rPr>
        <w:t>，预算追加比较多，主要原因是：在职职工去世，死亡抚恤金支出。</w:t>
      </w:r>
    </w:p>
    <w:p>
      <w:pPr>
        <w:pStyle w:val="10"/>
        <w:ind w:left="420" w:leftChars="200" w:right="420" w:rightChars="200" w:firstLine="640" w:firstLineChars="200"/>
        <w:rPr>
          <w:rFonts w:ascii="宋体" w:hAnsi="宋体" w:eastAsia="宋体" w:cs="Times New Roman"/>
          <w:sz w:val="32"/>
          <w:szCs w:val="32"/>
        </w:rPr>
      </w:pPr>
      <w:r>
        <w:rPr>
          <w:rFonts w:hint="eastAsia" w:ascii="宋体" w:hAnsi="宋体" w:eastAsia="宋体" w:cs="Times New Roman"/>
          <w:sz w:val="32"/>
          <w:szCs w:val="32"/>
        </w:rPr>
        <w:t>3</w:t>
      </w:r>
      <w:r>
        <w:rPr>
          <w:rFonts w:ascii="宋体" w:hAnsi="宋体" w:eastAsia="宋体" w:cs="Times New Roman"/>
          <w:sz w:val="32"/>
          <w:szCs w:val="32"/>
        </w:rPr>
        <w:t>、卫生健康支出</w:t>
      </w:r>
    </w:p>
    <w:p>
      <w:pPr>
        <w:spacing w:line="560" w:lineRule="exact"/>
        <w:ind w:left="420" w:leftChars="200" w:right="420" w:rightChars="200" w:firstLine="640" w:firstLineChars="200"/>
        <w:jc w:val="left"/>
        <w:rPr>
          <w:rFonts w:ascii="宋体" w:hAnsi="宋体" w:eastAsia="宋体" w:cs="Times New Roman"/>
          <w:sz w:val="32"/>
          <w:szCs w:val="32"/>
        </w:rPr>
      </w:pPr>
      <w:r>
        <w:rPr>
          <w:rFonts w:ascii="宋体" w:hAnsi="宋体" w:eastAsia="宋体" w:cs="Times New Roman"/>
          <w:sz w:val="32"/>
          <w:szCs w:val="32"/>
        </w:rPr>
        <w:t>卫生健康支出年初预算</w:t>
      </w:r>
      <w:r>
        <w:rPr>
          <w:rFonts w:hint="eastAsia" w:ascii="宋体" w:hAnsi="宋体" w:eastAsia="宋体" w:cs="Times New Roman"/>
          <w:sz w:val="32"/>
          <w:szCs w:val="32"/>
        </w:rPr>
        <w:t>5.24</w:t>
      </w:r>
      <w:r>
        <w:rPr>
          <w:rFonts w:ascii="宋体" w:hAnsi="宋体" w:eastAsia="宋体" w:cs="Times New Roman"/>
          <w:sz w:val="32"/>
          <w:szCs w:val="32"/>
        </w:rPr>
        <w:t>万元，决算数</w:t>
      </w:r>
      <w:r>
        <w:rPr>
          <w:rFonts w:hint="eastAsia" w:ascii="宋体" w:hAnsi="宋体" w:eastAsia="宋体" w:cs="Times New Roman"/>
          <w:sz w:val="32"/>
          <w:szCs w:val="32"/>
        </w:rPr>
        <w:t>5.24</w:t>
      </w:r>
      <w:r>
        <w:rPr>
          <w:rFonts w:ascii="宋体" w:hAnsi="宋体" w:eastAsia="宋体" w:cs="Times New Roman"/>
          <w:sz w:val="32"/>
          <w:szCs w:val="32"/>
        </w:rPr>
        <w:t>万元，完成年初预算的100%。</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六、一般公共预算财政拨款基本支出决算情况说明</w:t>
      </w:r>
    </w:p>
    <w:p>
      <w:pPr>
        <w:pStyle w:val="10"/>
        <w:ind w:left="420" w:leftChars="200" w:right="420" w:rightChars="200" w:firstLine="624" w:firstLineChars="200"/>
        <w:rPr>
          <w:rFonts w:ascii="宋体" w:hAnsi="宋体" w:eastAsia="宋体"/>
          <w:sz w:val="32"/>
          <w:szCs w:val="32"/>
        </w:rPr>
      </w:pPr>
      <w:r>
        <w:rPr>
          <w:rFonts w:hint="eastAsia" w:ascii="宋体" w:hAnsi="宋体" w:eastAsia="宋体"/>
          <w:spacing w:val="-4"/>
          <w:sz w:val="32"/>
          <w:szCs w:val="32"/>
        </w:rPr>
        <w:t>2020年财政拨款基本支出为219.13万元，其中人员经费172.5</w:t>
      </w:r>
      <w:r>
        <w:rPr>
          <w:rFonts w:ascii="宋体" w:hAnsi="宋体" w:eastAsia="宋体"/>
          <w:spacing w:val="-4"/>
          <w:sz w:val="32"/>
          <w:szCs w:val="32"/>
        </w:rPr>
        <w:t>万元</w:t>
      </w:r>
      <w:r>
        <w:rPr>
          <w:rFonts w:hint="eastAsia" w:ascii="宋体" w:hAnsi="宋体" w:eastAsia="宋体"/>
          <w:spacing w:val="-4"/>
          <w:sz w:val="32"/>
          <w:szCs w:val="32"/>
        </w:rPr>
        <w:t>，占基本支出的78.7%</w:t>
      </w:r>
      <w:r>
        <w:rPr>
          <w:rFonts w:hint="eastAsia" w:ascii="宋体" w:hAnsi="宋体" w:eastAsia="宋体"/>
          <w:sz w:val="32"/>
          <w:szCs w:val="32"/>
        </w:rPr>
        <w:t>主要包括基本工资、津贴补贴、奖金、伙食补助费、绩效工资、机关事业单位基本养老保险缴费、职工基本医疗保险缴费、其他社会保障缴费、住房公积金、其他工资福利支出、对其他个人和家庭的补助、抚恤金、生活补助、医疗补助、对其他个人和家庭的补助。公用经费46.63</w:t>
      </w:r>
      <w:r>
        <w:rPr>
          <w:rFonts w:ascii="宋体" w:hAnsi="宋体" w:eastAsia="宋体"/>
          <w:sz w:val="32"/>
          <w:szCs w:val="32"/>
        </w:rPr>
        <w:t>万</w:t>
      </w:r>
      <w:r>
        <w:rPr>
          <w:rFonts w:hint="eastAsia" w:ascii="宋体" w:hAnsi="宋体" w:eastAsia="宋体"/>
          <w:sz w:val="32"/>
          <w:szCs w:val="32"/>
        </w:rPr>
        <w:t>元，占基本支出的21.3%</w:t>
      </w:r>
      <w:r>
        <w:rPr>
          <w:rFonts w:hint="eastAsia" w:ascii="宋体" w:hAnsi="宋体" w:eastAsia="宋体"/>
          <w:spacing w:val="-4"/>
          <w:sz w:val="32"/>
          <w:szCs w:val="32"/>
        </w:rPr>
        <w:t>主要用于保障正常运转，完成日常工作任务而发生的各项支出,</w:t>
      </w:r>
      <w:r>
        <w:rPr>
          <w:rFonts w:hint="eastAsia" w:ascii="宋体" w:hAnsi="宋体" w:eastAsia="宋体"/>
          <w:sz w:val="32"/>
          <w:szCs w:val="32"/>
        </w:rPr>
        <w:t xml:space="preserve"> 主要包括办公费、印刷费、水费、电费、差旅费、维修费、会议费、培训费、公务接待费、劳务费、工会经费、公务用车运行维护费、其他交通费用、</w:t>
      </w:r>
      <w:r>
        <w:rPr>
          <w:rFonts w:ascii="宋体" w:hAnsi="宋体" w:eastAsia="宋体"/>
          <w:sz w:val="32"/>
          <w:szCs w:val="32"/>
        </w:rPr>
        <w:t>资本性支出</w:t>
      </w:r>
      <w:r>
        <w:rPr>
          <w:rFonts w:hint="eastAsia" w:ascii="宋体" w:hAnsi="宋体" w:eastAsia="宋体"/>
          <w:sz w:val="32"/>
          <w:szCs w:val="32"/>
        </w:rPr>
        <w:t>。</w:t>
      </w:r>
    </w:p>
    <w:p>
      <w:pPr>
        <w:pStyle w:val="10"/>
        <w:ind w:left="420" w:leftChars="200" w:right="420" w:rightChars="200" w:firstLine="640" w:firstLineChars="200"/>
        <w:rPr>
          <w:rFonts w:ascii="宋体" w:hAnsi="宋体" w:eastAsia="宋体" w:cs="宋体"/>
          <w:b/>
          <w:sz w:val="32"/>
          <w:szCs w:val="32"/>
        </w:rPr>
      </w:pPr>
      <w:r>
        <w:rPr>
          <w:rFonts w:hint="eastAsia" w:ascii="宋体" w:hAnsi="宋体" w:eastAsia="宋体" w:cs="宋体"/>
          <w:b/>
          <w:sz w:val="32"/>
          <w:szCs w:val="32"/>
        </w:rPr>
        <w:t>七、一般公共预算财政拨款三公经费支出决算情况说明</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（一）“三公”经费财政拨款支出决算总体情况说明</w:t>
      </w:r>
    </w:p>
    <w:p>
      <w:pPr>
        <w:pStyle w:val="10"/>
        <w:ind w:left="420" w:leftChars="200" w:right="420" w:rightChars="200" w:firstLine="640" w:firstLineChars="200"/>
        <w:rPr>
          <w:rFonts w:ascii="宋体" w:hAnsi="宋体" w:eastAsia="宋体"/>
          <w:sz w:val="32"/>
          <w:szCs w:val="32"/>
        </w:rPr>
      </w:pPr>
      <w:r>
        <w:rPr>
          <w:rFonts w:hint="eastAsia" w:ascii="宋体" w:hAnsi="宋体" w:eastAsia="宋体"/>
          <w:sz w:val="32"/>
          <w:szCs w:val="32"/>
        </w:rPr>
        <w:t>2020年“三公”经费财政拨款支出预算为0.5万元，支出决算为0.18万元，完成预算的36%，决算数小于预算数主要是厉行节约，严格控制“三公”经费。其中：</w:t>
      </w:r>
    </w:p>
    <w:p>
      <w:pPr>
        <w:pStyle w:val="10"/>
        <w:ind w:left="420" w:leftChars="200" w:right="420" w:rightChars="200" w:firstLine="640" w:firstLineChars="200"/>
        <w:rPr>
          <w:rFonts w:ascii="宋体" w:hAnsi="宋体" w:eastAsia="宋体"/>
          <w:sz w:val="32"/>
          <w:szCs w:val="32"/>
        </w:rPr>
      </w:pPr>
      <w:r>
        <w:rPr>
          <w:rFonts w:hint="eastAsia" w:ascii="宋体" w:hAnsi="宋体" w:eastAsia="宋体"/>
          <w:sz w:val="32"/>
          <w:szCs w:val="32"/>
        </w:rPr>
        <w:t>因公出国（境）费支出预算为0万元，支出决算为0万元，完成预算度0%。</w:t>
      </w:r>
    </w:p>
    <w:p>
      <w:pPr>
        <w:pStyle w:val="10"/>
        <w:ind w:left="420" w:leftChars="200" w:right="420" w:rightChars="200" w:firstLine="640" w:firstLineChars="200"/>
        <w:rPr>
          <w:rFonts w:ascii="宋体" w:hAnsi="宋体" w:eastAsia="宋体"/>
          <w:sz w:val="32"/>
          <w:szCs w:val="32"/>
        </w:rPr>
      </w:pPr>
      <w:r>
        <w:rPr>
          <w:rFonts w:hint="eastAsia" w:ascii="宋体" w:hAnsi="宋体" w:eastAsia="宋体"/>
          <w:sz w:val="32"/>
          <w:szCs w:val="32"/>
        </w:rPr>
        <w:t>公务接待费支出预算为0.5万元，支出决算为0.18万元，完成预算的100%。</w:t>
      </w:r>
    </w:p>
    <w:p>
      <w:pPr>
        <w:pStyle w:val="10"/>
        <w:ind w:left="420" w:leftChars="200" w:right="420" w:rightChars="200" w:firstLine="640" w:firstLineChars="200"/>
        <w:rPr>
          <w:rFonts w:ascii="宋体" w:hAnsi="宋体" w:eastAsia="宋体"/>
          <w:sz w:val="32"/>
          <w:szCs w:val="32"/>
        </w:rPr>
      </w:pPr>
      <w:r>
        <w:rPr>
          <w:rFonts w:hint="eastAsia" w:ascii="宋体" w:hAnsi="宋体" w:eastAsia="宋体"/>
          <w:sz w:val="32"/>
          <w:szCs w:val="32"/>
        </w:rPr>
        <w:t>公务用车购置费及运行维护费支出预算为0万元，支出决算为0万元，完成预算度0%。</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（二）“三公”经费财政拨款支出决算具体情况说明</w:t>
      </w:r>
    </w:p>
    <w:p>
      <w:pPr>
        <w:pStyle w:val="10"/>
        <w:ind w:left="420" w:leftChars="200" w:right="420" w:rightChars="200" w:firstLine="640" w:firstLineChars="200"/>
        <w:rPr>
          <w:rFonts w:ascii="宋体" w:hAnsi="宋体" w:eastAsia="宋体"/>
          <w:sz w:val="32"/>
          <w:szCs w:val="32"/>
        </w:rPr>
      </w:pPr>
      <w:r>
        <w:rPr>
          <w:rFonts w:hint="eastAsia" w:ascii="宋体" w:hAnsi="宋体" w:eastAsia="宋体"/>
          <w:sz w:val="32"/>
          <w:szCs w:val="32"/>
        </w:rPr>
        <w:t>2020年度“三公”经费财政拨款支出决算中，公务接待费支出决算0.18万元，占100%,因公出国（境）费支出决算0元，占0%,公务用车购置费及运行维护费支出决算0万元，占0%。其中：</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sz w:val="32"/>
          <w:szCs w:val="32"/>
        </w:rPr>
        <w:t>1、因公出国（境）费支出决算为0万元，全年安排因公出国（境）团组0个，累计0人次,开支内容包括：</w:t>
      </w:r>
    </w:p>
    <w:p>
      <w:pPr>
        <w:pStyle w:val="10"/>
        <w:ind w:left="420" w:leftChars="200" w:right="420" w:rightChars="200" w:firstLine="640" w:firstLineChars="200"/>
        <w:rPr>
          <w:rFonts w:ascii="宋体" w:hAnsi="宋体" w:eastAsia="宋体"/>
          <w:sz w:val="32"/>
          <w:szCs w:val="32"/>
        </w:rPr>
      </w:pPr>
      <w:r>
        <w:rPr>
          <w:rFonts w:hint="eastAsia" w:ascii="宋体" w:hAnsi="宋体" w:eastAsia="宋体"/>
          <w:sz w:val="32"/>
          <w:szCs w:val="32"/>
        </w:rPr>
        <w:t>2、公务接待费支出决算为0.18元，公务接待</w:t>
      </w:r>
      <w:r>
        <w:rPr>
          <w:rFonts w:hint="eastAsia" w:ascii="宋体" w:hAnsi="宋体" w:eastAsia="宋体" w:cs="Times New Roman"/>
          <w:sz w:val="32"/>
          <w:szCs w:val="32"/>
        </w:rPr>
        <w:t>批次2批，</w:t>
      </w:r>
      <w:r>
        <w:rPr>
          <w:rFonts w:hint="eastAsia" w:ascii="宋体" w:hAnsi="宋体" w:eastAsia="宋体"/>
          <w:sz w:val="32"/>
          <w:szCs w:val="32"/>
        </w:rPr>
        <w:t>公务接待</w:t>
      </w:r>
      <w:r>
        <w:rPr>
          <w:rFonts w:hint="eastAsia" w:ascii="宋体" w:hAnsi="宋体" w:eastAsia="宋体" w:cs="Times New Roman"/>
          <w:sz w:val="32"/>
          <w:szCs w:val="32"/>
        </w:rPr>
        <w:t>人数22人</w:t>
      </w:r>
      <w:r>
        <w:rPr>
          <w:rFonts w:ascii="宋体" w:hAnsi="宋体" w:eastAsia="宋体" w:cs="Times New Roman"/>
          <w:sz w:val="32"/>
          <w:szCs w:val="32"/>
        </w:rPr>
        <w:t>。</w:t>
      </w:r>
      <w:r>
        <w:rPr>
          <w:rFonts w:hint="eastAsia" w:ascii="宋体" w:hAnsi="宋体" w:eastAsia="宋体"/>
          <w:sz w:val="32"/>
          <w:szCs w:val="32"/>
        </w:rPr>
        <w:t>公务接待费决算数小的主要原因是认真贯彻落实中央八项规定精神和厉行节约要求，进一步从严控制“三公”经费开支，全年实际支出比预算有所节约。</w:t>
      </w:r>
    </w:p>
    <w:p>
      <w:pPr>
        <w:ind w:left="420" w:leftChars="200" w:right="420" w:rightChars="200" w:firstLine="640" w:firstLineChars="200"/>
        <w:jc w:val="left"/>
        <w:rPr>
          <w:rFonts w:ascii="宋体" w:hAnsi="宋体" w:eastAsia="宋体"/>
          <w:sz w:val="32"/>
          <w:szCs w:val="32"/>
        </w:rPr>
      </w:pPr>
      <w:r>
        <w:rPr>
          <w:rFonts w:hint="eastAsia" w:ascii="宋体" w:hAnsi="宋体" w:eastAsia="宋体"/>
          <w:sz w:val="32"/>
          <w:szCs w:val="32"/>
        </w:rPr>
        <w:t>3、公务用车购置费及运行维护费支出决算为0万元，其中：公务用车购置费0万元，公务用车运行维护费0万元。截至2020年12月1日，公务用车购置数及保有量均为0辆。</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八、政府性基金预算收入支出决算情况</w:t>
      </w:r>
    </w:p>
    <w:p>
      <w:pPr>
        <w:pStyle w:val="10"/>
        <w:ind w:left="420" w:leftChars="200" w:right="420" w:rightChars="200" w:firstLine="640" w:firstLineChars="20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本单位2020年无政府性基金收支</w:t>
      </w:r>
    </w:p>
    <w:p>
      <w:pPr>
        <w:pStyle w:val="10"/>
        <w:ind w:left="420" w:leftChars="200" w:right="420" w:rightChars="200" w:firstLine="640" w:firstLineChars="200"/>
        <w:rPr>
          <w:rFonts w:ascii="宋体" w:hAnsi="宋体" w:eastAsia="宋体"/>
          <w:b/>
          <w:color w:val="auto"/>
          <w:sz w:val="32"/>
          <w:szCs w:val="32"/>
        </w:rPr>
      </w:pPr>
      <w:r>
        <w:rPr>
          <w:rFonts w:hint="eastAsia" w:ascii="宋体" w:hAnsi="宋体" w:eastAsia="宋体"/>
          <w:b/>
          <w:color w:val="auto"/>
          <w:sz w:val="32"/>
          <w:szCs w:val="32"/>
        </w:rPr>
        <w:t>九、国有资本经营预算财政拨款支出决算情况</w:t>
      </w:r>
    </w:p>
    <w:p>
      <w:pPr>
        <w:pStyle w:val="10"/>
        <w:ind w:left="420" w:leftChars="200" w:right="420" w:rightChars="200" w:firstLine="640" w:firstLineChars="20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本单位2020年没有国有资本经营预算财政拨款支出。</w:t>
      </w:r>
    </w:p>
    <w:p>
      <w:pPr>
        <w:ind w:left="420" w:leftChars="200" w:right="420" w:rightChars="200" w:firstLine="640" w:firstLineChars="200"/>
        <w:jc w:val="left"/>
        <w:rPr>
          <w:rFonts w:ascii="宋体" w:hAnsi="宋体" w:eastAsia="宋体" w:cs="黑体"/>
          <w:b/>
          <w:color w:val="000000"/>
          <w:kern w:val="0"/>
          <w:sz w:val="32"/>
          <w:szCs w:val="32"/>
        </w:rPr>
      </w:pPr>
      <w:r>
        <w:rPr>
          <w:rFonts w:hint="eastAsia" w:ascii="宋体" w:hAnsi="宋体" w:eastAsia="宋体" w:cs="黑体"/>
          <w:b/>
          <w:color w:val="000000"/>
          <w:kern w:val="0"/>
          <w:sz w:val="32"/>
          <w:szCs w:val="32"/>
        </w:rPr>
        <w:t>十、机关运行经费支出情况</w:t>
      </w:r>
    </w:p>
    <w:p>
      <w:pPr>
        <w:pStyle w:val="10"/>
        <w:ind w:left="420" w:leftChars="200" w:right="420" w:rightChars="200" w:firstLine="640" w:firstLineChars="200"/>
        <w:rPr>
          <w:rFonts w:ascii="宋体" w:hAnsi="宋体" w:eastAsia="宋体"/>
          <w:sz w:val="32"/>
          <w:szCs w:val="32"/>
        </w:rPr>
      </w:pPr>
      <w:r>
        <w:rPr>
          <w:rFonts w:hint="eastAsia" w:ascii="宋体" w:hAnsi="宋体" w:eastAsia="宋体"/>
          <w:sz w:val="32"/>
          <w:szCs w:val="32"/>
        </w:rPr>
        <w:t>本部门2</w:t>
      </w:r>
      <w:r>
        <w:rPr>
          <w:rFonts w:ascii="宋体" w:hAnsi="宋体" w:eastAsia="宋体"/>
          <w:sz w:val="32"/>
          <w:szCs w:val="32"/>
        </w:rPr>
        <w:t>0</w:t>
      </w:r>
      <w:r>
        <w:rPr>
          <w:rFonts w:hint="eastAsia" w:ascii="宋体" w:hAnsi="宋体" w:eastAsia="宋体"/>
          <w:sz w:val="32"/>
          <w:szCs w:val="32"/>
        </w:rPr>
        <w:t>20</w:t>
      </w:r>
      <w:r>
        <w:rPr>
          <w:rFonts w:ascii="宋体" w:hAnsi="宋体" w:eastAsia="宋体"/>
          <w:sz w:val="32"/>
          <w:szCs w:val="32"/>
        </w:rPr>
        <w:t>年</w:t>
      </w:r>
      <w:r>
        <w:rPr>
          <w:rFonts w:hint="eastAsia" w:ascii="宋体" w:hAnsi="宋体" w:eastAsia="宋体"/>
          <w:sz w:val="32"/>
          <w:szCs w:val="32"/>
        </w:rPr>
        <w:t>公用经费46.63</w:t>
      </w:r>
      <w:r>
        <w:rPr>
          <w:rFonts w:ascii="宋体" w:hAnsi="宋体" w:eastAsia="宋体"/>
          <w:sz w:val="32"/>
          <w:szCs w:val="32"/>
        </w:rPr>
        <w:t>万</w:t>
      </w:r>
      <w:r>
        <w:rPr>
          <w:rFonts w:hint="eastAsia" w:ascii="宋体" w:hAnsi="宋体" w:eastAsia="宋体"/>
          <w:sz w:val="32"/>
          <w:szCs w:val="32"/>
        </w:rPr>
        <w:t>元。完成年初预算100%。严格控制公用经费支出。</w:t>
      </w:r>
    </w:p>
    <w:p>
      <w:pPr>
        <w:ind w:left="420" w:leftChars="200" w:right="420" w:rightChars="200" w:firstLine="640" w:firstLineChars="200"/>
        <w:jc w:val="left"/>
        <w:rPr>
          <w:rFonts w:ascii="宋体" w:hAnsi="宋体" w:eastAsia="宋体" w:cs="黑体"/>
          <w:b/>
          <w:color w:val="000000"/>
          <w:kern w:val="0"/>
          <w:sz w:val="32"/>
          <w:szCs w:val="32"/>
        </w:rPr>
      </w:pPr>
      <w:r>
        <w:rPr>
          <w:rFonts w:hint="eastAsia" w:ascii="宋体" w:hAnsi="宋体" w:eastAsia="宋体" w:cs="黑体"/>
          <w:b/>
          <w:color w:val="000000"/>
          <w:kern w:val="0"/>
          <w:sz w:val="32"/>
          <w:szCs w:val="32"/>
        </w:rPr>
        <w:t>十一、一般性支出情况</w:t>
      </w:r>
    </w:p>
    <w:p>
      <w:pPr>
        <w:pStyle w:val="10"/>
        <w:ind w:left="420" w:leftChars="200" w:right="420" w:rightChars="200"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会议费支出情况：2020年会议费完成89874元，比上年增加了61204元，增加313%，增减变化的主要原因是：召开2020度县劳模和先进工作者的评选；培训费支出情况：2020年培训费完成20227元，比上年减少48573元，减少340%，增减变化的主要原因是：受疫情影响，减少培训。</w:t>
      </w:r>
    </w:p>
    <w:p>
      <w:pPr>
        <w:ind w:left="420" w:leftChars="200" w:right="420" w:rightChars="200" w:firstLine="640" w:firstLineChars="200"/>
        <w:jc w:val="left"/>
        <w:rPr>
          <w:rFonts w:ascii="宋体" w:hAnsi="宋体" w:eastAsia="宋体" w:cs="黑体"/>
          <w:b/>
          <w:color w:val="000000"/>
          <w:kern w:val="0"/>
          <w:sz w:val="32"/>
          <w:szCs w:val="32"/>
        </w:rPr>
      </w:pPr>
      <w:r>
        <w:rPr>
          <w:rFonts w:hint="eastAsia" w:ascii="宋体" w:hAnsi="宋体" w:eastAsia="宋体" w:cs="黑体"/>
          <w:b/>
          <w:color w:val="000000"/>
          <w:kern w:val="0"/>
          <w:sz w:val="32"/>
          <w:szCs w:val="32"/>
        </w:rPr>
        <w:t>十二、政府采购支出情况</w:t>
      </w:r>
    </w:p>
    <w:p>
      <w:pPr>
        <w:pStyle w:val="10"/>
        <w:tabs>
          <w:tab w:val="left" w:pos="1050"/>
        </w:tabs>
        <w:ind w:left="420" w:leftChars="200" w:right="420" w:rightChars="200" w:firstLine="640" w:firstLineChars="200"/>
        <w:rPr>
          <w:rFonts w:ascii="宋体" w:hAnsi="宋体" w:eastAsia="宋体"/>
          <w:sz w:val="32"/>
          <w:szCs w:val="32"/>
        </w:rPr>
      </w:pPr>
      <w:r>
        <w:rPr>
          <w:rFonts w:hint="eastAsia" w:ascii="宋体" w:hAnsi="宋体" w:eastAsia="宋体"/>
          <w:sz w:val="32"/>
          <w:szCs w:val="32"/>
        </w:rPr>
        <w:t>本部门2020年度政府采购支出总额14.33万元，其中：政府采购货物支出14.33万元。包括购买办公电脑、打印机、食堂厨具设备、餐桌餐椅、空调、夏送清凉物资。</w:t>
      </w:r>
    </w:p>
    <w:p>
      <w:pPr>
        <w:tabs>
          <w:tab w:val="left" w:pos="1050"/>
        </w:tabs>
        <w:ind w:left="420" w:leftChars="200" w:right="420" w:rightChars="200" w:firstLine="640" w:firstLineChars="200"/>
        <w:jc w:val="left"/>
        <w:rPr>
          <w:rFonts w:ascii="宋体" w:hAnsi="宋体" w:eastAsia="宋体" w:cs="黑体"/>
          <w:b/>
          <w:color w:val="000000"/>
          <w:kern w:val="0"/>
          <w:sz w:val="32"/>
          <w:szCs w:val="32"/>
        </w:rPr>
      </w:pPr>
      <w:r>
        <w:rPr>
          <w:rFonts w:hint="eastAsia" w:ascii="宋体" w:hAnsi="宋体" w:eastAsia="宋体" w:cs="黑体"/>
          <w:b/>
          <w:color w:val="000000"/>
          <w:kern w:val="0"/>
          <w:sz w:val="32"/>
          <w:szCs w:val="32"/>
        </w:rPr>
        <w:t>十三、国有资产占用情况</w:t>
      </w:r>
    </w:p>
    <w:p>
      <w:pPr>
        <w:pStyle w:val="10"/>
        <w:tabs>
          <w:tab w:val="left" w:pos="1050"/>
        </w:tabs>
        <w:ind w:left="420" w:leftChars="200" w:right="420" w:rightChars="200" w:firstLine="640" w:firstLineChars="200"/>
        <w:rPr>
          <w:rFonts w:ascii="宋体" w:hAnsi="宋体" w:eastAsia="宋体"/>
          <w:sz w:val="32"/>
          <w:szCs w:val="32"/>
        </w:rPr>
      </w:pPr>
      <w:r>
        <w:rPr>
          <w:rFonts w:hint="eastAsia" w:ascii="宋体" w:hAnsi="宋体" w:eastAsia="宋体"/>
          <w:sz w:val="32"/>
          <w:szCs w:val="32"/>
        </w:rPr>
        <w:t>截至2020年12月31日，本单位共有车辆0辆，其中：特种专业技术用车0辆。单位价值50万元以上通用设备0台（套）；单位价值100万元以上专用设备0台（套）。</w:t>
      </w:r>
    </w:p>
    <w:p>
      <w:pPr>
        <w:pStyle w:val="10"/>
        <w:ind w:left="420" w:leftChars="200" w:right="420" w:rightChars="200" w:firstLine="640" w:firstLineChars="200"/>
        <w:rPr>
          <w:rFonts w:ascii="宋体" w:hAnsi="宋体" w:eastAsia="宋体"/>
          <w:b/>
          <w:sz w:val="32"/>
          <w:szCs w:val="32"/>
        </w:rPr>
      </w:pPr>
      <w:r>
        <w:rPr>
          <w:rFonts w:hint="eastAsia" w:ascii="宋体" w:hAnsi="宋体" w:eastAsia="宋体"/>
          <w:b/>
          <w:sz w:val="32"/>
          <w:szCs w:val="32"/>
        </w:rPr>
        <w:t>十四、关于2020年度预算绩效情况说明</w:t>
      </w:r>
    </w:p>
    <w:p>
      <w:pPr>
        <w:pStyle w:val="10"/>
        <w:ind w:left="420" w:leftChars="200" w:right="420" w:rightChars="200" w:firstLine="640" w:firstLineChars="200"/>
        <w:rPr>
          <w:rFonts w:ascii="宋体" w:hAnsi="宋体" w:eastAsia="宋体" w:cs="仿宋_GB2312"/>
          <w:b/>
          <w:bCs/>
          <w:sz w:val="32"/>
          <w:szCs w:val="32"/>
        </w:rPr>
      </w:pPr>
      <w:r>
        <w:rPr>
          <w:rFonts w:hint="eastAsia" w:ascii="宋体" w:hAnsi="宋体" w:eastAsia="宋体" w:cs="仿宋_GB2312"/>
          <w:b/>
          <w:bCs/>
          <w:sz w:val="32"/>
          <w:szCs w:val="32"/>
        </w:rPr>
        <w:t>（一）预算绩效管理工作开展情况</w:t>
      </w:r>
    </w:p>
    <w:p>
      <w:pPr>
        <w:pStyle w:val="13"/>
        <w:spacing w:line="560" w:lineRule="exact"/>
        <w:ind w:left="420" w:leftChars="200" w:right="420" w:rightChars="200" w:firstLine="640" w:firstLineChars="200"/>
        <w:jc w:val="left"/>
        <w:rPr>
          <w:rFonts w:ascii="宋体" w:hAnsi="宋体" w:cs="Times New Roman"/>
          <w:position w:val="2"/>
          <w:sz w:val="32"/>
          <w:szCs w:val="32"/>
        </w:rPr>
      </w:pPr>
      <w:r>
        <w:rPr>
          <w:rFonts w:ascii="宋体" w:hAnsi="宋体" w:cs="Times New Roman"/>
          <w:position w:val="2"/>
          <w:sz w:val="32"/>
          <w:szCs w:val="32"/>
        </w:rPr>
        <w:t>根据预算绩效管理的要求，我</w:t>
      </w:r>
      <w:r>
        <w:rPr>
          <w:rFonts w:hint="eastAsia" w:ascii="宋体" w:hAnsi="宋体" w:cs="Times New Roman"/>
          <w:position w:val="2"/>
          <w:sz w:val="32"/>
          <w:szCs w:val="32"/>
        </w:rPr>
        <w:t>会</w:t>
      </w:r>
      <w:r>
        <w:rPr>
          <w:rFonts w:ascii="宋体" w:hAnsi="宋体" w:cs="Times New Roman"/>
          <w:position w:val="2"/>
          <w:sz w:val="32"/>
          <w:szCs w:val="32"/>
        </w:rPr>
        <w:t>组织对20</w:t>
      </w:r>
      <w:r>
        <w:rPr>
          <w:rFonts w:hint="eastAsia" w:ascii="宋体" w:hAnsi="宋体" w:cs="Times New Roman"/>
          <w:position w:val="2"/>
          <w:sz w:val="32"/>
          <w:szCs w:val="32"/>
        </w:rPr>
        <w:t>20</w:t>
      </w:r>
      <w:r>
        <w:rPr>
          <w:rFonts w:ascii="宋体" w:hAnsi="宋体" w:cs="Times New Roman"/>
          <w:position w:val="2"/>
          <w:sz w:val="32"/>
          <w:szCs w:val="32"/>
        </w:rPr>
        <w:t>年度一般公共预算部门整体支出和专项资金使用情况开展了绩效自评，其中部门整体支出</w:t>
      </w:r>
      <w:r>
        <w:rPr>
          <w:rFonts w:hint="eastAsia" w:ascii="宋体" w:hAnsi="宋体" w:cs="Times New Roman"/>
          <w:position w:val="2"/>
          <w:sz w:val="32"/>
          <w:szCs w:val="32"/>
        </w:rPr>
        <w:t>581.17</w:t>
      </w:r>
      <w:r>
        <w:rPr>
          <w:rFonts w:ascii="宋体" w:hAnsi="宋体" w:cs="Times New Roman"/>
          <w:position w:val="2"/>
          <w:sz w:val="32"/>
          <w:szCs w:val="32"/>
        </w:rPr>
        <w:t>万元，从评价情况来看，各项目立项符合相关管理规定，程序规范有序，绩效目标设置合理，通过项目实施，较好的完成了年初设定的各项工作目标。</w:t>
      </w:r>
    </w:p>
    <w:p>
      <w:pPr>
        <w:pStyle w:val="13"/>
        <w:numPr>
          <w:ilvl w:val="0"/>
          <w:numId w:val="1"/>
        </w:numPr>
        <w:spacing w:line="560" w:lineRule="exact"/>
        <w:ind w:left="420" w:leftChars="200" w:right="420" w:rightChars="200" w:firstLine="640" w:firstLineChars="200"/>
        <w:jc w:val="left"/>
        <w:rPr>
          <w:rFonts w:ascii="宋体" w:hAnsi="宋体" w:cs="Times New Roman"/>
          <w:b/>
          <w:bCs/>
          <w:position w:val="2"/>
          <w:sz w:val="32"/>
          <w:szCs w:val="32"/>
        </w:rPr>
      </w:pPr>
      <w:r>
        <w:rPr>
          <w:rFonts w:ascii="宋体" w:hAnsi="宋体" w:cs="Times New Roman"/>
          <w:b/>
          <w:bCs/>
          <w:position w:val="2"/>
          <w:sz w:val="32"/>
          <w:szCs w:val="32"/>
        </w:rPr>
        <w:t>绩效自评结果</w:t>
      </w:r>
    </w:p>
    <w:p>
      <w:pPr>
        <w:widowControl/>
        <w:ind w:left="420" w:leftChars="200" w:right="420" w:rightChars="200" w:firstLine="640" w:firstLineChars="200"/>
        <w:jc w:val="left"/>
        <w:rPr>
          <w:rFonts w:ascii="宋体" w:hAnsi="宋体" w:eastAsia="宋体"/>
          <w:b/>
          <w:sz w:val="32"/>
          <w:szCs w:val="32"/>
        </w:rPr>
      </w:pPr>
      <w:r>
        <w:rPr>
          <w:rFonts w:asciiTheme="minorEastAsia" w:hAnsiTheme="minorEastAsia"/>
          <w:sz w:val="32"/>
          <w:szCs w:val="32"/>
        </w:rPr>
        <w:t xml:space="preserve">2020 </w:t>
      </w:r>
      <w:r>
        <w:rPr>
          <w:rFonts w:hint="eastAsia" w:asciiTheme="minorEastAsia" w:hAnsiTheme="minorEastAsia"/>
          <w:sz w:val="32"/>
          <w:szCs w:val="32"/>
        </w:rPr>
        <w:t>年，在县委、县政府的坚强领导下，我会坚持以习近平新时代中国特色社会主义思想为指导，认真落实中央和省委、省政府重大决策部署，以强化执行力、提升创新力、增强凝聚力为抓手，圆满完成了各项工作任务，在服务省政府统筹推进全省常态化疫情防控和经济社会发展等方面作出了积极贡献，根据部门整体支出绩效评价指标，部门整体支出绩效得分</w:t>
      </w:r>
      <w:r>
        <w:rPr>
          <w:rFonts w:hint="eastAsia"/>
          <w:sz w:val="28"/>
          <w:szCs w:val="28"/>
        </w:rPr>
        <w:t>95</w:t>
      </w:r>
      <w:r>
        <w:rPr>
          <w:rFonts w:hint="eastAsia" w:asciiTheme="minorEastAsia" w:hAnsiTheme="minorEastAsia"/>
          <w:sz w:val="32"/>
          <w:szCs w:val="32"/>
        </w:rPr>
        <w:t>分。从评价情况来看，预算执行有效，完成情况较好，基本达到预算绩效目标。</w:t>
      </w:r>
    </w:p>
    <w:p>
      <w:pPr>
        <w:ind w:left="420" w:leftChars="200" w:right="420" w:rightChars="200" w:firstLine="640" w:firstLineChars="200"/>
        <w:jc w:val="left"/>
        <w:rPr>
          <w:rFonts w:ascii="宋体" w:hAnsi="宋体" w:eastAsia="宋体" w:cs="黑体"/>
          <w:i/>
          <w:color w:val="FF0000"/>
          <w:kern w:val="0"/>
          <w:sz w:val="32"/>
          <w:szCs w:val="32"/>
        </w:rPr>
      </w:pPr>
    </w:p>
    <w:p>
      <w:pPr>
        <w:ind w:firstLine="640" w:firstLineChars="200"/>
        <w:rPr>
          <w:rFonts w:ascii="宋体" w:hAnsi="宋体" w:eastAsia="宋体" w:cs="黑体"/>
          <w:b/>
          <w:color w:val="000000"/>
          <w:kern w:val="0"/>
          <w:sz w:val="32"/>
          <w:szCs w:val="32"/>
        </w:rPr>
      </w:pPr>
    </w:p>
    <w:p>
      <w:pPr>
        <w:widowControl/>
        <w:ind w:firstLine="217" w:firstLineChars="68"/>
        <w:jc w:val="left"/>
        <w:rPr>
          <w:rFonts w:ascii="宋体" w:hAnsi="宋体" w:eastAsia="宋体" w:cs="黑体"/>
          <w:color w:val="000000"/>
          <w:kern w:val="0"/>
          <w:sz w:val="32"/>
          <w:szCs w:val="32"/>
        </w:rPr>
      </w:pPr>
    </w:p>
    <w:p>
      <w:pPr>
        <w:ind w:firstLine="640" w:firstLineChars="200"/>
        <w:rPr>
          <w:rFonts w:ascii="宋体" w:hAnsi="宋体" w:eastAsia="宋体" w:cs="黑体"/>
          <w:color w:val="000000"/>
          <w:kern w:val="0"/>
          <w:sz w:val="32"/>
          <w:szCs w:val="3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r>
        <w:rPr>
          <w:rFonts w:hint="eastAsia" w:ascii="宋体" w:hAnsi="宋体" w:eastAsia="宋体"/>
          <w:sz w:val="72"/>
          <w:szCs w:val="72"/>
        </w:rPr>
        <w:t>第四部分</w:t>
      </w:r>
    </w:p>
    <w:p>
      <w:pPr>
        <w:jc w:val="center"/>
        <w:rPr>
          <w:rFonts w:ascii="宋体" w:hAnsi="宋体" w:eastAsia="宋体" w:cs="黑体"/>
          <w:color w:val="000000"/>
          <w:kern w:val="0"/>
          <w:sz w:val="70"/>
          <w:szCs w:val="70"/>
        </w:rPr>
      </w:pPr>
    </w:p>
    <w:p>
      <w:pPr>
        <w:jc w:val="center"/>
        <w:rPr>
          <w:rFonts w:ascii="宋体" w:hAnsi="宋体" w:eastAsia="宋体" w:cs="黑体"/>
          <w:color w:val="000000"/>
          <w:kern w:val="0"/>
          <w:sz w:val="70"/>
          <w:szCs w:val="70"/>
        </w:rPr>
      </w:pPr>
      <w:r>
        <w:rPr>
          <w:rFonts w:hint="eastAsia" w:ascii="宋体" w:hAnsi="宋体" w:eastAsia="宋体" w:cs="黑体"/>
          <w:color w:val="000000"/>
          <w:kern w:val="0"/>
          <w:sz w:val="70"/>
          <w:szCs w:val="70"/>
        </w:rPr>
        <w:t>名词解释</w:t>
      </w:r>
    </w:p>
    <w:p>
      <w:pPr>
        <w:widowControl/>
        <w:jc w:val="left"/>
        <w:rPr>
          <w:rFonts w:ascii="宋体" w:hAnsi="宋体" w:eastAsia="宋体" w:cs="黑体"/>
          <w:color w:val="000000"/>
          <w:kern w:val="0"/>
          <w:sz w:val="70"/>
          <w:szCs w:val="70"/>
        </w:rPr>
      </w:pPr>
      <w:r>
        <w:rPr>
          <w:rFonts w:ascii="宋体" w:hAnsi="宋体" w:eastAsia="宋体" w:cs="黑体"/>
          <w:color w:val="000000"/>
          <w:kern w:val="0"/>
          <w:sz w:val="70"/>
          <w:szCs w:val="70"/>
        </w:rPr>
        <w:br w:type="page"/>
      </w:r>
    </w:p>
    <w:p>
      <w:pPr>
        <w:widowControl/>
        <w:ind w:left="420" w:leftChars="200" w:right="420" w:rightChars="200" w:firstLine="640" w:firstLineChars="200"/>
        <w:jc w:val="left"/>
        <w:rPr>
          <w:rFonts w:ascii="宋体" w:hAnsi="宋体" w:eastAsia="宋体" w:cs="宋体"/>
          <w:color w:val="333333"/>
          <w:sz w:val="32"/>
          <w:szCs w:val="32"/>
        </w:rPr>
      </w:pPr>
      <w:r>
        <w:rPr>
          <w:rFonts w:hint="eastAsia" w:ascii="宋体" w:hAnsi="宋体" w:eastAsia="宋体" w:cs="宋体"/>
          <w:color w:val="333333"/>
          <w:sz w:val="32"/>
          <w:szCs w:val="32"/>
        </w:rPr>
        <w:t>一、财政拨款收入：指财政部门核拨给单位的财政预算资金。</w:t>
      </w:r>
    </w:p>
    <w:p>
      <w:pPr>
        <w:widowControl/>
        <w:ind w:left="420" w:leftChars="200" w:right="420" w:rightChars="200"/>
        <w:jc w:val="left"/>
        <w:rPr>
          <w:rFonts w:ascii="宋体" w:hAnsi="宋体" w:eastAsia="宋体" w:cs="宋体"/>
          <w:color w:val="000000"/>
          <w:kern w:val="0"/>
          <w:sz w:val="32"/>
          <w:szCs w:val="32"/>
        </w:rPr>
      </w:pPr>
      <w:r>
        <w:rPr>
          <w:rFonts w:hint="eastAsia" w:ascii="宋体" w:hAnsi="宋体" w:eastAsia="宋体" w:cs="宋体"/>
          <w:color w:val="333333"/>
          <w:sz w:val="32"/>
          <w:szCs w:val="32"/>
        </w:rPr>
        <w:t xml:space="preserve">    二、事业收入：指事业单位开展专业业务活动及辅助活动所取得的收入。 </w:t>
      </w:r>
    </w:p>
    <w:p>
      <w:pPr>
        <w:pStyle w:val="5"/>
        <w:shd w:val="clear" w:color="auto" w:fill="FFFFFF"/>
        <w:spacing w:before="0" w:beforeAutospacing="0" w:after="0" w:afterAutospacing="0"/>
        <w:ind w:left="420" w:leftChars="200" w:right="420" w:rightChars="200"/>
        <w:rPr>
          <w:color w:val="333333"/>
          <w:sz w:val="32"/>
          <w:szCs w:val="32"/>
        </w:rPr>
      </w:pPr>
      <w:r>
        <w:rPr>
          <w:rFonts w:hint="eastAsia"/>
          <w:color w:val="333333"/>
          <w:sz w:val="32"/>
          <w:szCs w:val="32"/>
        </w:rPr>
        <w:t xml:space="preserve">    三、附属单位上缴收入：指事业单位附属独立核算单位按有关规定上缴的收入。 </w:t>
      </w:r>
    </w:p>
    <w:p>
      <w:pPr>
        <w:pStyle w:val="5"/>
        <w:shd w:val="clear" w:color="auto" w:fill="FFFFFF"/>
        <w:spacing w:before="0" w:beforeAutospacing="0" w:after="0" w:afterAutospacing="0"/>
        <w:ind w:left="420" w:leftChars="200" w:right="420" w:rightChars="200"/>
        <w:rPr>
          <w:color w:val="333333"/>
          <w:sz w:val="32"/>
          <w:szCs w:val="32"/>
        </w:rPr>
      </w:pPr>
      <w:r>
        <w:rPr>
          <w:rFonts w:hint="eastAsia"/>
          <w:color w:val="333333"/>
          <w:sz w:val="32"/>
          <w:szCs w:val="32"/>
        </w:rPr>
        <w:t xml:space="preserve">    四、其他收入：指单位取得的除上述“财政拨款收入”、“事业收入”、“附属单位上缴收入”等以外的收入。 </w:t>
      </w:r>
    </w:p>
    <w:p>
      <w:pPr>
        <w:pStyle w:val="5"/>
        <w:shd w:val="clear" w:color="auto" w:fill="FFFFFF"/>
        <w:spacing w:before="0" w:beforeAutospacing="0" w:after="0" w:afterAutospacing="0"/>
        <w:ind w:left="420" w:leftChars="200" w:right="420" w:rightChars="200"/>
        <w:rPr>
          <w:color w:val="333333"/>
          <w:sz w:val="32"/>
          <w:szCs w:val="32"/>
        </w:rPr>
      </w:pPr>
      <w:r>
        <w:rPr>
          <w:rFonts w:hint="eastAsia"/>
          <w:color w:val="333333"/>
          <w:sz w:val="32"/>
          <w:szCs w:val="32"/>
        </w:rPr>
        <w:t xml:space="preserve">    五、年初结转和结余：指以前年度尚未完成、结转到本年仍按有关规定继续使用的资金。 </w:t>
      </w:r>
    </w:p>
    <w:p>
      <w:pPr>
        <w:pStyle w:val="5"/>
        <w:shd w:val="clear" w:color="auto" w:fill="FFFFFF"/>
        <w:spacing w:before="0" w:beforeAutospacing="0" w:after="0" w:afterAutospacing="0"/>
        <w:ind w:left="420" w:leftChars="200" w:right="420" w:rightChars="200"/>
        <w:rPr>
          <w:color w:val="333333"/>
          <w:sz w:val="32"/>
          <w:szCs w:val="32"/>
        </w:rPr>
      </w:pPr>
      <w:r>
        <w:rPr>
          <w:rFonts w:hint="eastAsia"/>
          <w:color w:val="333333"/>
          <w:sz w:val="32"/>
          <w:szCs w:val="32"/>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beforeAutospacing="0" w:after="0" w:afterAutospacing="0"/>
        <w:ind w:left="420" w:leftChars="200" w:right="420" w:rightChars="200"/>
        <w:rPr>
          <w:color w:val="333333"/>
          <w:sz w:val="32"/>
          <w:szCs w:val="32"/>
        </w:rPr>
      </w:pPr>
      <w:r>
        <w:rPr>
          <w:rFonts w:hint="eastAsia"/>
          <w:color w:val="333333"/>
          <w:sz w:val="32"/>
          <w:szCs w:val="32"/>
        </w:rPr>
        <w:t xml:space="preserve">    七、结余分配：指事业单位按规定提取的职工福利基金、事业基金和缴纳的所得税，以及建设单位按规定应交回的基本建设竣工项目结余资金。 </w:t>
      </w:r>
    </w:p>
    <w:p>
      <w:pPr>
        <w:pStyle w:val="5"/>
        <w:shd w:val="clear" w:color="auto" w:fill="FFFFFF"/>
        <w:spacing w:before="0" w:beforeAutospacing="0" w:after="0" w:afterAutospacing="0"/>
        <w:ind w:left="420" w:leftChars="200" w:right="420" w:rightChars="200"/>
        <w:rPr>
          <w:color w:val="333333"/>
          <w:sz w:val="32"/>
          <w:szCs w:val="32"/>
        </w:rPr>
      </w:pPr>
      <w:r>
        <w:rPr>
          <w:rFonts w:hint="eastAsia"/>
          <w:color w:val="333333"/>
          <w:sz w:val="32"/>
          <w:szCs w:val="32"/>
        </w:rPr>
        <w:t xml:space="preserve">    八、年末结转和结余：指本年度或以前年度预算安排、因客观条件发生变化无法按原计划实施，需延迟到以后年度按有关规定继续使用的资金。 </w:t>
      </w:r>
    </w:p>
    <w:p>
      <w:pPr>
        <w:pStyle w:val="5"/>
        <w:shd w:val="clear" w:color="auto" w:fill="FFFFFF"/>
        <w:spacing w:before="0" w:beforeAutospacing="0" w:after="0" w:afterAutospacing="0"/>
        <w:ind w:left="420" w:leftChars="200" w:right="420" w:rightChars="200"/>
        <w:rPr>
          <w:color w:val="333333"/>
          <w:sz w:val="32"/>
          <w:szCs w:val="32"/>
        </w:rPr>
      </w:pPr>
      <w:r>
        <w:rPr>
          <w:rFonts w:hint="eastAsia"/>
          <w:color w:val="333333"/>
          <w:sz w:val="32"/>
          <w:szCs w:val="32"/>
        </w:rPr>
        <w:t xml:space="preserve">    九、基本支出：指为保障机构正常运转、完成日常工作任务而发生的人员支出和公用支出。 </w:t>
      </w:r>
    </w:p>
    <w:p>
      <w:pPr>
        <w:pStyle w:val="5"/>
        <w:shd w:val="clear" w:color="auto" w:fill="FFFFFF"/>
        <w:spacing w:before="0" w:beforeAutospacing="0" w:after="0" w:afterAutospacing="0"/>
        <w:ind w:left="420" w:leftChars="200" w:right="420" w:rightChars="200"/>
        <w:rPr>
          <w:color w:val="333333"/>
          <w:sz w:val="32"/>
          <w:szCs w:val="32"/>
        </w:rPr>
      </w:pPr>
      <w:r>
        <w:rPr>
          <w:rFonts w:hint="eastAsia"/>
          <w:color w:val="333333"/>
          <w:sz w:val="32"/>
          <w:szCs w:val="32"/>
        </w:rPr>
        <w:t xml:space="preserve">    十、项目支出：指在基本支出之外，为完成特定行政任务和事业发展目标所发生的支出。 </w:t>
      </w:r>
    </w:p>
    <w:p>
      <w:pPr>
        <w:pStyle w:val="5"/>
        <w:shd w:val="clear" w:color="auto" w:fill="FFFFFF"/>
        <w:spacing w:before="0" w:beforeAutospacing="0" w:after="0" w:afterAutospacing="0"/>
        <w:ind w:left="420" w:leftChars="200" w:right="420" w:rightChars="200"/>
        <w:rPr>
          <w:color w:val="333333"/>
          <w:sz w:val="32"/>
          <w:szCs w:val="32"/>
        </w:rPr>
      </w:pPr>
      <w:r>
        <w:rPr>
          <w:rFonts w:hint="eastAsia"/>
          <w:color w:val="333333"/>
          <w:sz w:val="32"/>
          <w:szCs w:val="32"/>
        </w:rPr>
        <w:t xml:space="preserve">    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widowControl/>
        <w:ind w:left="420" w:leftChars="200" w:right="420" w:rightChars="200"/>
        <w:jc w:val="left"/>
        <w:rPr>
          <w:rFonts w:asciiTheme="minorEastAsia" w:hAnsiTheme="minorEastAsia"/>
          <w:i/>
          <w:color w:val="FF0000"/>
          <w:sz w:val="32"/>
          <w:szCs w:val="32"/>
        </w:rPr>
      </w:pPr>
      <w:r>
        <w:rPr>
          <w:rFonts w:hint="eastAsia" w:ascii="宋体" w:hAnsi="宋体" w:eastAsia="宋体" w:cs="宋体"/>
          <w:color w:val="333333"/>
          <w:sz w:val="32"/>
          <w:szCs w:val="32"/>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r>
        <w:rPr>
          <w:rFonts w:asciiTheme="minorEastAsia" w:hAnsiTheme="minorEastAsia"/>
          <w:i/>
          <w:color w:val="FF0000"/>
          <w:sz w:val="32"/>
          <w:szCs w:val="32"/>
        </w:rPr>
        <w:br w:type="page"/>
      </w:r>
    </w:p>
    <w:p>
      <w:pPr>
        <w:ind w:firstLine="640" w:firstLineChars="200"/>
        <w:jc w:val="left"/>
        <w:rPr>
          <w:rFonts w:ascii="宋体" w:hAnsi="宋体" w:eastAsia="宋体" w:cs="黑体"/>
          <w:color w:val="000000"/>
          <w:kern w:val="0"/>
          <w:sz w:val="32"/>
          <w:szCs w:val="3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p>
    <w:p>
      <w:pPr>
        <w:pStyle w:val="10"/>
        <w:jc w:val="center"/>
        <w:rPr>
          <w:rFonts w:ascii="宋体" w:hAnsi="宋体" w:eastAsia="宋体"/>
          <w:sz w:val="72"/>
          <w:szCs w:val="72"/>
        </w:rPr>
      </w:pPr>
      <w:r>
        <w:rPr>
          <w:rFonts w:hint="eastAsia" w:ascii="宋体" w:hAnsi="宋体" w:eastAsia="宋体"/>
          <w:sz w:val="72"/>
          <w:szCs w:val="72"/>
        </w:rPr>
        <w:t>第五部分</w:t>
      </w:r>
    </w:p>
    <w:p>
      <w:pPr>
        <w:jc w:val="center"/>
        <w:rPr>
          <w:rFonts w:ascii="宋体" w:hAnsi="宋体" w:eastAsia="宋体" w:cs="黑体"/>
          <w:color w:val="000000"/>
          <w:kern w:val="0"/>
          <w:sz w:val="70"/>
          <w:szCs w:val="70"/>
        </w:rPr>
      </w:pPr>
    </w:p>
    <w:p>
      <w:pPr>
        <w:jc w:val="center"/>
        <w:rPr>
          <w:rFonts w:ascii="宋体" w:hAnsi="宋体" w:eastAsia="宋体" w:cs="黑体"/>
          <w:color w:val="000000"/>
          <w:kern w:val="0"/>
          <w:sz w:val="70"/>
          <w:szCs w:val="70"/>
        </w:rPr>
      </w:pPr>
      <w:r>
        <w:rPr>
          <w:rFonts w:hint="eastAsia" w:ascii="宋体" w:hAnsi="宋体" w:eastAsia="宋体" w:cs="黑体"/>
          <w:color w:val="000000"/>
          <w:kern w:val="0"/>
          <w:sz w:val="70"/>
          <w:szCs w:val="70"/>
        </w:rPr>
        <w:t>附件</w:t>
      </w:r>
    </w:p>
    <w:p>
      <w:pPr>
        <w:widowControl/>
        <w:jc w:val="left"/>
        <w:rPr>
          <w:rFonts w:ascii="宋体" w:hAnsi="宋体" w:eastAsia="宋体" w:cs="黑体"/>
          <w:color w:val="000000"/>
          <w:kern w:val="0"/>
          <w:sz w:val="70"/>
          <w:szCs w:val="70"/>
        </w:rPr>
      </w:pPr>
      <w:r>
        <w:rPr>
          <w:rFonts w:ascii="宋体" w:hAnsi="宋体" w:eastAsia="宋体" w:cs="黑体"/>
          <w:color w:val="000000"/>
          <w:kern w:val="0"/>
          <w:sz w:val="70"/>
          <w:szCs w:val="70"/>
        </w:rPr>
        <w:br w:type="page"/>
      </w:r>
    </w:p>
    <w:p>
      <w:pPr>
        <w:adjustRightInd w:val="0"/>
        <w:spacing w:line="520" w:lineRule="exact"/>
        <w:jc w:val="center"/>
        <w:rPr>
          <w:rFonts w:ascii="华文中宋" w:hAnsi="华文中宋" w:eastAsia="华文中宋"/>
          <w:sz w:val="44"/>
          <w:szCs w:val="44"/>
        </w:rPr>
      </w:pPr>
      <w:r>
        <w:rPr>
          <w:rFonts w:hint="eastAsia" w:ascii="宋体" w:hAnsi="宋体" w:eastAsia="宋体" w:cs="黑体"/>
          <w:color w:val="000000"/>
          <w:kern w:val="0"/>
          <w:sz w:val="70"/>
          <w:szCs w:val="70"/>
        </w:rPr>
        <w:tab/>
      </w:r>
      <w:r>
        <w:rPr>
          <w:rFonts w:ascii="微软雅黑" w:hAnsi="微软雅黑" w:eastAsia="微软雅黑" w:cs="微软雅黑"/>
          <w:sz w:val="44"/>
          <w:szCs w:val="44"/>
        </w:rPr>
        <w:t>衡南县总工会整体支出绩效报告</w:t>
      </w:r>
    </w:p>
    <w:p>
      <w:pPr>
        <w:adjustRightInd w:val="0"/>
        <w:spacing w:line="520" w:lineRule="exact"/>
        <w:rPr>
          <w:rFonts w:eastAsia="仿宋_GB2312"/>
          <w:sz w:val="32"/>
          <w:szCs w:val="32"/>
        </w:rPr>
      </w:pPr>
    </w:p>
    <w:p>
      <w:pPr>
        <w:spacing w:line="600" w:lineRule="exact"/>
        <w:ind w:left="420" w:leftChars="200" w:right="420" w:rightChars="200" w:firstLine="640" w:firstLineChars="200"/>
        <w:rPr>
          <w:rFonts w:ascii="仿宋" w:hAnsi="仿宋" w:eastAsia="仿宋"/>
          <w:sz w:val="32"/>
          <w:szCs w:val="32"/>
        </w:rPr>
      </w:pPr>
      <w:r>
        <w:rPr>
          <w:rFonts w:hint="eastAsia" w:ascii="仿宋" w:hAnsi="仿宋" w:eastAsia="仿宋"/>
          <w:sz w:val="32"/>
          <w:szCs w:val="32"/>
        </w:rPr>
        <w:t>为加强财政预算资金的管理，进一步规范预算资金的使用，提高财政资金的使用效益，根据《衡南县财政局关于开展2020年度县级财政资金绩效自评工作的通知》要求，我会对2020年度本单位整体支出进行了绩效自评，现将具体情况报告如下：</w:t>
      </w:r>
      <w:r>
        <w:rPr>
          <w:rFonts w:hint="eastAsia" w:eastAsia="仿宋"/>
          <w:sz w:val="32"/>
          <w:szCs w:val="32"/>
        </w:rPr>
        <w:t>          </w:t>
      </w:r>
    </w:p>
    <w:p>
      <w:pPr>
        <w:adjustRightInd w:val="0"/>
        <w:snapToGrid w:val="0"/>
        <w:spacing w:line="660" w:lineRule="exact"/>
        <w:ind w:left="420" w:leftChars="200" w:right="420" w:rightChars="200" w:firstLine="640" w:firstLineChars="200"/>
        <w:rPr>
          <w:rFonts w:ascii="黑体" w:eastAsia="黑体"/>
          <w:sz w:val="32"/>
          <w:szCs w:val="32"/>
        </w:rPr>
      </w:pPr>
      <w:r>
        <w:rPr>
          <w:rFonts w:hint="eastAsia" w:ascii="黑体" w:eastAsia="黑体"/>
          <w:sz w:val="32"/>
          <w:szCs w:val="32"/>
        </w:rPr>
        <w:t>一、部门</w:t>
      </w:r>
      <w:r>
        <w:rPr>
          <w:rFonts w:ascii="黑体" w:eastAsia="黑体"/>
          <w:sz w:val="32"/>
          <w:szCs w:val="32"/>
        </w:rPr>
        <w:t>概况</w:t>
      </w:r>
    </w:p>
    <w:p>
      <w:pPr>
        <w:spacing w:line="660" w:lineRule="exact"/>
        <w:ind w:left="420" w:leftChars="200" w:right="420" w:rightChars="200" w:firstLine="624" w:firstLineChars="200"/>
        <w:rPr>
          <w:rFonts w:ascii="仿宋_GB2312" w:eastAsia="仿宋_GB2312"/>
          <w:color w:val="000000"/>
          <w:spacing w:val="-4"/>
          <w:sz w:val="32"/>
          <w:szCs w:val="32"/>
        </w:rPr>
      </w:pPr>
      <w:r>
        <w:rPr>
          <w:rFonts w:hint="eastAsia" w:ascii="仿宋_GB2312" w:eastAsia="仿宋_GB2312"/>
          <w:color w:val="000000"/>
          <w:spacing w:val="-4"/>
          <w:sz w:val="32"/>
          <w:szCs w:val="32"/>
        </w:rPr>
        <w:t>县总工会主要职责是组织和指导全县各级工会认真履行工会“维护、建设、参与、教育”等社会职能，开展各项工作和活动。现有在职人员12人（其中行政编制8人，全额事业编制3人，差额事业编制1人），离退休人员8人</w:t>
      </w:r>
      <w:r>
        <w:rPr>
          <w:rFonts w:hint="eastAsia" w:ascii="仿宋_GB2312" w:eastAsia="仿宋_GB2312"/>
          <w:spacing w:val="-16"/>
          <w:sz w:val="32"/>
          <w:szCs w:val="32"/>
        </w:rPr>
        <w:t>。</w:t>
      </w:r>
      <w:r>
        <w:rPr>
          <w:rFonts w:hint="eastAsia" w:ascii="仿宋_GB2312" w:eastAsia="仿宋_GB2312"/>
          <w:color w:val="000000"/>
          <w:spacing w:val="-4"/>
          <w:sz w:val="32"/>
          <w:szCs w:val="32"/>
        </w:rPr>
        <w:t>内设办公室、职工权益和服务保障部、基层工作和经济服务部、财务资产部四个部室，设有困难职工帮扶中心二级机构。</w:t>
      </w:r>
    </w:p>
    <w:p>
      <w:pPr>
        <w:spacing w:line="660" w:lineRule="exact"/>
        <w:ind w:left="420" w:leftChars="200" w:right="420" w:rightChars="200" w:firstLine="640" w:firstLineChars="200"/>
        <w:rPr>
          <w:rFonts w:ascii="黑体" w:eastAsia="黑体"/>
          <w:sz w:val="32"/>
          <w:szCs w:val="32"/>
        </w:rPr>
      </w:pPr>
      <w:r>
        <w:rPr>
          <w:rFonts w:hint="eastAsia" w:ascii="黑体" w:eastAsia="黑体"/>
          <w:sz w:val="32"/>
          <w:szCs w:val="32"/>
        </w:rPr>
        <w:t xml:space="preserve"> 二、部门整体支出</w:t>
      </w:r>
      <w:r>
        <w:rPr>
          <w:rFonts w:ascii="黑体" w:eastAsia="黑体"/>
          <w:sz w:val="32"/>
          <w:szCs w:val="32"/>
        </w:rPr>
        <w:t>管理及使用情况</w:t>
      </w:r>
    </w:p>
    <w:p>
      <w:pPr>
        <w:spacing w:line="560" w:lineRule="exact"/>
        <w:ind w:left="420" w:leftChars="200" w:right="420" w:rightChars="200" w:firstLine="640" w:firstLineChars="200"/>
        <w:rPr>
          <w:rFonts w:ascii="仿宋" w:hAnsi="仿宋" w:eastAsia="仿宋" w:cs="仿宋"/>
          <w:sz w:val="32"/>
          <w:szCs w:val="32"/>
        </w:rPr>
      </w:pPr>
      <w:r>
        <w:rPr>
          <w:rFonts w:hint="eastAsia" w:ascii="仿宋_GB2312" w:hAnsi="仿宋" w:eastAsia="仿宋_GB2312"/>
          <w:b/>
          <w:sz w:val="32"/>
          <w:szCs w:val="32"/>
        </w:rPr>
        <w:t>（一）2020年部门预算情况</w:t>
      </w:r>
    </w:p>
    <w:p>
      <w:pPr>
        <w:spacing w:line="520" w:lineRule="exact"/>
        <w:ind w:left="420" w:leftChars="200" w:right="420" w:rightChars="200" w:firstLine="645"/>
        <w:rPr>
          <w:rFonts w:ascii="仿宋" w:hAnsi="仿宋" w:eastAsia="仿宋" w:cs="仿宋"/>
          <w:sz w:val="32"/>
          <w:szCs w:val="32"/>
        </w:rPr>
      </w:pPr>
      <w:r>
        <w:rPr>
          <w:rFonts w:hint="eastAsia" w:ascii="仿宋" w:hAnsi="仿宋" w:eastAsia="仿宋" w:cs="仿宋"/>
          <w:sz w:val="32"/>
          <w:szCs w:val="32"/>
        </w:rPr>
        <w:t>2020年初我单位财政支出预算批复数为：195.26万元，其中其中工资福利支出117.06万元，一般商品和服务支出7.20万元、对个人和家庭补助0万元、政府性基金收入0万元、专项商品和服务支出71.00万元。调整预算收入数为219.13万元，预算内调整23.87万元，变化原因主要是</w:t>
      </w:r>
      <w:r>
        <w:rPr>
          <w:rFonts w:hint="eastAsia" w:ascii="仿宋" w:hAnsi="仿宋" w:eastAsia="仿宋"/>
          <w:sz w:val="32"/>
          <w:szCs w:val="24"/>
        </w:rPr>
        <w:t>人员异动经费以及上级追加在职人员去世的抚恤金、丧葬费。</w:t>
      </w:r>
    </w:p>
    <w:p>
      <w:pPr>
        <w:spacing w:line="560" w:lineRule="exact"/>
        <w:ind w:left="420" w:leftChars="200" w:right="420" w:rightChars="200" w:firstLine="640" w:firstLineChars="200"/>
        <w:rPr>
          <w:rFonts w:ascii="仿宋_GB2312" w:hAnsi="仿宋" w:eastAsia="仿宋_GB2312"/>
          <w:b/>
          <w:sz w:val="32"/>
          <w:szCs w:val="32"/>
        </w:rPr>
      </w:pPr>
      <w:r>
        <w:rPr>
          <w:rFonts w:hint="eastAsia" w:ascii="仿宋_GB2312" w:hAnsi="仿宋" w:eastAsia="仿宋_GB2312"/>
          <w:b/>
          <w:sz w:val="32"/>
          <w:szCs w:val="32"/>
        </w:rPr>
        <w:t>（二）2020年部门决算情况</w:t>
      </w:r>
    </w:p>
    <w:p>
      <w:pPr>
        <w:ind w:left="420" w:leftChars="200" w:right="420" w:rightChars="200" w:firstLine="800" w:firstLineChars="250"/>
        <w:rPr>
          <w:rFonts w:ascii="仿宋" w:hAnsi="仿宋" w:eastAsia="仿宋_GB2312" w:cs="仿宋"/>
          <w:sz w:val="32"/>
          <w:szCs w:val="32"/>
        </w:rPr>
      </w:pPr>
      <w:r>
        <w:rPr>
          <w:rFonts w:hint="eastAsia" w:ascii="仿宋" w:hAnsi="仿宋" w:eastAsia="仿宋" w:cs="仿宋"/>
          <w:sz w:val="32"/>
          <w:szCs w:val="32"/>
        </w:rPr>
        <w:t>本年总收入219.13万元，</w:t>
      </w:r>
      <w:r>
        <w:rPr>
          <w:rFonts w:hint="eastAsia" w:ascii="仿宋_GB2312" w:hAnsi="仿宋" w:eastAsia="仿宋_GB2312" w:cs="仿宋"/>
          <w:color w:val="333333"/>
          <w:sz w:val="32"/>
          <w:szCs w:val="32"/>
        </w:rPr>
        <w:t>其中：财政拨款收入219.13万元，</w:t>
      </w:r>
    </w:p>
    <w:p>
      <w:pPr>
        <w:ind w:left="420" w:leftChars="200" w:right="420" w:rightChars="200" w:firstLine="800" w:firstLineChars="250"/>
        <w:rPr>
          <w:rFonts w:ascii="仿宋" w:hAnsi="仿宋" w:eastAsia="仿宋" w:cs="仿宋"/>
          <w:sz w:val="32"/>
          <w:szCs w:val="32"/>
        </w:rPr>
      </w:pPr>
      <w:r>
        <w:rPr>
          <w:rFonts w:hint="eastAsia" w:ascii="仿宋" w:hAnsi="仿宋" w:eastAsia="仿宋" w:cs="仿宋"/>
          <w:sz w:val="32"/>
          <w:szCs w:val="32"/>
        </w:rPr>
        <w:t>本年总支出219.13万元，其中：基本支出219.13万元（含人员经费150.26万元、公用经费46.63万元）,对个人和家庭补助22.24万元。</w:t>
      </w:r>
    </w:p>
    <w:p>
      <w:pPr>
        <w:spacing w:line="660" w:lineRule="exact"/>
        <w:ind w:left="420" w:leftChars="200" w:right="420" w:rightChars="200" w:firstLine="624" w:firstLineChars="200"/>
        <w:rPr>
          <w:rFonts w:ascii="仿宋_GB2312" w:eastAsia="仿宋_GB2312"/>
          <w:b/>
          <w:color w:val="000000"/>
          <w:spacing w:val="-4"/>
          <w:sz w:val="32"/>
          <w:szCs w:val="32"/>
        </w:rPr>
      </w:pPr>
      <w:r>
        <w:rPr>
          <w:rFonts w:hint="eastAsia" w:ascii="仿宋_GB2312" w:eastAsia="仿宋_GB2312"/>
          <w:b/>
          <w:color w:val="000000"/>
          <w:spacing w:val="-4"/>
          <w:sz w:val="32"/>
          <w:szCs w:val="32"/>
        </w:rPr>
        <w:t>（一）基本支出管理情况</w:t>
      </w:r>
    </w:p>
    <w:p>
      <w:pPr>
        <w:spacing w:line="660" w:lineRule="exact"/>
        <w:ind w:left="420" w:leftChars="200" w:right="420" w:rightChars="200" w:firstLine="624" w:firstLineChars="200"/>
        <w:rPr>
          <w:rFonts w:ascii="仿宋_GB2312" w:eastAsia="仿宋_GB2312"/>
          <w:color w:val="000000"/>
          <w:spacing w:val="-4"/>
          <w:sz w:val="32"/>
          <w:szCs w:val="32"/>
        </w:rPr>
      </w:pPr>
      <w:r>
        <w:rPr>
          <w:rFonts w:hint="eastAsia" w:ascii="仿宋_GB2312" w:eastAsia="仿宋_GB2312"/>
          <w:color w:val="000000"/>
          <w:spacing w:val="-4"/>
          <w:sz w:val="32"/>
          <w:szCs w:val="32"/>
        </w:rPr>
        <w:t>2020年基本支出为219.13万元，主要用于保障正常运转，完成日常工作任务而发生的各项支出,包括用于在职人员基本工资、津贴补贴等人员经费，对其他个人和家庭的补助，以及办公费、印刷费、水电费、办公设备购置等日常公用经费。</w:t>
      </w:r>
    </w:p>
    <w:p>
      <w:pPr>
        <w:spacing w:line="660" w:lineRule="exact"/>
        <w:ind w:left="420" w:leftChars="200" w:right="420" w:rightChars="200" w:firstLine="624" w:firstLineChars="200"/>
        <w:rPr>
          <w:rFonts w:ascii="仿宋_GB2312" w:eastAsia="仿宋_GB2312"/>
          <w:b/>
          <w:color w:val="000000"/>
          <w:spacing w:val="-4"/>
          <w:sz w:val="32"/>
          <w:szCs w:val="32"/>
        </w:rPr>
      </w:pPr>
      <w:r>
        <w:rPr>
          <w:rFonts w:hint="eastAsia" w:ascii="仿宋_GB2312" w:eastAsia="仿宋_GB2312"/>
          <w:b/>
          <w:color w:val="000000"/>
          <w:spacing w:val="-4"/>
          <w:sz w:val="32"/>
          <w:szCs w:val="32"/>
        </w:rPr>
        <w:t>（二）“三公经费”的支出使用和管理情况</w:t>
      </w:r>
    </w:p>
    <w:p>
      <w:pPr>
        <w:ind w:left="420" w:leftChars="200" w:right="420" w:rightChars="200" w:firstLine="624" w:firstLineChars="200"/>
        <w:rPr>
          <w:rFonts w:ascii="仿宋" w:hAnsi="仿宋" w:eastAsia="仿宋" w:cs="仿宋"/>
          <w:sz w:val="32"/>
          <w:szCs w:val="32"/>
        </w:rPr>
      </w:pPr>
      <w:r>
        <w:rPr>
          <w:rFonts w:hint="eastAsia" w:ascii="仿宋_GB2312" w:eastAsia="仿宋_GB2312"/>
          <w:color w:val="000000"/>
          <w:spacing w:val="-4"/>
          <w:sz w:val="32"/>
          <w:szCs w:val="32"/>
        </w:rPr>
        <w:t>我单位“三公经费”的使用均在控制范围内，比上年有所减少，</w:t>
      </w:r>
      <w:r>
        <w:rPr>
          <w:rFonts w:hint="eastAsia" w:ascii="仿宋" w:hAnsi="仿宋" w:eastAsia="仿宋" w:cs="仿宋"/>
          <w:sz w:val="32"/>
          <w:szCs w:val="32"/>
        </w:rPr>
        <w:t>单位已纳入公务用车改革。</w:t>
      </w:r>
    </w:p>
    <w:p>
      <w:pPr>
        <w:spacing w:line="660" w:lineRule="exact"/>
        <w:ind w:left="420" w:leftChars="200" w:right="420" w:rightChars="200" w:firstLine="640" w:firstLineChars="200"/>
        <w:rPr>
          <w:rFonts w:ascii="黑体" w:eastAsia="黑体"/>
          <w:sz w:val="32"/>
          <w:szCs w:val="32"/>
        </w:rPr>
      </w:pPr>
      <w:r>
        <w:rPr>
          <w:rFonts w:ascii="黑体" w:eastAsia="黑体"/>
          <w:sz w:val="32"/>
          <w:szCs w:val="32"/>
        </w:rPr>
        <w:t>三、</w:t>
      </w:r>
      <w:r>
        <w:rPr>
          <w:rFonts w:hint="eastAsia" w:ascii="黑体" w:eastAsia="黑体"/>
          <w:sz w:val="32"/>
          <w:szCs w:val="32"/>
        </w:rPr>
        <w:t>部门整体支出</w:t>
      </w:r>
      <w:r>
        <w:rPr>
          <w:rFonts w:ascii="黑体" w:eastAsia="黑体"/>
          <w:sz w:val="32"/>
          <w:szCs w:val="32"/>
        </w:rPr>
        <w:t>绩效情况</w:t>
      </w:r>
    </w:p>
    <w:p>
      <w:pPr>
        <w:spacing w:line="660" w:lineRule="exact"/>
        <w:ind w:left="420" w:leftChars="200" w:right="420" w:rightChars="200" w:firstLine="640" w:firstLineChars="200"/>
        <w:rPr>
          <w:rFonts w:ascii="微软雅黑" w:hAnsi="微软雅黑" w:eastAsia="微软雅黑" w:cs="宋体"/>
          <w:color w:val="010101"/>
          <w:kern w:val="0"/>
          <w:sz w:val="24"/>
          <w:szCs w:val="24"/>
        </w:rPr>
      </w:pPr>
      <w:r>
        <w:rPr>
          <w:rFonts w:hint="eastAsia" w:ascii="仿宋_GB2312" w:eastAsia="仿宋_GB2312"/>
          <w:color w:val="000000"/>
          <w:sz w:val="32"/>
          <w:szCs w:val="32"/>
        </w:rPr>
        <w:t>2020年，</w:t>
      </w:r>
      <w:r>
        <w:rPr>
          <w:rFonts w:hint="eastAsia" w:ascii="仿宋_GB2312" w:eastAsia="仿宋_GB2312"/>
          <w:color w:val="333333"/>
          <w:sz w:val="32"/>
          <w:szCs w:val="32"/>
        </w:rPr>
        <w:t>我单位整体支出情况较好，预算编制比较合理，财务制度健全且执行情况良好，在职责履行上收效较为明显</w:t>
      </w:r>
      <w:r>
        <w:rPr>
          <w:rFonts w:hint="eastAsia" w:ascii="仿宋_GB2312" w:eastAsia="仿宋_GB2312"/>
          <w:color w:val="000000"/>
          <w:sz w:val="32"/>
          <w:szCs w:val="32"/>
        </w:rPr>
        <w:t>，</w:t>
      </w:r>
      <w:r>
        <w:rPr>
          <w:rFonts w:hint="eastAsia" w:ascii="仿宋_GB2312" w:eastAsia="仿宋_GB2312"/>
          <w:color w:val="333333"/>
          <w:sz w:val="32"/>
          <w:szCs w:val="32"/>
        </w:rPr>
        <w:t>为全县工会工作顺利开展提供了有力保障</w:t>
      </w:r>
      <w:r>
        <w:rPr>
          <w:rFonts w:hint="eastAsia" w:ascii="仿宋_GB2312" w:eastAsia="仿宋_GB2312"/>
          <w:color w:val="000000"/>
          <w:sz w:val="32"/>
          <w:szCs w:val="32"/>
        </w:rPr>
        <w:t>。</w:t>
      </w:r>
    </w:p>
    <w:p>
      <w:pPr>
        <w:spacing w:line="660" w:lineRule="exact"/>
        <w:ind w:left="420" w:leftChars="200" w:right="420" w:rightChars="200" w:firstLine="640" w:firstLineChars="200"/>
        <w:rPr>
          <w:rFonts w:ascii="宋体" w:hAnsi="宋体"/>
          <w:color w:val="000000"/>
          <w:kern w:val="0"/>
          <w:sz w:val="24"/>
          <w:szCs w:val="24"/>
        </w:rPr>
      </w:pPr>
      <w:r>
        <w:rPr>
          <w:rFonts w:hint="eastAsia" w:ascii="仿宋_GB2312" w:hAnsi="微软雅黑" w:eastAsia="仿宋_GB2312" w:cs="宋体"/>
          <w:color w:val="010101"/>
          <w:kern w:val="0"/>
          <w:sz w:val="32"/>
          <w:szCs w:val="32"/>
        </w:rPr>
        <w:t>1、</w:t>
      </w:r>
      <w:r>
        <w:rPr>
          <w:rFonts w:hint="eastAsia" w:ascii="仿宋_GB2312" w:hAnsi="宋体" w:eastAsia="仿宋_GB2312" w:cs="宋体"/>
          <w:color w:val="000000"/>
          <w:sz w:val="32"/>
          <w:szCs w:val="32"/>
        </w:rPr>
        <w:t>在确保人员工资、日常公用经费的正常开支基础上，保证重点支出，压缩一般消费性支出，尤其严控“三公”经费支出，</w:t>
      </w:r>
      <w:r>
        <w:rPr>
          <w:rFonts w:hint="eastAsia" w:ascii="仿宋_GB2312" w:hAnsi="微软雅黑" w:eastAsia="仿宋_GB2312" w:cs="宋体"/>
          <w:color w:val="010101"/>
          <w:kern w:val="0"/>
          <w:sz w:val="32"/>
          <w:szCs w:val="32"/>
        </w:rPr>
        <w:t>“三公”经费预算总额未突破上年</w:t>
      </w:r>
      <w:r>
        <w:rPr>
          <w:rFonts w:hint="eastAsia" w:ascii="仿宋_GB2312" w:hAnsi="宋体" w:eastAsia="仿宋_GB2312" w:cs="宋体"/>
          <w:color w:val="000000"/>
          <w:sz w:val="32"/>
          <w:szCs w:val="32"/>
        </w:rPr>
        <w:t>。</w:t>
      </w:r>
    </w:p>
    <w:p>
      <w:pPr>
        <w:spacing w:line="660" w:lineRule="exact"/>
        <w:ind w:left="420" w:leftChars="200" w:right="420" w:rightChars="200" w:firstLine="640" w:firstLineChars="200"/>
        <w:rPr>
          <w:rFonts w:ascii="宋体" w:hAnsi="宋体"/>
          <w:color w:val="000000"/>
          <w:kern w:val="0"/>
          <w:sz w:val="24"/>
          <w:szCs w:val="24"/>
        </w:rPr>
      </w:pPr>
      <w:r>
        <w:rPr>
          <w:rFonts w:hint="eastAsia" w:ascii="仿宋_GB2312" w:hAnsi="微软雅黑" w:eastAsia="仿宋_GB2312" w:cs="宋体"/>
          <w:color w:val="010101"/>
          <w:kern w:val="0"/>
          <w:sz w:val="32"/>
          <w:szCs w:val="32"/>
        </w:rPr>
        <w:t>2、预算执行方面，支出总额控制在预算总额以内；本年不存在截留或滞留专项资金情况。</w:t>
      </w:r>
    </w:p>
    <w:p>
      <w:pPr>
        <w:widowControl/>
        <w:spacing w:line="660" w:lineRule="exact"/>
        <w:ind w:left="420" w:leftChars="200" w:right="420" w:rightChars="200" w:firstLine="630"/>
        <w:jc w:val="left"/>
        <w:rPr>
          <w:rFonts w:ascii="仿宋_GB2312" w:hAnsi="微软雅黑" w:eastAsia="仿宋_GB2312" w:cs="宋体"/>
          <w:color w:val="010101"/>
          <w:kern w:val="0"/>
          <w:sz w:val="32"/>
          <w:szCs w:val="32"/>
        </w:rPr>
      </w:pPr>
      <w:r>
        <w:rPr>
          <w:rFonts w:hint="eastAsia" w:ascii="仿宋_GB2312" w:hAnsi="微软雅黑" w:eastAsia="仿宋_GB2312" w:cs="宋体"/>
          <w:color w:val="010101"/>
          <w:kern w:val="0"/>
          <w:sz w:val="32"/>
          <w:szCs w:val="32"/>
        </w:rPr>
        <w:t xml:space="preserve">3、严格执行了国库集中支付、政府采购等有关规定，政府采购目录内的货物与服务全部按要求实施了政府采购，确保了支出管理流程、审批手续的完整。 </w:t>
      </w:r>
    </w:p>
    <w:p>
      <w:pPr>
        <w:widowControl/>
        <w:spacing w:line="660" w:lineRule="exact"/>
        <w:ind w:left="420" w:leftChars="200" w:right="420" w:rightChars="200" w:firstLine="630"/>
        <w:jc w:val="left"/>
        <w:rPr>
          <w:rFonts w:ascii="仿宋_GB2312" w:hAnsi="微软雅黑" w:eastAsia="仿宋_GB2312" w:cs="宋体"/>
          <w:color w:val="010101"/>
          <w:kern w:val="0"/>
          <w:sz w:val="32"/>
          <w:szCs w:val="32"/>
        </w:rPr>
      </w:pPr>
      <w:r>
        <w:rPr>
          <w:rFonts w:hint="eastAsia" w:ascii="仿宋_GB2312" w:hAnsi="微软雅黑" w:eastAsia="仿宋_GB2312" w:cs="宋体"/>
          <w:color w:val="010101"/>
          <w:kern w:val="0"/>
          <w:sz w:val="32"/>
          <w:szCs w:val="32"/>
        </w:rPr>
        <w:t xml:space="preserve">4、在发放劳模及困难职工帮扶款及送温暖经费时严格按照中央及省市有关文件精神及相关要求进行操作，坚持困难职工先建立电子档案，后采取实名打卡发放，较好的杜绝了人情发放，发放不到位现象。                                                                                                                                                                                                                                                                                                                                                                                                                                                                                                                                                                                                                                                                                                                                                                                                                                          </w:t>
      </w:r>
    </w:p>
    <w:p>
      <w:pPr>
        <w:spacing w:line="660" w:lineRule="exact"/>
        <w:ind w:left="420" w:leftChars="200" w:right="420" w:rightChars="200" w:firstLine="640" w:firstLineChars="200"/>
        <w:rPr>
          <w:rFonts w:ascii="黑体" w:eastAsia="黑体"/>
          <w:sz w:val="32"/>
          <w:szCs w:val="32"/>
        </w:rPr>
      </w:pPr>
      <w:r>
        <w:rPr>
          <w:rFonts w:hint="eastAsia" w:ascii="黑体" w:eastAsia="黑体"/>
          <w:sz w:val="32"/>
          <w:szCs w:val="32"/>
        </w:rPr>
        <w:t>四、存在的主要问题</w:t>
      </w:r>
    </w:p>
    <w:p>
      <w:pPr>
        <w:spacing w:line="600" w:lineRule="exact"/>
        <w:ind w:left="420" w:leftChars="200" w:right="420" w:rightChars="200" w:firstLine="640" w:firstLineChars="200"/>
        <w:rPr>
          <w:rFonts w:ascii="仿宋" w:hAnsi="仿宋" w:eastAsia="仿宋"/>
          <w:sz w:val="32"/>
          <w:szCs w:val="32"/>
        </w:rPr>
      </w:pPr>
      <w:r>
        <w:rPr>
          <w:rFonts w:hint="eastAsia" w:ascii="仿宋" w:hAnsi="仿宋" w:eastAsia="仿宋"/>
          <w:sz w:val="32"/>
          <w:szCs w:val="32"/>
        </w:rPr>
        <w:t>年初预算的编制较为精细，按照费用支出的使用范围和内容，进行了基本支出、项目支出的严格区分，并按照预算的最末级明细进行预算支出管理，专款专用。但对上年结余结转的项目资金，没有进行预算分解，编制明细预算。</w:t>
      </w:r>
    </w:p>
    <w:p>
      <w:pPr>
        <w:spacing w:line="660" w:lineRule="exact"/>
        <w:ind w:left="420" w:leftChars="200" w:right="420" w:rightChars="200" w:firstLine="640" w:firstLineChars="200"/>
        <w:rPr>
          <w:rFonts w:ascii="黑体" w:eastAsia="黑体"/>
          <w:sz w:val="32"/>
          <w:szCs w:val="32"/>
        </w:rPr>
      </w:pPr>
      <w:r>
        <w:rPr>
          <w:rFonts w:ascii="黑体" w:eastAsia="黑体"/>
          <w:sz w:val="32"/>
          <w:szCs w:val="32"/>
        </w:rPr>
        <w:t>五、</w:t>
      </w:r>
      <w:r>
        <w:rPr>
          <w:rFonts w:hint="eastAsia" w:ascii="黑体" w:eastAsia="黑体"/>
          <w:sz w:val="32"/>
          <w:szCs w:val="32"/>
        </w:rPr>
        <w:t>改进措施</w:t>
      </w:r>
    </w:p>
    <w:p>
      <w:pPr>
        <w:spacing w:line="660" w:lineRule="exact"/>
        <w:ind w:left="420" w:leftChars="200" w:right="420" w:rightChars="200" w:firstLine="640" w:firstLineChars="200"/>
        <w:rPr>
          <w:rFonts w:ascii="仿宋_GB2312" w:eastAsia="仿宋_GB2312"/>
          <w:sz w:val="32"/>
          <w:szCs w:val="32"/>
        </w:rPr>
      </w:pPr>
      <w:r>
        <w:rPr>
          <w:rFonts w:hint="eastAsia" w:ascii="仿宋_GB2312" w:eastAsia="仿宋_GB2312"/>
          <w:sz w:val="32"/>
          <w:szCs w:val="32"/>
        </w:rPr>
        <w:t>我单位将以此次内控为契机，修订完善相关财务制度，进一步使预算编制与全县工会工作相结合，争取工会经费更多的用于服务职工、强化维权、困难帮扶等重点工作并做到财务工作规范合理，各项支出无违规。</w:t>
      </w:r>
    </w:p>
    <w:p>
      <w:pPr>
        <w:spacing w:line="660" w:lineRule="exact"/>
        <w:ind w:left="420" w:leftChars="200" w:right="420" w:rightChars="200" w:firstLine="640" w:firstLineChars="200"/>
        <w:rPr>
          <w:rFonts w:ascii="仿宋_GB2312" w:eastAsia="仿宋_GB2312"/>
          <w:sz w:val="32"/>
          <w:szCs w:val="32"/>
        </w:rPr>
      </w:pPr>
    </w:p>
    <w:p>
      <w:pPr>
        <w:spacing w:line="660" w:lineRule="exact"/>
        <w:ind w:left="420" w:leftChars="200" w:right="420" w:rightChars="200" w:firstLine="640" w:firstLineChars="200"/>
        <w:rPr>
          <w:rFonts w:ascii="仿宋_GB2312" w:eastAsia="仿宋_GB2312"/>
          <w:sz w:val="32"/>
          <w:szCs w:val="32"/>
        </w:rPr>
      </w:pPr>
    </w:p>
    <w:p>
      <w:pPr>
        <w:spacing w:line="660" w:lineRule="exact"/>
        <w:ind w:left="420" w:leftChars="200" w:right="420" w:rightChars="200" w:firstLine="640" w:firstLineChars="200"/>
        <w:rPr>
          <w:rFonts w:ascii="仿宋_GB2312" w:eastAsia="仿宋_GB2312"/>
          <w:sz w:val="32"/>
          <w:szCs w:val="32"/>
        </w:rPr>
      </w:pPr>
    </w:p>
    <w:p>
      <w:pPr>
        <w:spacing w:line="660" w:lineRule="exact"/>
        <w:ind w:firstLine="640" w:firstLineChars="200"/>
        <w:jc w:val="right"/>
        <w:rPr>
          <w:rFonts w:ascii="仿宋_GB2312" w:eastAsia="仿宋_GB2312"/>
          <w:sz w:val="32"/>
          <w:szCs w:val="32"/>
        </w:rPr>
      </w:pPr>
    </w:p>
    <w:p>
      <w:pPr>
        <w:tabs>
          <w:tab w:val="left" w:pos="1026"/>
        </w:tabs>
        <w:jc w:val="left"/>
        <w:rPr>
          <w:rFonts w:ascii="宋体" w:hAnsi="宋体" w:eastAsia="宋体" w:cs="黑体"/>
          <w:color w:val="000000"/>
          <w:kern w:val="0"/>
          <w:sz w:val="70"/>
          <w:szCs w:val="70"/>
        </w:rPr>
      </w:pPr>
    </w:p>
    <w:p>
      <w:pPr>
        <w:ind w:firstLine="640" w:firstLineChars="200"/>
        <w:jc w:val="left"/>
        <w:rPr>
          <w:rFonts w:ascii="宋体" w:hAnsi="宋体" w:eastAsia="宋体" w:cs="黑体"/>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F4B47C1"/>
    <w:multiLevelType w:val="singleLevel"/>
    <w:tmpl w:val="5F4B47C1"/>
    <w:lvl w:ilvl="0" w:tentative="0">
      <w:start w:val="2"/>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iZDIzMjBhYjY3YjcwYmIxYWI1NjM4YzVmYjEyMDMifQ=="/>
  </w:docVars>
  <w:rsids>
    <w:rsidRoot w:val="004506F9"/>
    <w:rsid w:val="00013A81"/>
    <w:rsid w:val="0002229B"/>
    <w:rsid w:val="000273BD"/>
    <w:rsid w:val="000415B7"/>
    <w:rsid w:val="000658A3"/>
    <w:rsid w:val="00074155"/>
    <w:rsid w:val="000834C3"/>
    <w:rsid w:val="00095892"/>
    <w:rsid w:val="000972FE"/>
    <w:rsid w:val="000A3F69"/>
    <w:rsid w:val="000C271D"/>
    <w:rsid w:val="0014715D"/>
    <w:rsid w:val="00152C6D"/>
    <w:rsid w:val="00162D39"/>
    <w:rsid w:val="001A67DB"/>
    <w:rsid w:val="001D51E5"/>
    <w:rsid w:val="001F0C3B"/>
    <w:rsid w:val="00214427"/>
    <w:rsid w:val="00252D7F"/>
    <w:rsid w:val="00265724"/>
    <w:rsid w:val="0027426B"/>
    <w:rsid w:val="002B4828"/>
    <w:rsid w:val="003479BD"/>
    <w:rsid w:val="003524C9"/>
    <w:rsid w:val="00373EBA"/>
    <w:rsid w:val="00375750"/>
    <w:rsid w:val="003768D5"/>
    <w:rsid w:val="003C5CCB"/>
    <w:rsid w:val="004506F9"/>
    <w:rsid w:val="004717A2"/>
    <w:rsid w:val="00491741"/>
    <w:rsid w:val="004B7D49"/>
    <w:rsid w:val="00500E5F"/>
    <w:rsid w:val="005106E0"/>
    <w:rsid w:val="005122EF"/>
    <w:rsid w:val="00517C33"/>
    <w:rsid w:val="00523644"/>
    <w:rsid w:val="0054069E"/>
    <w:rsid w:val="00547359"/>
    <w:rsid w:val="005767CC"/>
    <w:rsid w:val="00590D9F"/>
    <w:rsid w:val="00595D26"/>
    <w:rsid w:val="005A74E6"/>
    <w:rsid w:val="005D4D55"/>
    <w:rsid w:val="005E2CFB"/>
    <w:rsid w:val="0062378F"/>
    <w:rsid w:val="0062656E"/>
    <w:rsid w:val="00651EEC"/>
    <w:rsid w:val="006958A1"/>
    <w:rsid w:val="006A351B"/>
    <w:rsid w:val="006B0422"/>
    <w:rsid w:val="006C1B53"/>
    <w:rsid w:val="006C6D3B"/>
    <w:rsid w:val="006D5861"/>
    <w:rsid w:val="006D7730"/>
    <w:rsid w:val="006E5284"/>
    <w:rsid w:val="006F3EB5"/>
    <w:rsid w:val="00702E34"/>
    <w:rsid w:val="00704395"/>
    <w:rsid w:val="00720FF1"/>
    <w:rsid w:val="007365EE"/>
    <w:rsid w:val="0077626C"/>
    <w:rsid w:val="007C1A3E"/>
    <w:rsid w:val="007F493D"/>
    <w:rsid w:val="00812ED5"/>
    <w:rsid w:val="00815BC9"/>
    <w:rsid w:val="008212F0"/>
    <w:rsid w:val="008277D9"/>
    <w:rsid w:val="00841376"/>
    <w:rsid w:val="008A3E8D"/>
    <w:rsid w:val="008B0C9A"/>
    <w:rsid w:val="008C683D"/>
    <w:rsid w:val="009237C4"/>
    <w:rsid w:val="00950252"/>
    <w:rsid w:val="00967F5D"/>
    <w:rsid w:val="009A0F95"/>
    <w:rsid w:val="009B3ADF"/>
    <w:rsid w:val="009C3B52"/>
    <w:rsid w:val="009D6FB0"/>
    <w:rsid w:val="00A00C1D"/>
    <w:rsid w:val="00A22752"/>
    <w:rsid w:val="00A359A0"/>
    <w:rsid w:val="00A42218"/>
    <w:rsid w:val="00A70249"/>
    <w:rsid w:val="00A94599"/>
    <w:rsid w:val="00AB5D4E"/>
    <w:rsid w:val="00B01ECF"/>
    <w:rsid w:val="00B12DD7"/>
    <w:rsid w:val="00B33BEA"/>
    <w:rsid w:val="00B57C9F"/>
    <w:rsid w:val="00B67CA8"/>
    <w:rsid w:val="00B845B3"/>
    <w:rsid w:val="00B85D8B"/>
    <w:rsid w:val="00BB3FDB"/>
    <w:rsid w:val="00BE3674"/>
    <w:rsid w:val="00BF3166"/>
    <w:rsid w:val="00C159B4"/>
    <w:rsid w:val="00C201F1"/>
    <w:rsid w:val="00C3049A"/>
    <w:rsid w:val="00C31B1E"/>
    <w:rsid w:val="00C3668F"/>
    <w:rsid w:val="00C5629E"/>
    <w:rsid w:val="00C77645"/>
    <w:rsid w:val="00CE04C3"/>
    <w:rsid w:val="00CE5B63"/>
    <w:rsid w:val="00CE76A0"/>
    <w:rsid w:val="00D148C6"/>
    <w:rsid w:val="00DC3430"/>
    <w:rsid w:val="00DD06FF"/>
    <w:rsid w:val="00DD0A61"/>
    <w:rsid w:val="00DD5FE9"/>
    <w:rsid w:val="00E00C7A"/>
    <w:rsid w:val="00E5184A"/>
    <w:rsid w:val="00E55B68"/>
    <w:rsid w:val="00E62555"/>
    <w:rsid w:val="00E8225B"/>
    <w:rsid w:val="00E83DBC"/>
    <w:rsid w:val="00EF38DC"/>
    <w:rsid w:val="00F405FC"/>
    <w:rsid w:val="00F74360"/>
    <w:rsid w:val="00F941DD"/>
    <w:rsid w:val="00FB462F"/>
    <w:rsid w:val="00FE16FA"/>
    <w:rsid w:val="00FE328A"/>
    <w:rsid w:val="055976C1"/>
    <w:rsid w:val="07541C7F"/>
    <w:rsid w:val="0A733E75"/>
    <w:rsid w:val="20561532"/>
    <w:rsid w:val="2A2C24F5"/>
    <w:rsid w:val="2AD84933"/>
    <w:rsid w:val="2CA84F54"/>
    <w:rsid w:val="2E446D4D"/>
    <w:rsid w:val="32480CB5"/>
    <w:rsid w:val="364F5374"/>
    <w:rsid w:val="4B5D1ADF"/>
    <w:rsid w:val="6B4079AD"/>
    <w:rsid w:val="755D065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Balloon Text"/>
    <w:basedOn w:val="1"/>
    <w:link w:val="12"/>
    <w:semiHidden/>
    <w:unhideWhenUsed/>
    <w:qFormat/>
    <w:uiPriority w:val="99"/>
    <w:rPr>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7"/>
    <w:link w:val="4"/>
    <w:qFormat/>
    <w:uiPriority w:val="0"/>
    <w:rPr>
      <w:sz w:val="18"/>
      <w:szCs w:val="18"/>
    </w:rPr>
  </w:style>
  <w:style w:type="character" w:customStyle="1" w:styleId="9">
    <w:name w:val="页脚 Char"/>
    <w:basedOn w:val="7"/>
    <w:link w:val="2"/>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3"/>
    <w:semiHidden/>
    <w:qFormat/>
    <w:uiPriority w:val="99"/>
    <w:rPr>
      <w:sz w:val="18"/>
      <w:szCs w:val="18"/>
    </w:rPr>
  </w:style>
  <w:style w:type="paragraph" w:customStyle="1" w:styleId="13">
    <w:name w:val="无间隔1"/>
    <w:qFormat/>
    <w:uiPriority w:val="1"/>
    <w:pPr>
      <w:widowControl w:val="0"/>
      <w:jc w:val="both"/>
    </w:pPr>
    <w:rPr>
      <w:rFonts w:ascii="Calibri" w:hAnsi="Calibri" w:eastAsia="宋体" w:cs="黑体"/>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873CEB-7009-44A7-9A5F-25349A35C60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20</Pages>
  <Words>1061</Words>
  <Characters>6048</Characters>
  <Lines>50</Lines>
  <Paragraphs>14</Paragraphs>
  <TotalTime>109</TotalTime>
  <ScaleCrop>false</ScaleCrop>
  <LinksUpToDate>false</LinksUpToDate>
  <CharactersWithSpaces>7095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2020-09-27T03:28:00Z</dcterms:created>
  <dc:creator>李航 null</dc:creator>
  <cp:lastModifiedBy>孙泽宇</cp:lastModifiedBy>
  <cp:lastPrinted>2021-11-15T13:04:00Z</cp:lastPrinted>
  <dcterms:modified xsi:type="dcterms:W3CDTF">2023-11-24T09:07:34Z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EF59FAD306984635A0CC6E3F78EA9E27_13</vt:lpwstr>
  </property>
</Properties>
</file>