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720" w:firstLineChars="200"/>
        <w:jc w:val="center"/>
        <w:textAlignment w:val="auto"/>
        <w:rPr>
          <w:rFonts w:hint="eastAsia" w:ascii="黑体" w:hAnsi="黑体" w:eastAsia="黑体" w:cs="黑体"/>
          <w:b w:val="0"/>
          <w:bCs/>
          <w:sz w:val="36"/>
          <w:szCs w:val="36"/>
        </w:rPr>
      </w:pPr>
      <w:r>
        <w:rPr>
          <w:rFonts w:hint="eastAsia" w:ascii="黑体" w:hAnsi="黑体" w:eastAsia="黑体" w:cs="黑体"/>
          <w:b w:val="0"/>
          <w:bCs/>
          <w:sz w:val="36"/>
          <w:szCs w:val="36"/>
          <w:lang w:val="en-US" w:eastAsia="zh-CN"/>
        </w:rPr>
        <w:t>中共</w:t>
      </w:r>
      <w:r>
        <w:rPr>
          <w:rFonts w:hint="eastAsia" w:ascii="黑体" w:hAnsi="黑体" w:eastAsia="黑体" w:cs="黑体"/>
          <w:b w:val="0"/>
          <w:bCs/>
          <w:sz w:val="36"/>
          <w:szCs w:val="36"/>
        </w:rPr>
        <w:t>衡南县委</w:t>
      </w:r>
      <w:r>
        <w:rPr>
          <w:rFonts w:hint="eastAsia" w:ascii="黑体" w:hAnsi="黑体" w:eastAsia="黑体" w:cs="黑体"/>
          <w:b w:val="0"/>
          <w:bCs/>
          <w:sz w:val="36"/>
          <w:szCs w:val="36"/>
          <w:lang w:eastAsia="zh-CN"/>
        </w:rPr>
        <w:t>统战部</w:t>
      </w:r>
      <w:r>
        <w:rPr>
          <w:rFonts w:hint="eastAsia" w:ascii="黑体" w:hAnsi="黑体" w:eastAsia="黑体" w:cs="黑体"/>
          <w:b w:val="0"/>
          <w:bCs/>
          <w:sz w:val="36"/>
          <w:szCs w:val="36"/>
          <w:lang w:val="en-US" w:eastAsia="zh-CN"/>
        </w:rPr>
        <w:t>2021年度</w:t>
      </w:r>
      <w:r>
        <w:rPr>
          <w:rFonts w:hint="eastAsia" w:ascii="黑体" w:hAnsi="黑体" w:eastAsia="黑体" w:cs="黑体"/>
          <w:b w:val="0"/>
          <w:bCs/>
          <w:sz w:val="36"/>
          <w:szCs w:val="36"/>
        </w:rPr>
        <w:t>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720" w:firstLineChars="200"/>
        <w:jc w:val="center"/>
        <w:textAlignment w:val="auto"/>
        <w:rPr>
          <w:rFonts w:hint="eastAsia" w:ascii="黑体" w:hAnsi="黑体" w:eastAsia="黑体" w:cs="黑体"/>
          <w:b w:val="0"/>
          <w:bCs/>
          <w:sz w:val="36"/>
          <w:szCs w:val="36"/>
        </w:rPr>
      </w:pPr>
      <w:r>
        <w:rPr>
          <w:rFonts w:hint="eastAsia" w:ascii="黑体" w:hAnsi="黑体" w:eastAsia="黑体" w:cs="黑体"/>
          <w:b w:val="0"/>
          <w:bCs/>
          <w:sz w:val="36"/>
          <w:szCs w:val="36"/>
        </w:rPr>
        <w:t>绩效评价报告</w:t>
      </w:r>
    </w:p>
    <w:p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632" w:firstLineChars="200"/>
        <w:jc w:val="both"/>
        <w:textAlignment w:val="auto"/>
        <w:rPr>
          <w:rFonts w:hint="eastAsia" w:ascii="仿宋" w:hAnsi="仿宋" w:eastAsia="仿宋" w:cs="仿宋"/>
          <w:spacing w:val="-2"/>
          <w:sz w:val="32"/>
          <w:szCs w:val="32"/>
        </w:rPr>
      </w:pPr>
      <w:r>
        <w:rPr>
          <w:rFonts w:hint="eastAsia" w:ascii="仿宋" w:hAnsi="仿宋" w:eastAsia="仿宋" w:cs="仿宋"/>
          <w:spacing w:val="-2"/>
          <w:sz w:val="32"/>
          <w:szCs w:val="32"/>
        </w:rPr>
        <w:t>为加强财政预算资金管理，进一步规范预算资金使用，提高财政资金使用效益，</w:t>
      </w:r>
      <w:r>
        <w:rPr>
          <w:rFonts w:hint="eastAsia" w:ascii="仿宋" w:hAnsi="仿宋" w:eastAsia="仿宋" w:cs="仿宋"/>
          <w:kern w:val="2"/>
          <w:sz w:val="32"/>
          <w:szCs w:val="32"/>
        </w:rPr>
        <w:t>根据《湖南省委办公厅  湖南省人民政府办公厅关于全面实施预算绩效管理的意见》（湘办发【2019】10号）、财政部《项目支出绩效评价管理办法》（财预【2020】10号）、《湖南省预算绩效目标管理办法》（湘财绩【2020】7号）和《衡南县预算绩效管理工作考核办法》（清财绩【2021】66号）等文件要求，</w:t>
      </w:r>
      <w:r>
        <w:rPr>
          <w:rFonts w:hint="eastAsia" w:ascii="仿宋" w:hAnsi="仿宋" w:eastAsia="仿宋" w:cs="仿宋"/>
          <w:spacing w:val="-2"/>
          <w:sz w:val="32"/>
          <w:szCs w:val="32"/>
        </w:rPr>
        <w:t>我部对20</w:t>
      </w:r>
      <w:r>
        <w:rPr>
          <w:rFonts w:hint="eastAsia" w:ascii="仿宋" w:hAnsi="仿宋" w:eastAsia="仿宋" w:cs="仿宋"/>
          <w:spacing w:val="-2"/>
          <w:sz w:val="32"/>
          <w:szCs w:val="32"/>
          <w:lang w:val="en-US"/>
        </w:rPr>
        <w:t>2</w:t>
      </w:r>
      <w:r>
        <w:rPr>
          <w:rFonts w:hint="eastAsia" w:ascii="仿宋" w:hAnsi="仿宋" w:eastAsia="仿宋" w:cs="仿宋"/>
          <w:spacing w:val="-2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pacing w:val="-2"/>
          <w:sz w:val="32"/>
          <w:szCs w:val="32"/>
        </w:rPr>
        <w:t>年度本单位整体支出进行了绩效自评，现将具体绩效评价情况报告如下：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240" w:lineRule="auto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635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-2"/>
          <w:sz w:val="32"/>
          <w:szCs w:val="32"/>
          <w:lang w:eastAsia="zh-CN"/>
        </w:rPr>
        <w:t>一、单位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64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衡南县委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统战部</w:t>
      </w:r>
      <w:r>
        <w:rPr>
          <w:rFonts w:hint="eastAsia" w:ascii="仿宋" w:hAnsi="仿宋" w:eastAsia="仿宋" w:cs="仿宋"/>
          <w:sz w:val="32"/>
          <w:szCs w:val="32"/>
        </w:rPr>
        <w:t>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独立核算</w:t>
      </w:r>
      <w:r>
        <w:rPr>
          <w:rFonts w:hint="eastAsia" w:ascii="仿宋" w:hAnsi="仿宋" w:eastAsia="仿宋" w:cs="仿宋"/>
          <w:sz w:val="32"/>
          <w:szCs w:val="32"/>
        </w:rPr>
        <w:t>全额财政拨款单位，纳入国库集中支付体系，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财务制度执行《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政府</w:t>
      </w:r>
      <w:r>
        <w:rPr>
          <w:rFonts w:hint="eastAsia" w:ascii="仿宋" w:hAnsi="仿宋" w:eastAsia="仿宋" w:cs="仿宋"/>
          <w:sz w:val="32"/>
          <w:szCs w:val="32"/>
        </w:rPr>
        <w:t>会计制度》。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机构编制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64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部内</w:t>
      </w:r>
      <w:r>
        <w:rPr>
          <w:rFonts w:hint="eastAsia" w:ascii="仿宋" w:hAnsi="仿宋" w:eastAsia="仿宋" w:cs="仿宋"/>
          <w:sz w:val="32"/>
          <w:szCs w:val="32"/>
        </w:rPr>
        <w:t>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办公室、非公经济工作室、干部工作室（党派室）、民族宗教侨务工作室</w:t>
      </w:r>
      <w:r>
        <w:rPr>
          <w:rFonts w:hint="eastAsia" w:ascii="仿宋" w:hAnsi="仿宋" w:eastAsia="仿宋" w:cs="仿宋"/>
          <w:sz w:val="32"/>
          <w:szCs w:val="32"/>
        </w:rPr>
        <w:t>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四个</w:t>
      </w:r>
      <w:r>
        <w:rPr>
          <w:rFonts w:hint="eastAsia" w:ascii="仿宋" w:hAnsi="仿宋" w:eastAsia="仿宋" w:cs="仿宋"/>
          <w:sz w:val="32"/>
          <w:szCs w:val="32"/>
        </w:rPr>
        <w:t>相关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办</w:t>
      </w:r>
      <w:r>
        <w:rPr>
          <w:rFonts w:hint="eastAsia" w:ascii="仿宋" w:hAnsi="仿宋" w:eastAsia="仿宋" w:cs="仿宋"/>
          <w:sz w:val="32"/>
          <w:szCs w:val="32"/>
        </w:rPr>
        <w:t>室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及非独立核算二级事业机构二个：衡南县党外知识分子工作办公室、衡南县宗教事务中心。</w:t>
      </w:r>
      <w:r>
        <w:rPr>
          <w:rFonts w:hint="eastAsia" w:ascii="仿宋" w:hAnsi="仿宋" w:eastAsia="仿宋" w:cs="仿宋"/>
          <w:sz w:val="32"/>
          <w:szCs w:val="32"/>
        </w:rPr>
        <w:t>截止20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，单位行政编制人数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8个，实有8人；全额事业编制人数9个（含工勤编1个），</w:t>
      </w:r>
      <w:r>
        <w:rPr>
          <w:rFonts w:hint="eastAsia" w:ascii="仿宋" w:hAnsi="仿宋" w:eastAsia="仿宋" w:cs="仿宋"/>
          <w:sz w:val="32"/>
          <w:szCs w:val="32"/>
        </w:rPr>
        <w:t>实有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8人，</w:t>
      </w:r>
      <w:r>
        <w:rPr>
          <w:rFonts w:hint="eastAsia" w:ascii="仿宋" w:hAnsi="仿宋" w:eastAsia="仿宋" w:cs="仿宋"/>
          <w:sz w:val="32"/>
          <w:szCs w:val="32"/>
        </w:rPr>
        <w:t>共计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编制人数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17个，实有16</w:t>
      </w:r>
      <w:r>
        <w:rPr>
          <w:rFonts w:hint="eastAsia" w:ascii="仿宋" w:hAnsi="仿宋" w:eastAsia="仿宋" w:cs="仿宋"/>
          <w:sz w:val="32"/>
          <w:szCs w:val="32"/>
        </w:rPr>
        <w:t xml:space="preserve">人。 </w:t>
      </w:r>
    </w:p>
    <w:p>
      <w:pPr>
        <w:pStyle w:val="2"/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964" w:firstLineChars="3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（二）主要工作职责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（１）贯彻执行中央和省委、市委、县委有关方针、政策；调查研究统一战线理论和方针、政策，向县委反映统一战线情况，提出统战工作的意见和建议；检查统战政策执行情况，协调统一战线各方面的关系。 （２）负责联系各民主党派和无党派代表人士，及时通报情况，反映他们的意见和建议；研究、贯彻党领导的多党合作和政治协商制度及对民主党派的方针、政策；落实中央关于发挥民主党派、无党派人士参政议政和民主监督作用的工作；支持、帮助各民主党派加强自身建设，选拔、培养新一代代表人物。 （３）负责调查研究、协调检查有关民族、宗教工作的重大方针、政策问题；联系少数民族和宗教界的代表人物；协助有关部门做好少数民族干部的培养和举荐工作。 （４）负责开展以祖国统一为重点的海外统战工作；联系港、澳、台和华侨华人中的有关社团及代表人士；做好台胞、台属及侨属侨眷的有关工作。　（５）负责党外人士的政治安排，会同有关部门做好培养、选拔、推荐党外人士担任政府和司法机关领导职务的工作，做好党外后备干部和新的代表人物队伍的建设工作。 （６）负责联系工商联、联系港、澳、台及海外工商社团和代表人士。调查、研究并反映非公有制经济代表人物的情况，协调关系，提出政策建议，选拔、培养积极分子队伍。 （７）调查研究党外知识分子的情况，反映意见，协调关系，提出政策建议；联系并培养党外知识分子的代表人物。　（８）协调政府各有关部门的统战工作。　（9）完成各级党委交办的其他任务。</w:t>
      </w:r>
    </w:p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部门整体支出管理及使用情况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（一）20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b/>
          <w:sz w:val="32"/>
          <w:szCs w:val="32"/>
        </w:rPr>
        <w:t>年部门预算情况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按照综合预算的原则，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本单位</w:t>
      </w:r>
      <w:r>
        <w:rPr>
          <w:rFonts w:hint="eastAsia" w:ascii="仿宋" w:hAnsi="仿宋" w:eastAsia="仿宋" w:cs="仿宋"/>
          <w:kern w:val="0"/>
          <w:sz w:val="32"/>
          <w:szCs w:val="32"/>
        </w:rPr>
        <w:t>所有收入和支出均纳入预算管理。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根据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本级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财政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部门预算批复，20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年单位预算收入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安排数为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276.9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万元，其中：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工资福利支出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147.72万元，一般商品和服务支出12万元，对个人和家庭补助1.68万元，专项经费115.5万元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（二）20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b/>
          <w:sz w:val="32"/>
          <w:szCs w:val="32"/>
        </w:rPr>
        <w:t>年部门决算情况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本年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决算实际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总收入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数为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339.99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全部为财政拨款收入，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其中：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本年财政拨款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收入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339.99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万元，年初结转和结余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 xml:space="preserve"> 0.11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本年总支出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340.09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万元，其中：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基本支出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168.4万元，比上年增加31.77万元，上升了23%，是因为补发了2020年单位评优绩效奖及人员增加，工资提标；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项目支出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171.69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比上年增加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23万元，上升了15.46%，是因为过户上收下拨结算资金增加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（三）20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b/>
          <w:sz w:val="32"/>
          <w:szCs w:val="32"/>
        </w:rPr>
        <w:t>年支出分类情况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（1）基本支出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960" w:firstLineChars="300"/>
        <w:jc w:val="both"/>
        <w:textAlignment w:val="auto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年度用于保障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我部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正常运转的日常支出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168.4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万元。包括基本工资、津贴补贴等人员经费支出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154.9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万元，占基本支出的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91.98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％；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办公费、印刷费、水电费、办公设备购置等日常公用经费支出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13.5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万元，占基本支出的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8.02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％；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/>
        <w:jc w:val="both"/>
        <w:textAlignment w:val="auto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（2）项目支出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2"/>
        <w:jc w:val="both"/>
        <w:textAlignment w:val="auto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项目支出系我局为完成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各项年初专项工作目标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而发生的支出， 202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年项目支出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171.69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万元，202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年项目支出主要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内容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有：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各级同心美丽乡村示范点建设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社会各界代表人士恳谈会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首届优秀商协会暨十佳民营企业家表彰大会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人大代表政协委员考察工作、抗战老兵走访活动、老年华侨生活补助、党外人士谈心学习活动、民宗领域整治工作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等发生的支出。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2"/>
        <w:jc w:val="both"/>
        <w:textAlignment w:val="auto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/>
        <w:jc w:val="both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b/>
          <w:sz w:val="32"/>
          <w:szCs w:val="32"/>
        </w:rPr>
        <w:t>（四）“三公”经费情况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color w:val="666666"/>
          <w:sz w:val="32"/>
          <w:szCs w:val="32"/>
        </w:rPr>
        <w:t>1.</w:t>
      </w:r>
      <w:r>
        <w:rPr>
          <w:rFonts w:hint="eastAsia" w:ascii="仿宋" w:hAnsi="仿宋" w:eastAsia="仿宋" w:cs="仿宋"/>
          <w:sz w:val="32"/>
          <w:szCs w:val="32"/>
        </w:rPr>
        <w:t xml:space="preserve"> 因公出国（境）经费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kern w:val="0"/>
          <w:sz w:val="32"/>
          <w:szCs w:val="32"/>
        </w:rPr>
        <w:t>年预算安排0万元。无安排因公出国(境)经费。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2.公务接待费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kern w:val="0"/>
          <w:sz w:val="32"/>
          <w:szCs w:val="32"/>
        </w:rPr>
        <w:t>年公务接待费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2.5</w:t>
      </w:r>
      <w:r>
        <w:rPr>
          <w:rFonts w:hint="eastAsia" w:ascii="仿宋" w:hAnsi="仿宋" w:eastAsia="仿宋" w:cs="仿宋"/>
          <w:kern w:val="0"/>
          <w:sz w:val="32"/>
          <w:szCs w:val="32"/>
        </w:rPr>
        <w:t>万元。主要用于省、市领导莅临指导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调研和</w:t>
      </w:r>
      <w:r>
        <w:rPr>
          <w:rFonts w:hint="eastAsia" w:ascii="仿宋" w:hAnsi="仿宋" w:eastAsia="仿宋" w:cs="仿宋"/>
          <w:kern w:val="0"/>
          <w:sz w:val="32"/>
          <w:szCs w:val="32"/>
        </w:rPr>
        <w:t>检查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工作</w:t>
      </w:r>
      <w:r>
        <w:rPr>
          <w:rFonts w:hint="eastAsia" w:ascii="仿宋" w:hAnsi="仿宋" w:eastAsia="仿宋" w:cs="仿宋"/>
          <w:kern w:val="0"/>
          <w:sz w:val="32"/>
          <w:szCs w:val="32"/>
        </w:rPr>
        <w:t>等方面的接待活动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，及接待外地来访的非公经济代表人士及党外人士沟通协调工作用餐</w:t>
      </w:r>
      <w:r>
        <w:rPr>
          <w:rFonts w:hint="eastAsia" w:ascii="仿宋" w:hAnsi="仿宋" w:eastAsia="仿宋" w:cs="仿宋"/>
          <w:kern w:val="0"/>
          <w:sz w:val="32"/>
          <w:szCs w:val="32"/>
        </w:rPr>
        <w:t>。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2020年公务接待费用1.7万元，增加了0.8万元，因为民宗工作检查较上年增加，及加强了与非公有经济人士的联络工作。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firstLine="960" w:firstLineChars="3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3. 公务用车购置及运行费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48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2020年我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部在</w:t>
      </w:r>
      <w:r>
        <w:rPr>
          <w:rFonts w:hint="eastAsia" w:ascii="仿宋" w:hAnsi="仿宋" w:eastAsia="仿宋" w:cs="仿宋"/>
          <w:kern w:val="0"/>
          <w:sz w:val="32"/>
          <w:szCs w:val="32"/>
        </w:rPr>
        <w:t>县公务用车平台费为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2.39</w:t>
      </w:r>
      <w:r>
        <w:rPr>
          <w:rFonts w:hint="eastAsia" w:ascii="仿宋" w:hAnsi="仿宋" w:eastAsia="仿宋" w:cs="仿宋"/>
          <w:kern w:val="0"/>
          <w:sz w:val="32"/>
          <w:szCs w:val="32"/>
        </w:rPr>
        <w:t>万元，与上年2.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02</w:t>
      </w:r>
      <w:r>
        <w:rPr>
          <w:rFonts w:hint="eastAsia" w:ascii="仿宋" w:hAnsi="仿宋" w:eastAsia="仿宋" w:cs="仿宋"/>
          <w:kern w:val="0"/>
          <w:sz w:val="32"/>
          <w:szCs w:val="32"/>
        </w:rPr>
        <w:t>万元相比上升了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0.37</w:t>
      </w:r>
      <w:r>
        <w:rPr>
          <w:rFonts w:hint="eastAsia" w:ascii="仿宋" w:hAnsi="仿宋" w:eastAsia="仿宋" w:cs="仿宋"/>
          <w:kern w:val="0"/>
          <w:sz w:val="32"/>
          <w:szCs w:val="32"/>
        </w:rPr>
        <w:t>万元。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240" w:lineRule="auto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480"/>
        <w:jc w:val="both"/>
        <w:textAlignment w:val="auto"/>
        <w:rPr>
          <w:rFonts w:hint="eastAsia" w:ascii="仿宋" w:hAnsi="仿宋" w:eastAsia="仿宋" w:cs="仿宋"/>
          <w:b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kern w:val="0"/>
          <w:sz w:val="32"/>
          <w:szCs w:val="32"/>
        </w:rPr>
        <w:t>（</w:t>
      </w:r>
      <w:r>
        <w:rPr>
          <w:rFonts w:hint="eastAsia" w:ascii="仿宋" w:hAnsi="仿宋" w:eastAsia="仿宋" w:cs="仿宋"/>
          <w:b/>
          <w:kern w:val="0"/>
          <w:sz w:val="32"/>
          <w:szCs w:val="32"/>
          <w:lang w:eastAsia="zh-CN"/>
        </w:rPr>
        <w:t>五</w:t>
      </w:r>
      <w:r>
        <w:rPr>
          <w:rFonts w:hint="eastAsia" w:ascii="仿宋" w:hAnsi="仿宋" w:eastAsia="仿宋" w:cs="仿宋"/>
          <w:b/>
          <w:kern w:val="0"/>
          <w:sz w:val="32"/>
          <w:szCs w:val="32"/>
        </w:rPr>
        <w:t>）其他事项说明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480" w:firstLineChars="15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1.日常公用经费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48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kern w:val="0"/>
          <w:sz w:val="32"/>
          <w:szCs w:val="32"/>
        </w:rPr>
        <w:t>年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我部</w:t>
      </w:r>
      <w:r>
        <w:rPr>
          <w:rFonts w:hint="eastAsia" w:ascii="仿宋" w:hAnsi="仿宋" w:eastAsia="仿宋" w:cs="仿宋"/>
          <w:kern w:val="0"/>
          <w:sz w:val="32"/>
          <w:szCs w:val="32"/>
        </w:rPr>
        <w:t>机关运行经费支出1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3.5</w:t>
      </w:r>
      <w:r>
        <w:rPr>
          <w:rFonts w:hint="eastAsia" w:ascii="仿宋" w:hAnsi="仿宋" w:eastAsia="仿宋" w:cs="仿宋"/>
          <w:kern w:val="0"/>
          <w:sz w:val="32"/>
          <w:szCs w:val="32"/>
        </w:rPr>
        <w:t>万元，与20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仿宋"/>
          <w:kern w:val="0"/>
          <w:sz w:val="32"/>
          <w:szCs w:val="32"/>
        </w:rPr>
        <w:t>年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6.12</w:t>
      </w:r>
      <w:r>
        <w:rPr>
          <w:rFonts w:hint="eastAsia" w:ascii="仿宋" w:hAnsi="仿宋" w:eastAsia="仿宋" w:cs="仿宋"/>
          <w:kern w:val="0"/>
          <w:sz w:val="32"/>
          <w:szCs w:val="32"/>
        </w:rPr>
        <w:t>万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元</w:t>
      </w:r>
      <w:r>
        <w:rPr>
          <w:rFonts w:hint="eastAsia" w:ascii="仿宋" w:hAnsi="仿宋" w:eastAsia="仿宋" w:cs="仿宋"/>
          <w:kern w:val="0"/>
          <w:sz w:val="32"/>
          <w:szCs w:val="32"/>
        </w:rPr>
        <w:t>增加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7.38</w:t>
      </w:r>
      <w:r>
        <w:rPr>
          <w:rFonts w:hint="eastAsia" w:ascii="仿宋" w:hAnsi="仿宋" w:eastAsia="仿宋" w:cs="仿宋"/>
          <w:kern w:val="0"/>
          <w:sz w:val="32"/>
          <w:szCs w:val="32"/>
        </w:rPr>
        <w:t>万元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，开展大型活动及会议较上年增加同，同时购置了办公设备</w:t>
      </w:r>
      <w:r>
        <w:rPr>
          <w:rFonts w:hint="eastAsia" w:ascii="仿宋" w:hAnsi="仿宋" w:eastAsia="仿宋" w:cs="仿宋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48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3.国有资产占用使用情况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48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截止202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kern w:val="0"/>
          <w:sz w:val="32"/>
          <w:szCs w:val="32"/>
        </w:rPr>
        <w:t>年底，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我部</w:t>
      </w:r>
      <w:r>
        <w:rPr>
          <w:rFonts w:hint="eastAsia" w:ascii="仿宋" w:hAnsi="仿宋" w:eastAsia="仿宋" w:cs="仿宋"/>
          <w:kern w:val="0"/>
          <w:sz w:val="32"/>
          <w:szCs w:val="32"/>
        </w:rPr>
        <w:t>本级现有车辆0辆。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240" w:lineRule="auto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333333"/>
          <w:kern w:val="0"/>
          <w:sz w:val="32"/>
          <w:szCs w:val="32"/>
        </w:rPr>
        <w:t>三、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部门整体支出绩效情况</w:t>
      </w:r>
    </w:p>
    <w:p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（一）预算配置指标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编制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</w:t>
      </w:r>
      <w:r>
        <w:rPr>
          <w:rFonts w:hint="eastAsia" w:ascii="仿宋" w:hAnsi="仿宋" w:eastAsia="仿宋" w:cs="仿宋"/>
          <w:sz w:val="32"/>
          <w:szCs w:val="32"/>
        </w:rPr>
        <w:t>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18</w:t>
      </w:r>
      <w:r>
        <w:rPr>
          <w:rFonts w:hint="eastAsia" w:ascii="仿宋" w:hAnsi="仿宋" w:eastAsia="仿宋" w:cs="仿宋"/>
          <w:sz w:val="32"/>
          <w:szCs w:val="32"/>
        </w:rPr>
        <w:t>人，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其中行政编制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9个，全额事业编制9个（含工勤编1 个）；实际</w:t>
      </w:r>
      <w:r>
        <w:rPr>
          <w:rFonts w:hint="eastAsia" w:ascii="仿宋" w:hAnsi="仿宋" w:eastAsia="仿宋" w:cs="仿宋"/>
          <w:sz w:val="32"/>
          <w:szCs w:val="32"/>
        </w:rPr>
        <w:t>在职人员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16</w:t>
      </w:r>
      <w:r>
        <w:rPr>
          <w:rFonts w:hint="eastAsia" w:ascii="仿宋" w:hAnsi="仿宋" w:eastAsia="仿宋" w:cs="仿宋"/>
          <w:sz w:val="32"/>
          <w:szCs w:val="32"/>
        </w:rPr>
        <w:t>人，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其中行政编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8人，全额事业编8人，</w:t>
      </w:r>
      <w:r>
        <w:rPr>
          <w:rFonts w:hint="eastAsia" w:ascii="仿宋" w:hAnsi="仿宋" w:eastAsia="仿宋" w:cs="仿宋"/>
          <w:sz w:val="32"/>
          <w:szCs w:val="32"/>
        </w:rPr>
        <w:t>在编制控制范围内。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240" w:lineRule="auto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（二）预算执行指标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年支出决算为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340.09</w:t>
      </w:r>
      <w:r>
        <w:rPr>
          <w:rFonts w:hint="eastAsia" w:ascii="仿宋" w:hAnsi="仿宋" w:eastAsia="仿宋" w:cs="仿宋"/>
          <w:sz w:val="32"/>
          <w:szCs w:val="32"/>
        </w:rPr>
        <w:t>万元，为全年预算的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123</w:t>
      </w:r>
      <w:r>
        <w:rPr>
          <w:rFonts w:hint="eastAsia" w:ascii="仿宋" w:hAnsi="仿宋" w:eastAsia="仿宋" w:cs="仿宋"/>
          <w:sz w:val="32"/>
          <w:szCs w:val="32"/>
        </w:rPr>
        <w:t>%。“三公经费”支出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2.5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在正常开展工作所需范围内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（三）预算管理指标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color w:val="333333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20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年我部预算管理各项指标控制较好。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  <w:lang w:val="en-US" w:eastAsia="zh-CN"/>
        </w:rPr>
        <w:t>2022年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主要从以下几个方面加强预算管理：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color w:val="333333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一是进一步规范财务管理。</w:t>
      </w:r>
      <w:r>
        <w:rPr>
          <w:rFonts w:hint="eastAsia" w:ascii="仿宋" w:hAnsi="仿宋" w:eastAsia="仿宋" w:cs="仿宋"/>
          <w:sz w:val="32"/>
          <w:szCs w:val="32"/>
        </w:rPr>
        <w:t>今年，根据中央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八项规定有关精神以及财务管理方面的法律、法规和审计等部门的意见，我办对机关财务管理制度进一步进行了完善。同时，在财务开支把关方面认真执行相关文件并严格财务开支审批程序，加强对差旅费、会议费、接待费、公务用车运行经费等各项开支的管理。重点保障机关运转及重点工作的需要，大力压缩一般性支出，提高财政资金使用效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二是</w:t>
      </w:r>
      <w:r>
        <w:rPr>
          <w:rFonts w:hint="eastAsia" w:ascii="仿宋" w:hAnsi="仿宋" w:eastAsia="仿宋" w:cs="仿宋"/>
          <w:sz w:val="32"/>
          <w:szCs w:val="32"/>
        </w:rPr>
        <w:t>依法依规公开部门预决算。根据全县部门预决算公开工作统一安排部署，我部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公开了20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年部门预算和“三公”经费预算，社会反响良好，圆满完成了“三公”经费预算公开工作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240" w:lineRule="auto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四、履职效益指标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在市委统战部和县委的坚强领导下，</w:t>
      </w:r>
      <w:r>
        <w:rPr>
          <w:rFonts w:hint="eastAsia" w:ascii="仿宋" w:hAnsi="仿宋" w:eastAsia="仿宋" w:cs="仿宋"/>
          <w:sz w:val="32"/>
          <w:szCs w:val="32"/>
        </w:rPr>
        <w:t>县委统战部以习近平新时代中国特色社会主义思想为指导，全面贯彻落实党中央、省委、市委、县委的决策部署，紧扣“大统战、大团结、大提升”工作总基调，根据我部年初工作规划和重点工作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计划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坚持以</w:t>
      </w:r>
      <w:r>
        <w:rPr>
          <w:rFonts w:hint="eastAsia" w:ascii="仿宋" w:hAnsi="仿宋" w:eastAsia="仿宋" w:cs="仿宋"/>
          <w:sz w:val="32"/>
          <w:szCs w:val="32"/>
        </w:rPr>
        <w:t>“同心美丽乡村”建设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作为巩固脱贫攻坚与乡村振兴有效衔接的抓手，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探索推进“3+4”工作法，助力民企矩阵高质量发展，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全力打造</w:t>
      </w:r>
      <w:r>
        <w:rPr>
          <w:rFonts w:hint="eastAsia" w:ascii="仿宋" w:hAnsi="仿宋" w:eastAsia="仿宋" w:cs="仿宋"/>
          <w:sz w:val="32"/>
          <w:szCs w:val="32"/>
        </w:rPr>
        <w:t>“新乡贤联盟”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“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万</w:t>
      </w:r>
      <w:r>
        <w:rPr>
          <w:rFonts w:hint="eastAsia" w:ascii="仿宋" w:hAnsi="仿宋" w:eastAsia="仿宋" w:cs="仿宋"/>
          <w:sz w:val="32"/>
          <w:szCs w:val="32"/>
        </w:rPr>
        <w:t>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万</w:t>
      </w:r>
      <w:r>
        <w:rPr>
          <w:rFonts w:hint="eastAsia" w:ascii="仿宋" w:hAnsi="仿宋" w:eastAsia="仿宋" w:cs="仿宋"/>
          <w:sz w:val="32"/>
          <w:szCs w:val="32"/>
        </w:rPr>
        <w:t>村”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、“千元一棵树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·共建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同心‘园’”等品牌</w:t>
      </w:r>
      <w:r>
        <w:rPr>
          <w:rFonts w:hint="eastAsia" w:ascii="仿宋" w:hAnsi="仿宋" w:eastAsia="仿宋" w:cs="仿宋"/>
          <w:sz w:val="32"/>
          <w:szCs w:val="32"/>
        </w:rPr>
        <w:t>活动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围绕县委、县政府中心工作，积极履职，强化管理，通过加强预算收支的管理，不断建立健全内部管理制度，理顺内部管理流程，部门整体支出管理情况得到了提升，较好的完成了各项目标任务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240" w:lineRule="auto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五、存在的主要问题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预算的编制是一项对政策性、技术性和时效性都很强的工作，需要预算编制人员具有较高政策水平、专业技术水平和很强预测力。为适应国家更为严格、规范、精细化的财务管理要求提高预算的科学性、合理性，提高预算与执行资金的口径基本同步。因此我们需加强业务学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２、内部控制制度还待于进一步完善。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现金开支管理还需加强</w:t>
      </w:r>
      <w:r>
        <w:rPr>
          <w:rFonts w:hint="eastAsia" w:ascii="仿宋" w:hAnsi="仿宋" w:eastAsia="仿宋" w:cs="仿宋"/>
          <w:sz w:val="32"/>
          <w:szCs w:val="32"/>
        </w:rPr>
        <w:t>，减少现金支付。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240" w:lineRule="auto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六、改进措施和建议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/>
        <w:spacing w:line="240" w:lineRule="auto"/>
        <w:ind w:left="420" w:leftChars="20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进一步加强内部机构的预算管理意识，严格按照预算编制的相关制度和要求，进一步提高预算编制的科学性、合理性、严谨性和可控性，在日常预算管理过程中，进一步加强预算支出的审核、跟踪及预算执行情况分析。</w:t>
      </w:r>
    </w:p>
    <w:sectPr>
      <w:pgSz w:w="11906" w:h="16838"/>
      <w:pgMar w:top="1327" w:right="1191" w:bottom="1327" w:left="119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D2F6A13"/>
    <w:multiLevelType w:val="singleLevel"/>
    <w:tmpl w:val="ED2F6A13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hhMWNkODQ5OTUyYTU2YjYxOTk5YWI4NWM0Y2M3NDMifQ=="/>
  </w:docVars>
  <w:rsids>
    <w:rsidRoot w:val="5D3610EE"/>
    <w:rsid w:val="22B343DE"/>
    <w:rsid w:val="319825CF"/>
    <w:rsid w:val="3CCF7D73"/>
    <w:rsid w:val="40AF2C89"/>
    <w:rsid w:val="4B570D30"/>
    <w:rsid w:val="59DB04FA"/>
    <w:rsid w:val="5D361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widowControl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2931</Words>
  <Characters>3139</Characters>
  <Lines>0</Lines>
  <Paragraphs>0</Paragraphs>
  <TotalTime>15</TotalTime>
  <ScaleCrop>false</ScaleCrop>
  <LinksUpToDate>false</LinksUpToDate>
  <CharactersWithSpaces>3160</CharactersWithSpaces>
  <Application>WPS Office_11.8.2.8721_F1E327BC-269C-435d-A152-05C5408002CA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2022-04-20T01:43:00Z</dcterms:created>
  <dc:creator>Administrator</dc:creator>
  <cp:lastModifiedBy>系统管理员 null</cp:lastModifiedBy>
  <dcterms:modified xsi:type="dcterms:W3CDTF">2023-11-10T13:22:43Z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2052-11.8.2.8721</vt:lpwstr>
  </property>
  <property fmtid="{D5CDD505-2E9C-101B-9397-08002B2CF9AE}" pid="3" name="ICV">
    <vt:lpwstr>0034E01B791A48CC879EB614C04C00B1</vt:lpwstr>
  </property>
</Properties>
</file>