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2020年度衡南县</w:t>
      </w:r>
    </w:p>
    <w:p>
      <w:pPr>
        <w:pStyle w:val="10"/>
        <w:jc w:val="center"/>
        <w:rPr>
          <w:sz w:val="84"/>
          <w:szCs w:val="84"/>
        </w:rPr>
      </w:pPr>
      <w:r>
        <w:rPr>
          <w:rFonts w:hint="eastAsia"/>
          <w:sz w:val="84"/>
          <w:szCs w:val="84"/>
        </w:rPr>
        <w:t>政协部门决算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jc w:val="center"/>
        <w:rPr>
          <w:sz w:val="56"/>
          <w:szCs w:val="56"/>
        </w:rPr>
      </w:pPr>
    </w:p>
    <w:p>
      <w:pPr>
        <w:pStyle w:val="10"/>
        <w:spacing w:line="520" w:lineRule="exact"/>
        <w:jc w:val="center"/>
        <w:rPr>
          <w:sz w:val="56"/>
          <w:szCs w:val="56"/>
        </w:rPr>
      </w:pPr>
    </w:p>
    <w:p>
      <w:pPr>
        <w:pStyle w:val="10"/>
        <w:spacing w:line="520" w:lineRule="exact"/>
        <w:rPr>
          <w:rFonts w:ascii="仿宋_GB2312" w:hAnsi="仿宋_GB2312" w:cs="仿宋_GB2312"/>
          <w:b/>
          <w:sz w:val="28"/>
          <w:szCs w:val="28"/>
        </w:rPr>
      </w:pPr>
      <w:r>
        <w:rPr>
          <w:rFonts w:hint="eastAsia"/>
          <w:b/>
          <w:sz w:val="28"/>
          <w:szCs w:val="28"/>
        </w:rPr>
        <w:t>第一部分单位概况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第二部分2020年度部门决算表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第三部分2020年度部门决算情况说明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十四、关于2020年度预算绩效情况说明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黑体" w:hAnsi="黑体" w:eastAsia="黑体" w:cs="黑体"/>
          <w:b/>
          <w:color w:val="000000"/>
          <w:kern w:val="0"/>
          <w:sz w:val="28"/>
          <w:szCs w:val="28"/>
        </w:rPr>
        <w:t>第五部分附件</w:t>
      </w: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rPr>
          <w:rFonts w:ascii="黑体" w:hAnsi="黑体" w:eastAsia="黑体" w:cs="黑体"/>
          <w:b/>
          <w:color w:val="000000"/>
          <w:kern w:val="0"/>
          <w:sz w:val="28"/>
          <w:szCs w:val="28"/>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jc w:val="center"/>
        <w:rPr>
          <w:sz w:val="72"/>
          <w:szCs w:val="72"/>
        </w:rPr>
      </w:pPr>
    </w:p>
    <w:p>
      <w:pPr>
        <w:pStyle w:val="2"/>
        <w:rPr>
          <w:sz w:val="72"/>
          <w:szCs w:val="72"/>
        </w:rPr>
      </w:pPr>
    </w:p>
    <w:p>
      <w:pPr>
        <w:pStyle w:val="2"/>
        <w:jc w:val="center"/>
        <w:rPr>
          <w:sz w:val="72"/>
          <w:szCs w:val="72"/>
        </w:rPr>
      </w:pPr>
      <w:r>
        <w:rPr>
          <w:rFonts w:hint="eastAsia"/>
          <w:sz w:val="72"/>
          <w:szCs w:val="72"/>
        </w:rPr>
        <w:t>第一部分</w:t>
      </w:r>
    </w:p>
    <w:p>
      <w:pPr>
        <w:pStyle w:val="2"/>
        <w:jc w:val="center"/>
        <w:rPr>
          <w:sz w:val="72"/>
          <w:szCs w:val="72"/>
        </w:rPr>
      </w:pPr>
    </w:p>
    <w:p>
      <w:pPr>
        <w:pStyle w:val="2"/>
        <w:jc w:val="center"/>
        <w:rPr>
          <w:sz w:val="72"/>
          <w:szCs w:val="72"/>
        </w:rPr>
      </w:pPr>
      <w:r>
        <w:rPr>
          <w:rFonts w:hint="eastAsia"/>
          <w:sz w:val="72"/>
          <w:szCs w:val="72"/>
        </w:rPr>
        <w:t>衡南县政协单位概况</w:t>
      </w: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numPr>
          <w:ilvl w:val="0"/>
          <w:numId w:val="2"/>
        </w:numPr>
        <w:ind w:firstLine="640" w:firstLineChars="200"/>
        <w:jc w:val="left"/>
        <w:rPr>
          <w:rFonts w:asciiTheme="minorEastAsia" w:hAnsiTheme="minorEastAsia"/>
          <w:sz w:val="32"/>
          <w:szCs w:val="32"/>
        </w:rPr>
      </w:pPr>
      <w:r>
        <w:rPr>
          <w:rFonts w:hint="eastAsia" w:asciiTheme="minorEastAsia" w:hAnsiTheme="minorEastAsia"/>
          <w:sz w:val="32"/>
          <w:szCs w:val="32"/>
        </w:rPr>
        <w:t>政治协商，民主监督，参政议政。</w:t>
      </w:r>
    </w:p>
    <w:p>
      <w:pPr>
        <w:numPr>
          <w:ilvl w:val="0"/>
          <w:numId w:val="2"/>
        </w:numPr>
        <w:ind w:firstLine="640" w:firstLineChars="200"/>
        <w:jc w:val="left"/>
        <w:rPr>
          <w:rFonts w:ascii="仿宋_GB2312" w:eastAsia="仿宋_GB2312" w:hAnsiTheme="minorEastAsia"/>
          <w:sz w:val="28"/>
          <w:szCs w:val="32"/>
        </w:rPr>
      </w:pPr>
      <w:r>
        <w:rPr>
          <w:rFonts w:hint="eastAsia" w:asciiTheme="minorEastAsia" w:hAnsiTheme="minorEastAsia"/>
          <w:sz w:val="32"/>
          <w:szCs w:val="32"/>
        </w:rPr>
        <w:t>履行职能的六种主要方式会议（主席会，常委会，全委会，专题协商会等）；</w:t>
      </w:r>
    </w:p>
    <w:p>
      <w:pPr>
        <w:numPr>
          <w:ilvl w:val="0"/>
          <w:numId w:val="2"/>
        </w:numPr>
        <w:ind w:firstLine="640" w:firstLineChars="200"/>
        <w:jc w:val="left"/>
        <w:rPr>
          <w:rFonts w:ascii="仿宋_GB2312" w:eastAsia="仿宋_GB2312" w:hAnsiTheme="minorEastAsia"/>
          <w:sz w:val="28"/>
          <w:szCs w:val="32"/>
        </w:rPr>
      </w:pPr>
      <w:r>
        <w:rPr>
          <w:rFonts w:hint="eastAsia" w:asciiTheme="minorEastAsia" w:hAnsiTheme="minorEastAsia"/>
          <w:sz w:val="32"/>
          <w:szCs w:val="32"/>
        </w:rPr>
        <w:t>调研或视察；提案，建议案；民主评议；社情民意信息；委派民主监督员，通过开展各项工作协调全县党群等各种关系，汇聚各民</w:t>
      </w:r>
      <w:r>
        <w:rPr>
          <w:rFonts w:hint="eastAsia" w:asciiTheme="minorEastAsia" w:hAnsiTheme="minorEastAsia"/>
          <w:sz w:val="32"/>
          <w:szCs w:val="32"/>
          <w:lang w:val="en-US" w:eastAsia="zh-CN"/>
        </w:rPr>
        <w:t>主</w:t>
      </w:r>
      <w:r>
        <w:rPr>
          <w:rFonts w:hint="eastAsia" w:asciiTheme="minorEastAsia" w:hAnsiTheme="minorEastAsia"/>
          <w:sz w:val="32"/>
          <w:szCs w:val="32"/>
        </w:rPr>
        <w:t>党派，委员，界别的凝聚力，为县委，政府建言献策。</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（一）内设机构设置。内设机构包括：政协本级。</w:t>
      </w:r>
    </w:p>
    <w:p>
      <w:pPr>
        <w:widowControl/>
        <w:spacing w:line="600" w:lineRule="exact"/>
        <w:rPr>
          <w:rFonts w:asciiTheme="minorEastAsia" w:hAnsiTheme="minorEastAsia"/>
          <w:bCs/>
          <w:kern w:val="0"/>
          <w:sz w:val="28"/>
          <w:szCs w:val="28"/>
        </w:rPr>
      </w:pPr>
      <w:r>
        <w:rPr>
          <w:rFonts w:hint="eastAsia" w:asciiTheme="minorEastAsia" w:hAnsiTheme="minorEastAsia"/>
          <w:bCs/>
          <w:kern w:val="0"/>
          <w:sz w:val="28"/>
          <w:szCs w:val="28"/>
        </w:rPr>
        <w:t>（二）决算单位构成。2020年部门决算汇总公开单位构成包括：政协本级。</w:t>
      </w:r>
    </w:p>
    <w:p>
      <w:pPr>
        <w:jc w:val="left"/>
        <w:rPr>
          <w:rFonts w:ascii="仿宋_GB2312" w:eastAsia="仿宋_GB2312" w:hAnsiTheme="minorEastAsia"/>
          <w:sz w:val="28"/>
          <w:szCs w:val="32"/>
        </w:rPr>
      </w:pPr>
    </w:p>
    <w:p>
      <w:pPr>
        <w:jc w:val="center"/>
        <w:rPr>
          <w:sz w:val="72"/>
          <w:szCs w:val="72"/>
        </w:rPr>
      </w:pPr>
    </w:p>
    <w:p>
      <w:pPr>
        <w:pStyle w:val="2"/>
        <w:rPr>
          <w:sz w:val="72"/>
          <w:szCs w:val="72"/>
        </w:rPr>
      </w:pPr>
      <w:bookmarkStart w:id="0" w:name="_GoBack"/>
      <w:bookmarkEnd w:id="0"/>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pStyle w:val="2"/>
        <w:rPr>
          <w:sz w:val="72"/>
          <w:szCs w:val="72"/>
        </w:rPr>
      </w:pPr>
    </w:p>
    <w:p>
      <w:pPr>
        <w:jc w:val="center"/>
        <w:rPr>
          <w:sz w:val="72"/>
          <w:szCs w:val="72"/>
        </w:rPr>
      </w:pPr>
    </w:p>
    <w:p>
      <w:pPr>
        <w:jc w:val="center"/>
        <w:rPr>
          <w:sz w:val="72"/>
          <w:szCs w:val="72"/>
        </w:rPr>
      </w:pPr>
    </w:p>
    <w:p>
      <w:pPr>
        <w:pStyle w:val="10"/>
        <w:jc w:val="center"/>
        <w:rPr>
          <w:sz w:val="72"/>
          <w:szCs w:val="72"/>
        </w:rPr>
      </w:pPr>
    </w:p>
    <w:p>
      <w:pPr>
        <w:pStyle w:val="10"/>
        <w:jc w:val="center"/>
        <w:rPr>
          <w:sz w:val="72"/>
          <w:szCs w:val="72"/>
        </w:rPr>
      </w:pPr>
    </w:p>
    <w:p>
      <w:pPr>
        <w:jc w:val="center"/>
        <w:rPr>
          <w:sz w:val="72"/>
          <w:szCs w:val="72"/>
        </w:rPr>
      </w:pPr>
    </w:p>
    <w:p>
      <w:pPr>
        <w:jc w:val="center"/>
        <w:rPr>
          <w:sz w:val="72"/>
          <w:szCs w:val="72"/>
        </w:rPr>
      </w:pPr>
      <w:r>
        <w:rPr>
          <w:rFonts w:hint="eastAsia"/>
          <w:sz w:val="72"/>
          <w:szCs w:val="72"/>
        </w:rPr>
        <w:t>第三部分</w:t>
      </w:r>
    </w:p>
    <w:p>
      <w:pPr>
        <w:jc w:val="center"/>
        <w:rPr>
          <w:sz w:val="72"/>
          <w:szCs w:val="72"/>
        </w:rPr>
      </w:pPr>
    </w:p>
    <w:p>
      <w:pPr>
        <w:jc w:val="center"/>
        <w:rPr>
          <w:sz w:val="72"/>
          <w:szCs w:val="72"/>
        </w:rPr>
      </w:pPr>
      <w:r>
        <w:rPr>
          <w:rFonts w:hint="eastAsia"/>
          <w:sz w:val="72"/>
          <w:szCs w:val="72"/>
        </w:rPr>
        <w:t>2020年度部门决算情况说明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hAnsi="黑体"/>
          <w:b/>
          <w:sz w:val="32"/>
          <w:szCs w:val="32"/>
        </w:rPr>
      </w:pPr>
    </w:p>
    <w:p>
      <w:pPr>
        <w:pStyle w:val="10"/>
        <w:rPr>
          <w:rFonts w:hAnsi="黑体"/>
          <w:b/>
          <w:sz w:val="32"/>
          <w:szCs w:val="32"/>
        </w:rPr>
      </w:pPr>
      <w:r>
        <w:rPr>
          <w:rFonts w:hint="eastAsia" w:hAnsi="黑体"/>
          <w:b/>
          <w:sz w:val="32"/>
          <w:szCs w:val="32"/>
        </w:rPr>
        <w:t>一、收入支出决算总体情况说明</w:t>
      </w:r>
    </w:p>
    <w:p>
      <w:pPr>
        <w:spacing w:line="520" w:lineRule="exact"/>
        <w:ind w:firstLine="640"/>
        <w:rPr>
          <w:rFonts w:asciiTheme="minorEastAsia" w:hAnsiTheme="minorEastAsia"/>
          <w:sz w:val="32"/>
          <w:szCs w:val="32"/>
        </w:rPr>
      </w:pPr>
      <w:r>
        <w:rPr>
          <w:rFonts w:hint="eastAsia" w:asciiTheme="minorEastAsia" w:hAnsiTheme="minorEastAsia"/>
          <w:sz w:val="32"/>
          <w:szCs w:val="32"/>
        </w:rPr>
        <w:t>2020年度收、支总计675.48万元。与2019年相比，减少42.9万元，减少6</w:t>
      </w:r>
      <w:r>
        <w:rPr>
          <w:rFonts w:hint="eastAsia" w:asciiTheme="minorEastAsia" w:hAnsiTheme="minorEastAsia"/>
          <w:sz w:val="32"/>
          <w:szCs w:val="32"/>
          <w:lang w:val="zh-CN"/>
        </w:rPr>
        <w:t>%</w:t>
      </w:r>
      <w:r>
        <w:rPr>
          <w:rFonts w:hint="eastAsia" w:asciiTheme="minorEastAsia" w:hAnsiTheme="minorEastAsia"/>
          <w:sz w:val="32"/>
          <w:szCs w:val="32"/>
        </w:rPr>
        <w:t>，主要是因为：相关工作经费减少。</w:t>
      </w:r>
    </w:p>
    <w:p>
      <w:pPr>
        <w:pStyle w:val="10"/>
        <w:rPr>
          <w:rFonts w:hAnsi="黑体"/>
          <w:b/>
          <w:sz w:val="32"/>
          <w:szCs w:val="32"/>
        </w:rPr>
      </w:pPr>
      <w:r>
        <w:rPr>
          <w:rFonts w:hint="eastAsia" w:hAnsi="黑体"/>
          <w:b/>
          <w:sz w:val="32"/>
          <w:szCs w:val="32"/>
        </w:rPr>
        <w:t>二、收入决算情况说明</w:t>
      </w:r>
    </w:p>
    <w:p>
      <w:pPr>
        <w:spacing w:line="520" w:lineRule="exact"/>
        <w:ind w:firstLine="640"/>
        <w:rPr>
          <w:rFonts w:asciiTheme="minorEastAsia" w:hAnsiTheme="minorEastAsia"/>
          <w:sz w:val="32"/>
          <w:szCs w:val="32"/>
        </w:rPr>
      </w:pPr>
      <w:r>
        <w:rPr>
          <w:rFonts w:hint="eastAsia" w:asciiTheme="minorEastAsia" w:hAnsiTheme="minorEastAsia"/>
          <w:sz w:val="32"/>
          <w:szCs w:val="32"/>
        </w:rPr>
        <w:t>本年收入合计675.48万元，其中：财政拨款收入675.48万元，占100%；政府性基金预算财政拨款收入0万元，占0%，上级补助收入0万元，占0%；事业收入0万元，占0%；经营收入0万元，占0%；附属单位上缴收入0万元，占0%；其他收入0万元，占0%。与2019年相比，减少42.9万元，减少6</w:t>
      </w:r>
      <w:r>
        <w:rPr>
          <w:rFonts w:hint="eastAsia" w:asciiTheme="minorEastAsia" w:hAnsiTheme="minorEastAsia"/>
          <w:sz w:val="32"/>
          <w:szCs w:val="32"/>
          <w:lang w:val="zh-CN"/>
        </w:rPr>
        <w:t>%</w:t>
      </w:r>
      <w:r>
        <w:rPr>
          <w:rFonts w:hint="eastAsia" w:asciiTheme="minorEastAsia" w:hAnsiTheme="minorEastAsia"/>
          <w:sz w:val="32"/>
          <w:szCs w:val="32"/>
        </w:rPr>
        <w:t>，主要是因为：相关工作经费减少。</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cstheme="minorBidi"/>
          <w:color w:val="auto"/>
          <w:kern w:val="2"/>
          <w:sz w:val="32"/>
          <w:szCs w:val="32"/>
        </w:rPr>
        <w:t>675.48万</w:t>
      </w:r>
      <w:r>
        <w:rPr>
          <w:rFonts w:hint="eastAsia" w:asciiTheme="minorEastAsia" w:hAnsiTheme="minorEastAsia" w:eastAsiaTheme="minorEastAsia"/>
          <w:sz w:val="32"/>
          <w:szCs w:val="32"/>
        </w:rPr>
        <w:t>元，其中：基本支出462.36万元，占68.45%；项目支出213.12元，占31.55%；上缴上级支出0万元，占0%；经营支出0万元，占0%；对附属单位补助支出0万元，占0%。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5"/>
        <w:shd w:val="clear" w:color="auto" w:fill="FFFFFF"/>
        <w:spacing w:before="0" w:beforeAutospacing="0" w:after="0" w:afterAutospacing="0"/>
        <w:ind w:firstLine="640" w:firstLineChars="200"/>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2020年度财政拨款收、支总计</w:t>
      </w:r>
      <w:r>
        <w:rPr>
          <w:rFonts w:hint="eastAsia" w:asciiTheme="minorEastAsia" w:hAnsiTheme="minorEastAsia" w:eastAsiaTheme="minorEastAsia" w:cstheme="minorBidi"/>
          <w:kern w:val="2"/>
          <w:sz w:val="32"/>
          <w:szCs w:val="32"/>
        </w:rPr>
        <w:t>675.48</w:t>
      </w:r>
      <w:r>
        <w:rPr>
          <w:rFonts w:hint="eastAsia" w:cs="黑体" w:asciiTheme="minorEastAsia" w:hAnsiTheme="minorEastAsia" w:eastAsiaTheme="minorEastAsia"/>
          <w:color w:val="000000"/>
          <w:sz w:val="32"/>
          <w:szCs w:val="32"/>
        </w:rPr>
        <w:t>万元，</w:t>
      </w:r>
      <w:r>
        <w:rPr>
          <w:rFonts w:hint="eastAsia" w:asciiTheme="minorEastAsia" w:hAnsiTheme="minorEastAsia"/>
          <w:sz w:val="32"/>
          <w:szCs w:val="32"/>
        </w:rPr>
        <w:t>与2019年相比，减少42.9万元，减少6</w:t>
      </w:r>
      <w:r>
        <w:rPr>
          <w:rFonts w:hint="eastAsia" w:asciiTheme="minorEastAsia" w:hAnsiTheme="minorEastAsia"/>
          <w:sz w:val="32"/>
          <w:szCs w:val="32"/>
          <w:lang w:val="zh-CN"/>
        </w:rPr>
        <w:t>%</w:t>
      </w:r>
      <w:r>
        <w:rPr>
          <w:rFonts w:hint="eastAsia" w:asciiTheme="minorEastAsia" w:hAnsiTheme="minorEastAsia"/>
          <w:sz w:val="32"/>
          <w:szCs w:val="32"/>
        </w:rPr>
        <w:t>，主要是因为：相关工作经费减少。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5"/>
        <w:shd w:val="clear" w:color="auto" w:fill="FFFFFF"/>
        <w:spacing w:before="0" w:beforeAutospacing="0" w:after="0" w:afterAutospacing="0"/>
        <w:ind w:firstLine="640" w:firstLineChars="200"/>
        <w:rPr>
          <w:rFonts w:cs="黑体" w:asciiTheme="minorEastAsia" w:hAnsiTheme="minorEastAsia" w:eastAsiaTheme="minorEastAsia"/>
          <w:color w:val="000000"/>
          <w:sz w:val="32"/>
          <w:szCs w:val="32"/>
        </w:rPr>
      </w:pPr>
      <w:r>
        <w:rPr>
          <w:rFonts w:hint="eastAsia" w:cs="黑体" w:asciiTheme="minorEastAsia" w:hAnsiTheme="minorEastAsia" w:eastAsiaTheme="minorEastAsia"/>
          <w:color w:val="000000"/>
          <w:sz w:val="32"/>
          <w:szCs w:val="32"/>
        </w:rPr>
        <w:t>2020年度财政拨款支出</w:t>
      </w:r>
      <w:r>
        <w:rPr>
          <w:rFonts w:hint="eastAsia" w:asciiTheme="minorEastAsia" w:hAnsiTheme="minorEastAsia" w:eastAsiaTheme="minorEastAsia" w:cstheme="minorBidi"/>
          <w:kern w:val="2"/>
          <w:sz w:val="32"/>
          <w:szCs w:val="32"/>
        </w:rPr>
        <w:t>675.48</w:t>
      </w:r>
      <w:r>
        <w:rPr>
          <w:rFonts w:hint="eastAsia" w:cs="黑体" w:asciiTheme="minorEastAsia" w:hAnsiTheme="minorEastAsia" w:eastAsiaTheme="minorEastAsia"/>
          <w:color w:val="000000"/>
          <w:sz w:val="32"/>
          <w:szCs w:val="32"/>
        </w:rPr>
        <w:t>万元，占本年支出合计的100%，与2019年相比，财政拨款支出</w:t>
      </w:r>
      <w:r>
        <w:rPr>
          <w:rFonts w:hint="eastAsia" w:asciiTheme="minorEastAsia" w:hAnsiTheme="minorEastAsia"/>
          <w:sz w:val="32"/>
          <w:szCs w:val="32"/>
        </w:rPr>
        <w:t>减少42.9万元，减少6</w:t>
      </w:r>
      <w:r>
        <w:rPr>
          <w:rFonts w:hint="eastAsia" w:asciiTheme="minorEastAsia" w:hAnsiTheme="minorEastAsia"/>
          <w:sz w:val="32"/>
          <w:szCs w:val="32"/>
          <w:lang w:val="zh-CN"/>
        </w:rPr>
        <w:t>%</w:t>
      </w:r>
      <w:r>
        <w:rPr>
          <w:rFonts w:hint="eastAsia" w:cs="黑体" w:asciiTheme="minorEastAsia" w:hAnsiTheme="minorEastAsia" w:eastAsiaTheme="minorEastAsia"/>
          <w:color w:val="000000"/>
          <w:sz w:val="32"/>
          <w:szCs w:val="32"/>
        </w:rPr>
        <w:t>，</w:t>
      </w:r>
      <w:r>
        <w:rPr>
          <w:rFonts w:hint="eastAsia" w:asciiTheme="minorEastAsia" w:hAnsiTheme="minorEastAsia"/>
          <w:sz w:val="32"/>
          <w:szCs w:val="32"/>
        </w:rPr>
        <w:t>相关工作经费减少。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cstheme="minorBidi"/>
          <w:color w:val="auto"/>
          <w:kern w:val="2"/>
          <w:sz w:val="32"/>
          <w:szCs w:val="32"/>
        </w:rPr>
        <w:t>675.48</w:t>
      </w:r>
      <w:r>
        <w:rPr>
          <w:rFonts w:hint="eastAsia" w:asciiTheme="minorEastAsia" w:hAnsiTheme="minorEastAsia" w:eastAsiaTheme="minorEastAsia"/>
          <w:sz w:val="32"/>
          <w:szCs w:val="32"/>
        </w:rPr>
        <w:t>万元，主要用于以下方面：一般公共服务（类）支出608.23万元，占90.04%；社会保障和就业（类）支出40.55万元，占6%;卫生健康（类）支出14.69万元，占2.17%；住房保障（类）支出12.01万元，占1.78%。</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cstheme="minorBidi"/>
          <w:color w:val="auto"/>
          <w:kern w:val="2"/>
          <w:sz w:val="32"/>
          <w:szCs w:val="32"/>
        </w:rPr>
        <w:t>675.48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cstheme="minorBidi"/>
          <w:color w:val="auto"/>
          <w:kern w:val="2"/>
          <w:sz w:val="32"/>
          <w:szCs w:val="32"/>
        </w:rPr>
        <w:t>675.48</w:t>
      </w:r>
      <w:r>
        <w:rPr>
          <w:rFonts w:hint="eastAsia" w:asciiTheme="minorEastAsia" w:hAnsiTheme="minorEastAsia" w:eastAsiaTheme="minorEastAsia"/>
          <w:sz w:val="32"/>
          <w:szCs w:val="32"/>
        </w:rPr>
        <w:t>万元，完成年初预算的100%，其中：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年初预算为608.23万元，支出决算为</w:t>
      </w:r>
      <w:r>
        <w:rPr>
          <w:rFonts w:hint="eastAsia" w:asciiTheme="minorEastAsia" w:hAnsiTheme="minorEastAsia" w:eastAsiaTheme="minorEastAsia"/>
          <w:color w:val="auto"/>
          <w:sz w:val="32"/>
          <w:szCs w:val="32"/>
        </w:rPr>
        <w:t>608.23</w:t>
      </w:r>
      <w:r>
        <w:rPr>
          <w:rFonts w:hint="eastAsia" w:asciiTheme="minorEastAsia" w:hAnsiTheme="minorEastAsia" w:eastAsiaTheme="minorEastAsia"/>
          <w:sz w:val="32"/>
          <w:szCs w:val="32"/>
        </w:rPr>
        <w:t>万元，完成年初预算的100%，决算数与年初预算数持平。</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年初预算为40.55万元，支出决算为40.55万元，完成年初预算的100%，决算数与年初预算数持平。</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年初预算为14.69万元，支出决算为14.69万元，完成年初预算的100%，决算数与年初预算数持平。</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4.住房保障支出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年初预算为12.01万元，支出决算为12.01万元，完成年初预算的100%，决算数与年初预算数持平。</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462.36万元，其中：人员经费448.36万元，占基本支出的96.97%,主要包括基本工资、津贴补贴、奖金、绩效工资、机关事业单位基本养老保险缴费、职业年金缴费、职工基本医疗保险缴费、公务员医疗补助缴费、其他社会保障缴费、住房公积金、医疗费、其他工资福利支出、抚恤金、生活补助、其他对个人家庭补助支出；公用经费14万元，占基本支出的3.03%，主要包括办公费、水费、电费、邮电费、差旅费、维修（护）费、会议费、培训费、公务接待费、劳务费、工会经费、公务用车运行维护费、其他交通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“三公”经费年初预算2元，本年决算数1.74万元，完成预算度87%。比上年决算数2.09万元递减18.18%，决算数小于预算数主要原因是贯彻落实国家过“紧日子”要求，压减了一般性开支，努力降低行政运行成本。</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因公出国（境）费支出预算为0万元，支出决算为0万元，完成预算的0%，决算数与年初预算数持平。与上年一致，本年度无因公出国（境）。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公务接待本年年初预算2万元，本年决算数1.74万元，完成预算度87%。</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公务用车购置费及运行维护费支出预算为0万元，支出决算为0万元，完成预算的0%，决算数与年初预算数持平。</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2020年度“三公”经费财政拨款支出决算中，公务接待费支出决算1.74万元，占100%,因公出国（境）费支出决算0万元，占0%,公务用车购置费及运行维护费支出决算0万元，占0%。其中：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2、公务接待费支出决算为1.74万元，本年共接待45批次，共接待435人次，均为国内公务接待。</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公务用车运行维护费0万元。截至2020年12月31日，本单位保有车辆0辆，本年无新增公务车辆。</w:t>
      </w:r>
    </w:p>
    <w:p>
      <w:pPr>
        <w:pStyle w:val="10"/>
        <w:rPr>
          <w:rFonts w:hAnsi="黑体"/>
          <w:b/>
          <w:sz w:val="32"/>
          <w:szCs w:val="32"/>
        </w:rPr>
      </w:pPr>
      <w:r>
        <w:rPr>
          <w:rFonts w:hint="eastAsia" w:hAnsi="黑体"/>
          <w:b/>
          <w:sz w:val="32"/>
          <w:szCs w:val="32"/>
        </w:rPr>
        <w:t>八、政府性基金预算收入支出决算情况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2020年度本部门无政府性基金收支。</w:t>
      </w:r>
    </w:p>
    <w:p>
      <w:pPr>
        <w:pStyle w:val="10"/>
        <w:rPr>
          <w:rFonts w:hAnsi="黑体"/>
          <w:b/>
          <w:sz w:val="32"/>
          <w:szCs w:val="32"/>
        </w:rPr>
      </w:pPr>
      <w:r>
        <w:rPr>
          <w:rFonts w:hint="eastAsia" w:hAnsi="黑体"/>
          <w:b/>
          <w:sz w:val="32"/>
          <w:szCs w:val="32"/>
        </w:rPr>
        <w:t>九、国有资本经营预算财政拨款支出决算情况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本部门2020年没有国有资本经营预算财政拨款支出。</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机关运行经费本年支出14万元，与上年的</w:t>
      </w:r>
      <w:r>
        <w:rPr>
          <w:rFonts w:hint="eastAsia" w:asciiTheme="minorEastAsia" w:hAnsiTheme="minorEastAsia"/>
          <w:sz w:val="32"/>
          <w:szCs w:val="32"/>
        </w:rPr>
        <w:t>9.56</w:t>
      </w:r>
      <w:r>
        <w:rPr>
          <w:rFonts w:hint="eastAsia" w:asciiTheme="minorEastAsia" w:hAnsiTheme="minorEastAsia" w:eastAsiaTheme="minorEastAsia" w:cstheme="minorBidi"/>
          <w:color w:val="auto"/>
          <w:kern w:val="2"/>
          <w:sz w:val="32"/>
          <w:szCs w:val="32"/>
        </w:rPr>
        <w:t>万元相比，递增46.44%。变动原因为会议相关支出增加。</w:t>
      </w:r>
    </w:p>
    <w:p>
      <w:pPr>
        <w:pStyle w:val="10"/>
        <w:rPr>
          <w:rFonts w:hAnsi="黑体"/>
          <w:b/>
          <w:sz w:val="32"/>
          <w:szCs w:val="32"/>
        </w:rPr>
      </w:pPr>
      <w:r>
        <w:rPr>
          <w:rFonts w:hint="eastAsia" w:hAnsi="黑体"/>
          <w:b/>
          <w:sz w:val="32"/>
          <w:szCs w:val="32"/>
        </w:rPr>
        <w:t>十一、一般性支出情况</w:t>
      </w:r>
    </w:p>
    <w:p>
      <w:pPr>
        <w:pStyle w:val="10"/>
        <w:ind w:firstLine="640" w:firstLineChars="200"/>
        <w:rPr>
          <w:rFonts w:asciiTheme="minorEastAsia" w:hAnsiTheme="minorEastAsia" w:eastAsiaTheme="minorEastAsia" w:cstheme="minorBidi"/>
          <w:color w:val="auto"/>
          <w:kern w:val="2"/>
          <w:sz w:val="32"/>
          <w:szCs w:val="32"/>
          <w:lang w:val="zh-CN"/>
        </w:rPr>
      </w:pPr>
      <w:r>
        <w:rPr>
          <w:rFonts w:hint="eastAsia" w:asciiTheme="minorEastAsia" w:hAnsiTheme="minorEastAsia" w:eastAsiaTheme="minorEastAsia" w:cstheme="minorBidi"/>
          <w:color w:val="auto"/>
          <w:kern w:val="2"/>
          <w:sz w:val="32"/>
          <w:szCs w:val="32"/>
        </w:rPr>
        <w:t>会议费支出情况：2020年会议费完成11.9万元，比上年3.64万元，增加23.27%，增减变化的主要原因是：政协会议支出增加</w:t>
      </w:r>
      <w:r>
        <w:rPr>
          <w:rFonts w:hint="eastAsia" w:asciiTheme="minorEastAsia" w:hAnsiTheme="minorEastAsia" w:eastAsiaTheme="minorEastAsia" w:cstheme="minorBidi"/>
          <w:color w:val="auto"/>
          <w:kern w:val="2"/>
          <w:sz w:val="32"/>
          <w:szCs w:val="32"/>
          <w:lang w:val="zh-CN"/>
        </w:rPr>
        <w:t>。</w:t>
      </w:r>
    </w:p>
    <w:p>
      <w:pPr>
        <w:pStyle w:val="10"/>
        <w:rPr>
          <w:rFonts w:hAnsi="黑体"/>
          <w:b/>
          <w:sz w:val="32"/>
          <w:szCs w:val="32"/>
        </w:rPr>
      </w:pPr>
      <w:r>
        <w:rPr>
          <w:rFonts w:hint="eastAsia" w:hAnsi="黑体"/>
          <w:b/>
          <w:sz w:val="32"/>
          <w:szCs w:val="32"/>
        </w:rPr>
        <w:t>十二、关于政府采购支出说明</w:t>
      </w:r>
    </w:p>
    <w:p>
      <w:pPr>
        <w:pStyle w:val="10"/>
        <w:ind w:firstLine="640" w:firstLineChars="200"/>
        <w:rPr>
          <w:rFonts w:hAnsi="黑体"/>
          <w:b/>
          <w:sz w:val="32"/>
          <w:szCs w:val="32"/>
        </w:rPr>
      </w:pPr>
      <w:r>
        <w:rPr>
          <w:rFonts w:hint="eastAsia" w:asciiTheme="minorEastAsia" w:hAnsiTheme="minorEastAsia" w:eastAsiaTheme="minorEastAsia" w:cstheme="minorBidi"/>
          <w:color w:val="auto"/>
          <w:kern w:val="2"/>
          <w:sz w:val="32"/>
          <w:szCs w:val="32"/>
        </w:rPr>
        <w:t>本部门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520" w:lineRule="exact"/>
        <w:jc w:val="left"/>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十三、关于国有资产占用情况说明</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10"/>
        <w:rPr>
          <w:rFonts w:hAnsi="黑体"/>
          <w:b/>
          <w:sz w:val="32"/>
          <w:szCs w:val="32"/>
        </w:rPr>
      </w:pPr>
      <w:r>
        <w:rPr>
          <w:rFonts w:hint="eastAsia" w:hAnsi="黑体"/>
          <w:b/>
          <w:sz w:val="32"/>
          <w:szCs w:val="32"/>
        </w:rPr>
        <w:t>十四、关于2020年度预算绩效情况说明</w:t>
      </w:r>
    </w:p>
    <w:p>
      <w:pPr>
        <w:widowControl/>
        <w:jc w:val="left"/>
        <w:rPr>
          <w:rFonts w:asciiTheme="minorEastAsia" w:hAnsiTheme="minorEastAsia"/>
          <w:sz w:val="32"/>
          <w:szCs w:val="32"/>
        </w:rPr>
      </w:pPr>
      <w:r>
        <w:rPr>
          <w:rFonts w:hint="eastAsia" w:asciiTheme="minorEastAsia" w:hAnsiTheme="minorEastAsia"/>
          <w:sz w:val="32"/>
          <w:szCs w:val="32"/>
        </w:rPr>
        <w:t>（一）预算绩效管理工作开展情况</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对部门整体支出绩效开展了自评。绩效评价结果显示，我部门2020年度绩效目标完成较好，在预算配置、预算执行、预算管理等方面较好的支持了财政中心工作发展。2020年，我部门深入学习贯彻习近平总书记系列重要讲话精神，紧紧围绕县委、县政府决策部署，有效发挥财政职能作用，统筹做好稳增长、促改革、调结构、惠民生、防风险各项工作。</w:t>
      </w:r>
    </w:p>
    <w:p>
      <w:pPr>
        <w:widowControl/>
        <w:jc w:val="left"/>
        <w:rPr>
          <w:rFonts w:asciiTheme="minorEastAsia" w:hAnsiTheme="minorEastAsia"/>
          <w:sz w:val="32"/>
          <w:szCs w:val="32"/>
        </w:rPr>
      </w:pPr>
      <w:r>
        <w:rPr>
          <w:rFonts w:hint="eastAsia" w:asciiTheme="minorEastAsia" w:hAnsiTheme="minorEastAsia"/>
          <w:sz w:val="32"/>
          <w:szCs w:val="32"/>
        </w:rPr>
        <w:t>（二）部门整体支出绩效自评结果</w:t>
      </w:r>
    </w:p>
    <w:p>
      <w:pPr>
        <w:widowControl/>
        <w:ind w:firstLine="640" w:firstLineChars="200"/>
        <w:jc w:val="left"/>
        <w:rPr>
          <w:rFonts w:asciiTheme="minorEastAsia" w:hAnsiTheme="minorEastAsia"/>
          <w:sz w:val="32"/>
          <w:szCs w:val="32"/>
        </w:rPr>
      </w:pPr>
      <w:r>
        <w:rPr>
          <w:rFonts w:asciiTheme="minorEastAsia" w:hAnsiTheme="minorEastAsia"/>
          <w:sz w:val="32"/>
          <w:szCs w:val="32"/>
        </w:rPr>
        <w:t xml:space="preserve">2020 </w:t>
      </w:r>
      <w:r>
        <w:rPr>
          <w:rFonts w:hint="eastAsia" w:asciiTheme="minorEastAsia" w:hAnsiTheme="minorEastAsia"/>
          <w:sz w:val="32"/>
          <w:szCs w:val="32"/>
        </w:rPr>
        <w:t>年，在县委、县政府的坚强领导下，我部门坚持以习近平新时代中国特色社会主义思想为指导，认真落实中央和省委、省政府重大决策部署，以强化执行力、提升创新力、增强凝聚力为抓手，圆满完成了各项工作任务，根据部门整体支出绩效评价指标，部门整体支出绩效得分</w:t>
      </w:r>
      <w:r>
        <w:rPr>
          <w:rFonts w:hint="eastAsia" w:ascii="仿宋" w:hAnsi="仿宋" w:eastAsia="仿宋"/>
          <w:color w:val="000000" w:themeColor="text1"/>
          <w:sz w:val="32"/>
          <w:szCs w:val="32"/>
        </w:rPr>
        <w:t>96.98</w:t>
      </w:r>
      <w:r>
        <w:rPr>
          <w:rFonts w:hint="eastAsia" w:asciiTheme="minorEastAsia" w:hAnsiTheme="minorEastAsia"/>
          <w:sz w:val="32"/>
          <w:szCs w:val="32"/>
        </w:rPr>
        <w:t>分。从评价情况来看，预算执行有效，完成情况较好，基本达到预算绩效目标</w:t>
      </w:r>
    </w:p>
    <w:p>
      <w:pPr>
        <w:pStyle w:val="10"/>
        <w:ind w:firstLine="640" w:firstLineChars="200"/>
        <w:rPr>
          <w:rFonts w:asciiTheme="minorEastAsia" w:hAnsiTheme="minorEastAsia" w:eastAsiaTheme="minorEastAsia" w:cstheme="minorBidi"/>
          <w:color w:val="auto"/>
          <w:kern w:val="2"/>
          <w:sz w:val="32"/>
          <w:szCs w:val="32"/>
        </w:rPr>
      </w:pP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第四部分</w:t>
      </w:r>
    </w:p>
    <w:p>
      <w:pPr>
        <w:jc w:val="center"/>
        <w:rPr>
          <w:sz w:val="72"/>
          <w:szCs w:val="72"/>
        </w:rPr>
      </w:pPr>
    </w:p>
    <w:p>
      <w:pPr>
        <w:jc w:val="center"/>
        <w:rPr>
          <w:sz w:val="72"/>
          <w:szCs w:val="72"/>
        </w:rPr>
      </w:pPr>
      <w:r>
        <w:rPr>
          <w:rFonts w:hint="eastAsia"/>
          <w:sz w:val="72"/>
          <w:szCs w:val="72"/>
        </w:rPr>
        <w:t>名词解释</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widowControl/>
        <w:jc w:val="left"/>
        <w:rPr>
          <w:color w:val="333333"/>
          <w:sz w:val="28"/>
          <w:szCs w:val="28"/>
        </w:rPr>
      </w:pPr>
    </w:p>
    <w:p>
      <w:pPr>
        <w:widowControl/>
        <w:ind w:firstLine="560" w:firstLineChars="200"/>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三、附属单位上缴收入：指事业单位附属独立核算单位按有关规定上缴的收入。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四、其他收入：指单位取得的除上述“财政拨款收入”、“事业收入”、“附属单位上缴收入”等以外的收入。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五、年初结转和结余：指以前年度尚未完成、结转到本年仍按有关规定继续使用的资金。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七、结余分配：指事业单位按规定提取的职工福利基金、事业基金和缴纳的所得税，以及建设单位按规定应交回的基本建设竣工项目结余资金。 </w:t>
      </w:r>
    </w:p>
    <w:p>
      <w:pPr>
        <w:pStyle w:val="5"/>
        <w:shd w:val="clear" w:color="auto" w:fill="FFFFFF"/>
        <w:spacing w:before="0" w:beforeAutospacing="0" w:after="0" w:afterAutospacing="0"/>
        <w:rPr>
          <w:color w:val="333333"/>
          <w:sz w:val="28"/>
          <w:szCs w:val="28"/>
        </w:rPr>
      </w:pPr>
      <w:r>
        <w:rPr>
          <w:rFonts w:hint="eastAsia"/>
          <w:color w:val="333333"/>
          <w:sz w:val="28"/>
          <w:szCs w:val="28"/>
        </w:rPr>
        <w:t>八、年末结转和结余：指本年度或以前年度预算安排、因客观条件发生变化无法按原计划实施，需延迟到以后年度按有关规定继续使用的资金。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九、基本支出：指为保障机构正常运转、完成日常工作任务而发生的人员支出和公用支出。 </w:t>
      </w:r>
    </w:p>
    <w:p>
      <w:pPr>
        <w:pStyle w:val="5"/>
        <w:shd w:val="clear" w:color="auto" w:fill="FFFFFF"/>
        <w:spacing w:before="0" w:beforeAutospacing="0" w:after="0" w:afterAutospacing="0"/>
        <w:rPr>
          <w:color w:val="333333"/>
          <w:sz w:val="28"/>
          <w:szCs w:val="28"/>
        </w:rPr>
      </w:pPr>
      <w:r>
        <w:rPr>
          <w:rFonts w:hint="eastAsia"/>
          <w:color w:val="333333"/>
          <w:sz w:val="28"/>
          <w:szCs w:val="28"/>
        </w:rPr>
        <w:t>十、项目支出：指在基本支出之外，为完成特定行政任务和事业发展目标所发生的支出。 </w:t>
      </w:r>
    </w:p>
    <w:p>
      <w:pPr>
        <w:pStyle w:val="5"/>
        <w:shd w:val="clear" w:color="auto" w:fill="FFFFFF"/>
        <w:spacing w:before="0" w:beforeAutospacing="0" w:after="0" w:afterAutospacing="0"/>
        <w:rPr>
          <w:color w:val="333333"/>
          <w:sz w:val="28"/>
          <w:szCs w:val="28"/>
        </w:rPr>
      </w:pPr>
      <w:r>
        <w:rPr>
          <w:rFonts w:hint="eastAsia"/>
          <w:color w:val="333333"/>
          <w:sz w:val="28"/>
          <w:szCs w:val="28"/>
        </w:rPr>
        <w:t>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jc w:val="left"/>
        <w:rPr>
          <w:rFonts w:asciiTheme="minorEastAsia" w:hAnsiTheme="minorEastAsia"/>
          <w:i/>
          <w:color w:val="FF000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第五部分</w:t>
      </w:r>
    </w:p>
    <w:p>
      <w:pPr>
        <w:pStyle w:val="10"/>
        <w:jc w:val="center"/>
        <w:rPr>
          <w:rFonts w:asciiTheme="minorHAnsi" w:eastAsiaTheme="minorEastAsia" w:cstheme="minorBidi"/>
          <w:color w:val="auto"/>
          <w:kern w:val="2"/>
          <w:sz w:val="72"/>
          <w:szCs w:val="72"/>
        </w:rPr>
      </w:pPr>
    </w:p>
    <w:p>
      <w:pPr>
        <w:pStyle w:val="10"/>
        <w:jc w:val="center"/>
        <w:rPr>
          <w:rFonts w:asciiTheme="minorHAnsi" w:eastAsiaTheme="minorEastAsia" w:cstheme="minorBidi"/>
          <w:color w:val="auto"/>
          <w:kern w:val="2"/>
          <w:sz w:val="72"/>
          <w:szCs w:val="72"/>
        </w:rPr>
      </w:pPr>
      <w:r>
        <w:rPr>
          <w:rFonts w:hint="eastAsia" w:asciiTheme="minorHAnsi" w:eastAsiaTheme="minorEastAsia" w:cstheme="minorBidi"/>
          <w:color w:val="auto"/>
          <w:kern w:val="2"/>
          <w:sz w:val="72"/>
          <w:szCs w:val="72"/>
        </w:rPr>
        <w:t>附件</w:t>
      </w: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jc w:val="center"/>
        <w:rPr>
          <w:rFonts w:cs="黑体" w:asciiTheme="minorEastAsia" w:hAnsiTheme="minorEastAsia"/>
          <w:b/>
          <w:color w:val="000000"/>
          <w:kern w:val="0"/>
          <w:sz w:val="32"/>
          <w:szCs w:val="32"/>
        </w:rPr>
      </w:pPr>
    </w:p>
    <w:p>
      <w:pPr>
        <w:widowControl/>
        <w:spacing w:line="315" w:lineRule="atLeast"/>
        <w:rPr>
          <w:rFonts w:ascii="宋体" w:cs="宋体"/>
        </w:rPr>
      </w:pPr>
    </w:p>
    <w:p>
      <w:pPr>
        <w:widowControl/>
        <w:spacing w:line="540" w:lineRule="atLeast"/>
        <w:jc w:val="center"/>
        <w:rPr>
          <w:rFonts w:ascii="宋体" w:cs="宋体"/>
          <w:b/>
          <w:bCs/>
          <w:color w:val="000000"/>
          <w:kern w:val="0"/>
          <w:sz w:val="36"/>
          <w:szCs w:val="36"/>
        </w:rPr>
      </w:pPr>
      <w:r>
        <w:rPr>
          <w:rFonts w:hint="eastAsia" w:ascii="宋体" w:hAnsi="宋体" w:cs="宋体"/>
          <w:b/>
          <w:bCs/>
          <w:color w:val="000000"/>
          <w:kern w:val="0"/>
          <w:sz w:val="36"/>
          <w:szCs w:val="36"/>
        </w:rPr>
        <w:t>衡南县政协2020年部门整体支出绩效自评报告</w:t>
      </w:r>
    </w:p>
    <w:p>
      <w:pPr>
        <w:widowControl/>
        <w:spacing w:line="540" w:lineRule="atLeast"/>
        <w:jc w:val="center"/>
        <w:rPr>
          <w:rFonts w:ascii="宋体" w:cs="宋体"/>
          <w:b/>
          <w:bCs/>
          <w:color w:val="000000"/>
          <w:kern w:val="0"/>
          <w:sz w:val="36"/>
          <w:szCs w:val="36"/>
        </w:rPr>
      </w:pP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为加强预算资金管理，进一步规范预算资金使用，提高财政资金使用效益，根据《衡南县财政局关于开展2020年度县级财政资金绩效自评工作的通知》要求，我单位积极组织，对2020年度本单位整体支出进行了绩效自评，现将具体绩效评价情况报告如下：</w:t>
      </w:r>
    </w:p>
    <w:p>
      <w:pPr>
        <w:pStyle w:val="5"/>
        <w:ind w:left="241" w:firstLine="560" w:firstLineChars="200"/>
        <w:rPr>
          <w:b/>
          <w:color w:val="000000"/>
          <w:sz w:val="28"/>
          <w:szCs w:val="28"/>
        </w:rPr>
      </w:pPr>
      <w:r>
        <w:rPr>
          <w:rFonts w:hint="eastAsia"/>
          <w:b/>
          <w:color w:val="000000"/>
          <w:sz w:val="28"/>
          <w:szCs w:val="28"/>
        </w:rPr>
        <w:t>一、部门基本情况</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（一）部门职责。</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中国人民政治协商会议湖南省衡南县委员系正处级级单位，办公地址为衡南县云集镇黄金路，组织机构代码：1143042200627415XM。主要职能如下：</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中国人民政治协商会议湖南省衡南县委员的主要职能是政治协商、民主监督、参政议政。</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政治协商是对国家和地方的大政方针以及政治、经济、文化和社会生活中的重要问题在决策之前进行协商和就决策执行过程中的重要问题进行协商。政协衡南县委员会可根据中共衡南县委、县人大常委会、县政府、县民主党派、县人民团体的提议，举行有各党派、团体的负责人和各族各界人士的代表参加的会议，进行协商，亦可建议上列单位将有关重要问题提交协商。</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民主监督是对国家宪法、法律和法规的实施，重大方针政策的贯彻执行、国家机关及其工作人员的工作，通过建议和批评进行监督。</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参政议政是对政治、经济、文化和社会生活中的重要问题以及人民群众普遍关心的问题，开展调查研究，反映社情民意，进行协商讨论。通过调研报告、提案、建议案或其他形式，向中共和国家机关提出意见和建议。</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（二）机构设置情况。2020年本单位下设7个工作机构办公室、委员学习联络委员会、提案委员会、经济科技和外事委员会、农业农村和人口资源环境委员会、文教卫体和文史委员会、社会法制和民族宗教委员会。</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（三）人员编制情况。2020年底，我单位现有在职干部职工32人，其中行政编制27名、全额事业单位编制4名。</w:t>
      </w:r>
    </w:p>
    <w:p>
      <w:pPr>
        <w:spacing w:line="52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二、部门整体支出管理及使用情况</w:t>
      </w:r>
    </w:p>
    <w:p>
      <w:pPr>
        <w:spacing w:line="520" w:lineRule="exact"/>
        <w:ind w:firstLine="640" w:firstLineChars="200"/>
        <w:rPr>
          <w:rFonts w:ascii="黑体" w:hAnsi="黑体" w:eastAsia="黑体"/>
          <w:color w:val="000000" w:themeColor="text1"/>
          <w:sz w:val="32"/>
          <w:szCs w:val="32"/>
        </w:rPr>
      </w:pPr>
      <w:r>
        <w:rPr>
          <w:rFonts w:hint="eastAsia" w:ascii="楷体" w:hAnsi="楷体" w:eastAsia="楷体" w:cs="楷体"/>
          <w:b/>
          <w:color w:val="000000" w:themeColor="text1"/>
          <w:sz w:val="32"/>
          <w:szCs w:val="32"/>
        </w:rPr>
        <w:t>（一）部门预算收支情况</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我单位2020年年初各项支出预算批复经费包干数为593.47万元，其中工资福利支出295.27万元，一般商品服务支出23.2万元，专项经费275万元。全年预算指标合计为593.47万元。</w:t>
      </w:r>
    </w:p>
    <w:p>
      <w:pPr>
        <w:widowControl/>
        <w:spacing w:line="540" w:lineRule="atLeas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上年结转结余资金0万元，全年决算收入总计为675.48万元；2020年支出决算数为675.48万元，年末结转和结余数为0万元。</w:t>
      </w:r>
    </w:p>
    <w:p>
      <w:pPr>
        <w:spacing w:line="520" w:lineRule="exact"/>
        <w:ind w:firstLine="640"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（二）支出分类情况</w:t>
      </w:r>
    </w:p>
    <w:p>
      <w:pPr>
        <w:spacing w:line="520" w:lineRule="exact"/>
        <w:ind w:firstLine="640"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1、基本支出情况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我单位基本支出范围和主要用途包括人员经费和日常公用经费，具体包括：工资福利支出、一般商品和服务支出、资本性支出等。2020年度基本支出的管理和使用情况如下：本级基本支出总额318.47万元，其中工资福利支出295.27万元，日常公用经费23.2万元。</w:t>
      </w:r>
    </w:p>
    <w:p>
      <w:pPr>
        <w:spacing w:line="520" w:lineRule="exact"/>
        <w:ind w:firstLine="640"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2、专项支出情况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2020年我单位专项资金支出275万元，用于政协专项工作相关工作支出48万元，用于政协会议相关工作支出80万元，用于政协委员活动相关工作支出75万元，用于文史资料相关工作支出12万元，用于政协文史编纂相关工作支出20万元，用于参政、议政、民主监督相关工作支出35万元，用于政协常委会议经费5万元。</w:t>
      </w:r>
    </w:p>
    <w:p>
      <w:pPr>
        <w:spacing w:line="520" w:lineRule="exact"/>
        <w:ind w:firstLine="640" w:firstLineChars="200"/>
        <w:rPr>
          <w:rFonts w:ascii="楷体" w:hAnsi="楷体" w:eastAsia="楷体" w:cs="楷体"/>
          <w:b/>
          <w:color w:val="000000" w:themeColor="text1"/>
          <w:sz w:val="32"/>
          <w:szCs w:val="32"/>
        </w:rPr>
      </w:pPr>
      <w:r>
        <w:rPr>
          <w:rFonts w:hint="eastAsia" w:ascii="楷体" w:hAnsi="楷体" w:eastAsia="楷体" w:cs="楷体"/>
          <w:b/>
          <w:color w:val="000000" w:themeColor="text1"/>
          <w:sz w:val="32"/>
          <w:szCs w:val="32"/>
        </w:rPr>
        <w:t>（三）“三公”经费情况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2020年我单位“三公”经费预算控制数为2万元，其中“因公出国（境）费”和“公务用车购置及运行维护费”均为0元，“公务接待费”预算为2万元。2020年实际支出均控制在预算范围内，其中：因公出国（境）费”和“公务用车购置及运行维护费”实际支出为0元，“公务接待费”实际支出1.74万元，较上年度减少0.35万元。</w:t>
      </w:r>
    </w:p>
    <w:p>
      <w:pPr>
        <w:spacing w:line="520" w:lineRule="exact"/>
        <w:ind w:firstLine="640" w:firstLineChars="200"/>
        <w:rPr>
          <w:rFonts w:ascii="宋体" w:hAnsi="宋体" w:cs="宋体"/>
          <w:b/>
          <w:color w:val="000000"/>
          <w:sz w:val="28"/>
          <w:szCs w:val="28"/>
        </w:rPr>
      </w:pPr>
      <w:r>
        <w:rPr>
          <w:rFonts w:hint="eastAsia" w:ascii="黑体" w:hAnsi="黑体" w:eastAsia="黑体" w:cs="Times New Roman"/>
          <w:color w:val="000000" w:themeColor="text1"/>
          <w:sz w:val="32"/>
          <w:szCs w:val="32"/>
        </w:rPr>
        <w:t>三、部门整体支出绩效评价情况</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2020年衡南县政协整体支出资金资金使用基本上符合政策要求，合理合法，使用有效，管理较规范， 根据《整体支出资金项目绩效评价指标体系》评分，得分96.98分（详见附件1），财政支出绩效为“优”。</w:t>
      </w:r>
    </w:p>
    <w:p>
      <w:pPr>
        <w:pStyle w:val="5"/>
        <w:ind w:left="241" w:firstLine="560" w:firstLineChars="200"/>
        <w:rPr>
          <w:b/>
          <w:color w:val="000000"/>
          <w:sz w:val="28"/>
          <w:szCs w:val="28"/>
        </w:rPr>
      </w:pPr>
      <w:r>
        <w:rPr>
          <w:rFonts w:hint="eastAsia"/>
          <w:b/>
          <w:color w:val="000000"/>
          <w:sz w:val="28"/>
          <w:szCs w:val="28"/>
        </w:rPr>
        <w:t>四、存在问题</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(1)年初编制的预算不够精确，预算控制率较低，影响单位评分及评价等次。</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(2)预算执行情况还有待加强。</w:t>
      </w:r>
    </w:p>
    <w:p>
      <w:pPr>
        <w:pStyle w:val="5"/>
        <w:ind w:left="241" w:firstLine="560" w:firstLineChars="200"/>
        <w:rPr>
          <w:b/>
          <w:color w:val="000000"/>
          <w:sz w:val="28"/>
          <w:szCs w:val="28"/>
        </w:rPr>
      </w:pPr>
      <w:r>
        <w:rPr>
          <w:rFonts w:hint="eastAsia"/>
          <w:b/>
          <w:color w:val="000000"/>
          <w:sz w:val="28"/>
          <w:szCs w:val="28"/>
        </w:rPr>
        <w:t>五、改进措施建议。</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spacing w:line="5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2、在日常预算管理过程中，进一步加强预算支出的审核、跟踪及预算执行情况分析。</w:t>
      </w:r>
    </w:p>
    <w:p>
      <w:pPr>
        <w:spacing w:line="520" w:lineRule="exact"/>
        <w:ind w:firstLine="640" w:firstLineChars="200"/>
        <w:rPr>
          <w:rFonts w:ascii="仿宋" w:hAnsi="仿宋" w:eastAsia="仿宋"/>
          <w:color w:val="000000" w:themeColor="text1"/>
          <w:sz w:val="32"/>
          <w:szCs w:val="32"/>
        </w:rPr>
      </w:pPr>
    </w:p>
    <w:p>
      <w:pPr>
        <w:widowControl/>
        <w:spacing w:line="540" w:lineRule="atLeast"/>
        <w:ind w:firstLine="560" w:firstLineChars="200"/>
        <w:jc w:val="left"/>
        <w:rPr>
          <w:rFonts w:ascii="宋体" w:eastAsia="宋体" w:cs="宋体"/>
          <w:sz w:val="28"/>
          <w:szCs w:val="28"/>
        </w:rPr>
      </w:pPr>
      <w:r>
        <w:rPr>
          <w:rFonts w:ascii="宋体" w:cs="宋体"/>
          <w:color w:val="000000"/>
          <w:kern w:val="0"/>
          <w:sz w:val="28"/>
          <w:szCs w:val="28"/>
        </w:rPr>
        <w:t> </w:t>
      </w:r>
    </w:p>
    <w:p>
      <w:pPr>
        <w:ind w:firstLine="640" w:firstLineChars="200"/>
        <w:jc w:val="left"/>
        <w:rPr>
          <w:rFonts w:cs="黑体" w:asciiTheme="minorEastAsia" w:hAnsiTheme="minorEastAsia"/>
          <w:color w:val="000000"/>
          <w:kern w:val="0"/>
          <w:sz w:val="32"/>
          <w:szCs w:val="32"/>
        </w:rPr>
      </w:pPr>
    </w:p>
    <w:sectPr>
      <w:pgSz w:w="11906" w:h="16838"/>
      <w:pgMar w:top="720" w:right="1306" w:bottom="720" w:left="136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3E89B2"/>
    <w:multiLevelType w:val="singleLevel"/>
    <w:tmpl w:val="E23E89B2"/>
    <w:lvl w:ilvl="0" w:tentative="0">
      <w:start w:val="1"/>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506F9"/>
    <w:rsid w:val="000040DA"/>
    <w:rsid w:val="0002229B"/>
    <w:rsid w:val="000273BD"/>
    <w:rsid w:val="00035368"/>
    <w:rsid w:val="000415B7"/>
    <w:rsid w:val="000658A3"/>
    <w:rsid w:val="00074155"/>
    <w:rsid w:val="000A3F69"/>
    <w:rsid w:val="000B1A5F"/>
    <w:rsid w:val="000E79FC"/>
    <w:rsid w:val="00141F70"/>
    <w:rsid w:val="001456C6"/>
    <w:rsid w:val="00150616"/>
    <w:rsid w:val="00152C6D"/>
    <w:rsid w:val="00162D39"/>
    <w:rsid w:val="001766A8"/>
    <w:rsid w:val="0019502C"/>
    <w:rsid w:val="001A67DB"/>
    <w:rsid w:val="001D51E5"/>
    <w:rsid w:val="001D7DBF"/>
    <w:rsid w:val="001F0C3B"/>
    <w:rsid w:val="00214427"/>
    <w:rsid w:val="00220194"/>
    <w:rsid w:val="00236503"/>
    <w:rsid w:val="00240573"/>
    <w:rsid w:val="00265724"/>
    <w:rsid w:val="0027426B"/>
    <w:rsid w:val="00275391"/>
    <w:rsid w:val="002E2553"/>
    <w:rsid w:val="00310E54"/>
    <w:rsid w:val="003479BD"/>
    <w:rsid w:val="003768D5"/>
    <w:rsid w:val="004506F9"/>
    <w:rsid w:val="004717A2"/>
    <w:rsid w:val="0048147C"/>
    <w:rsid w:val="00491741"/>
    <w:rsid w:val="004D72CA"/>
    <w:rsid w:val="00500E5F"/>
    <w:rsid w:val="00504E20"/>
    <w:rsid w:val="005122EF"/>
    <w:rsid w:val="00517C33"/>
    <w:rsid w:val="00523644"/>
    <w:rsid w:val="0054069E"/>
    <w:rsid w:val="005767CC"/>
    <w:rsid w:val="00590D9F"/>
    <w:rsid w:val="00595D26"/>
    <w:rsid w:val="005A74E6"/>
    <w:rsid w:val="005D0B6D"/>
    <w:rsid w:val="005D2996"/>
    <w:rsid w:val="005D4D55"/>
    <w:rsid w:val="005E2CFB"/>
    <w:rsid w:val="0062378F"/>
    <w:rsid w:val="00651EEC"/>
    <w:rsid w:val="00652FEE"/>
    <w:rsid w:val="006A351B"/>
    <w:rsid w:val="006B0422"/>
    <w:rsid w:val="006C1B53"/>
    <w:rsid w:val="006D7730"/>
    <w:rsid w:val="006E33E6"/>
    <w:rsid w:val="006E5284"/>
    <w:rsid w:val="006F3EB5"/>
    <w:rsid w:val="00702E34"/>
    <w:rsid w:val="00704395"/>
    <w:rsid w:val="00720FF1"/>
    <w:rsid w:val="0079646A"/>
    <w:rsid w:val="007A19B3"/>
    <w:rsid w:val="007E4F18"/>
    <w:rsid w:val="00800CF2"/>
    <w:rsid w:val="00801C2C"/>
    <w:rsid w:val="00812ED5"/>
    <w:rsid w:val="008277D9"/>
    <w:rsid w:val="008A3E8D"/>
    <w:rsid w:val="009016AF"/>
    <w:rsid w:val="009237C4"/>
    <w:rsid w:val="00942649"/>
    <w:rsid w:val="00950252"/>
    <w:rsid w:val="00967F5D"/>
    <w:rsid w:val="009A0F95"/>
    <w:rsid w:val="009B3ADF"/>
    <w:rsid w:val="009C3B52"/>
    <w:rsid w:val="00A42218"/>
    <w:rsid w:val="00A574ED"/>
    <w:rsid w:val="00A70249"/>
    <w:rsid w:val="00A947E0"/>
    <w:rsid w:val="00B128B0"/>
    <w:rsid w:val="00B33BEA"/>
    <w:rsid w:val="00B37021"/>
    <w:rsid w:val="00B57C9F"/>
    <w:rsid w:val="00B845B3"/>
    <w:rsid w:val="00B85D8B"/>
    <w:rsid w:val="00BE3674"/>
    <w:rsid w:val="00C0697D"/>
    <w:rsid w:val="00C22F7A"/>
    <w:rsid w:val="00C3049A"/>
    <w:rsid w:val="00C31B1E"/>
    <w:rsid w:val="00C67010"/>
    <w:rsid w:val="00C77645"/>
    <w:rsid w:val="00C87328"/>
    <w:rsid w:val="00CA2069"/>
    <w:rsid w:val="00CE04C3"/>
    <w:rsid w:val="00CE76A0"/>
    <w:rsid w:val="00D148C6"/>
    <w:rsid w:val="00D17642"/>
    <w:rsid w:val="00D94744"/>
    <w:rsid w:val="00DD06FF"/>
    <w:rsid w:val="00DD5FE9"/>
    <w:rsid w:val="00E00C7A"/>
    <w:rsid w:val="00E01863"/>
    <w:rsid w:val="00E55B68"/>
    <w:rsid w:val="00EF29EE"/>
    <w:rsid w:val="00F74360"/>
    <w:rsid w:val="00FB3E68"/>
    <w:rsid w:val="00FB462F"/>
    <w:rsid w:val="00FE0C89"/>
    <w:rsid w:val="00FE16FA"/>
    <w:rsid w:val="00FE328A"/>
    <w:rsid w:val="01A15481"/>
    <w:rsid w:val="01CC3ABE"/>
    <w:rsid w:val="02457A34"/>
    <w:rsid w:val="05C0754B"/>
    <w:rsid w:val="06E96BA0"/>
    <w:rsid w:val="0A733E75"/>
    <w:rsid w:val="0A9D5880"/>
    <w:rsid w:val="0C697503"/>
    <w:rsid w:val="1575462F"/>
    <w:rsid w:val="18F31DD8"/>
    <w:rsid w:val="1B776439"/>
    <w:rsid w:val="1C8C19E4"/>
    <w:rsid w:val="1D55766A"/>
    <w:rsid w:val="206456D9"/>
    <w:rsid w:val="20C332C3"/>
    <w:rsid w:val="26955EA5"/>
    <w:rsid w:val="27084BCE"/>
    <w:rsid w:val="2A2C24F5"/>
    <w:rsid w:val="2C2D7B92"/>
    <w:rsid w:val="39FA17E5"/>
    <w:rsid w:val="3DBD6389"/>
    <w:rsid w:val="4086613A"/>
    <w:rsid w:val="424E6F24"/>
    <w:rsid w:val="442D0332"/>
    <w:rsid w:val="49C661FF"/>
    <w:rsid w:val="4A57301D"/>
    <w:rsid w:val="4E8A1B27"/>
    <w:rsid w:val="54544DBE"/>
    <w:rsid w:val="5DA14CA4"/>
    <w:rsid w:val="5E6504E0"/>
    <w:rsid w:val="616E017D"/>
    <w:rsid w:val="628E4E74"/>
    <w:rsid w:val="67666E50"/>
    <w:rsid w:val="6A6F56DB"/>
    <w:rsid w:val="7186216A"/>
    <w:rsid w:val="78DA69F4"/>
    <w:rsid w:val="795C4A84"/>
    <w:rsid w:val="796E28C6"/>
    <w:rsid w:val="79B850D5"/>
    <w:rsid w:val="7C4C66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Balloon Text"/>
    <w:basedOn w:val="1"/>
    <w:link w:val="12"/>
    <w:semiHidden/>
    <w:unhideWhenUsed/>
    <w:qFormat/>
    <w:uiPriority w:val="99"/>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4334FE-0C61-4768-B13C-9B0CF84FBAF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942</Words>
  <Characters>5372</Characters>
  <Lines>44</Lines>
  <Paragraphs>12</Paragraphs>
  <TotalTime>12</TotalTime>
  <ScaleCrop>false</ScaleCrop>
  <LinksUpToDate>false</LinksUpToDate>
  <CharactersWithSpaces>6302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2020-09-24T01:10:00Z</dcterms:created>
  <dc:creator>李航 null</dc:creator>
  <cp:lastModifiedBy>茜茜</cp:lastModifiedBy>
  <cp:lastPrinted>2020-09-24T07:08:00Z</cp:lastPrinted>
  <dcterms:modified xsi:type="dcterms:W3CDTF">2023-11-08T05:49:29Z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BBDDD598BE864B57A4DE608308D36AC6</vt:lpwstr>
  </property>
</Properties>
</file>