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衡南县公安局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整体支出绩效自评报告</w:t>
      </w: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spacing w:line="60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为了从整体上提升衡南县公安局预算绩效管理工作水平，规范资金管理行为，提高财政资金使用效益，更好的履行职责，根据绩效评价的规定，我局遵循科学性，规范性，客观性和公正性的原则，组织专门人员对我局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sz w:val="30"/>
          <w:szCs w:val="30"/>
        </w:rPr>
        <w:t>年度部门整体支出进行了绩效评价，现将绩效评价情况报告如下。</w:t>
      </w:r>
    </w:p>
    <w:p>
      <w:pPr>
        <w:spacing w:line="600" w:lineRule="exact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一、部门基本情况</w:t>
      </w:r>
    </w:p>
    <w:p>
      <w:pPr>
        <w:spacing w:line="60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1、部门职责：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54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⑴贯彻执行国家有关公安工作的方针、政策和法律、法规，起草全县公安规范性文件；分析研究全县的敌情、政情、社情，适时决策部署全县公安工作。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600" w:firstLineChars="20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⑵掌握影响稳定、危害安全和社会治安的情况，为县委、县政府和上级公安机关提供社会治安方面的重要信息，并拟定预防打击犯罪和整治治安的对策。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600" w:firstLineChars="20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⑶负责全县公安队伍的思想政治工作和纪律执行情况；负责全县公安系统人民警察的警衔管理、奖惩、优抚、教育训练及公安宣传工作；检查、督促全县公安系统的执法活动，制订全县公安队伍监督管理工作规章制度，组织开展警务督查，实施对干部的监督，查处公安队伍重大违纪案件。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600" w:firstLineChars="20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⑷承办案件的侦查工作，协调、处置重大案件(事件)、治安案件事件和骚乱。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600" w:firstLineChars="20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⑸依法维护全县治安秩序，制止、查处危害社会治安秩序的行为；依法管理户口、居民身份证、枪支弹药、危险爆炸物品、特种行业和公共场所等工作。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600" w:firstLineChars="20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⑹依法管理国籍工作；负责出境、入境和外国人在境内居留、旅行的有关管理工作；协调涉外案件的查处。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600" w:firstLineChars="200"/>
        <w:rPr>
          <w:rFonts w:ascii="仿宋" w:hAnsi="仿宋" w:eastAsia="仿宋"/>
          <w:color w:val="3D3D3D"/>
          <w:sz w:val="30"/>
          <w:szCs w:val="30"/>
        </w:rPr>
      </w:pPr>
      <w:r>
        <w:rPr>
          <w:rFonts w:hint="eastAsia" w:ascii="仿宋" w:hAnsi="仿宋" w:eastAsia="仿宋"/>
          <w:color w:val="3D3D3D"/>
          <w:sz w:val="30"/>
          <w:szCs w:val="30"/>
        </w:rPr>
        <w:t>⑺指导、监督全县消防工作。</w:t>
      </w:r>
    </w:p>
    <w:p>
      <w:pPr>
        <w:pStyle w:val="8"/>
        <w:shd w:val="clear" w:color="auto" w:fill="FFFFFF"/>
        <w:spacing w:before="0" w:beforeAutospacing="0" w:after="0" w:afterAutospacing="0" w:line="450" w:lineRule="atLeast"/>
        <w:ind w:firstLine="54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⑻依法管理、维护全县道路交通安全、交通秩序以及机动车辆、驾驶员管理工作；承办、参与重大交通事故的查处；管理县公安局交警大队。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2、机构设置情况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 w:cs="楷体"/>
          <w:color w:val="auto"/>
          <w:sz w:val="30"/>
          <w:szCs w:val="30"/>
        </w:rPr>
        <w:t>我局共有所、队、室43个，其中派出机构28个，看守所、拘留所各1个，机关队室16个（含工会、警察协会）。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3、人员编制情况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 w:cs="楷体"/>
          <w:color w:val="auto"/>
          <w:sz w:val="30"/>
          <w:szCs w:val="30"/>
        </w:rPr>
        <w:t>202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年底我局共有在职人员41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人（不含交警），其中：在职3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75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人，乡镇户政员3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7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人；退休1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41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人（其中户政员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15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</w:t>
      </w:r>
      <w:r>
        <w:rPr>
          <w:rFonts w:hint="eastAsia" w:ascii="仿宋" w:hAnsi="仿宋" w:eastAsia="仿宋" w:cs="楷体"/>
          <w:color w:val="auto"/>
          <w:sz w:val="30"/>
          <w:szCs w:val="30"/>
          <w:lang w:eastAsia="zh-CN"/>
        </w:rPr>
        <w:t>企业社保管理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）；另有巡特警大队巡逻队员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69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人，协辅警1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33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人，一村一辅警3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63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人，合计56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人。</w:t>
      </w:r>
    </w:p>
    <w:p>
      <w:pPr>
        <w:spacing w:line="600" w:lineRule="exact"/>
        <w:rPr>
          <w:rFonts w:ascii="仿宋" w:hAnsi="仿宋" w:eastAsia="仿宋"/>
          <w:b/>
          <w:color w:val="auto"/>
          <w:sz w:val="30"/>
          <w:szCs w:val="30"/>
        </w:rPr>
      </w:pPr>
      <w:r>
        <w:rPr>
          <w:rFonts w:hint="eastAsia" w:ascii="仿宋" w:hAnsi="仿宋" w:eastAsia="仿宋"/>
          <w:b/>
          <w:color w:val="auto"/>
          <w:sz w:val="30"/>
          <w:szCs w:val="30"/>
        </w:rPr>
        <w:t>二、部门预算整体支出管理及使用情况</w:t>
      </w:r>
    </w:p>
    <w:p>
      <w:pPr>
        <w:spacing w:line="600" w:lineRule="exact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1、部门预算收支情况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202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color w:val="auto"/>
          <w:sz w:val="30"/>
          <w:szCs w:val="30"/>
        </w:rPr>
        <w:t>年财政给我局年初预算经费拨款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8119.39</w:t>
      </w:r>
      <w:r>
        <w:rPr>
          <w:rFonts w:hint="eastAsia" w:ascii="仿宋" w:hAnsi="仿宋" w:eastAsia="仿宋"/>
          <w:color w:val="auto"/>
          <w:sz w:val="30"/>
          <w:szCs w:val="30"/>
        </w:rPr>
        <w:t>万元，其中基本经费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5516.15</w:t>
      </w:r>
      <w:r>
        <w:rPr>
          <w:rFonts w:hint="eastAsia" w:ascii="仿宋" w:hAnsi="仿宋" w:eastAsia="仿宋"/>
          <w:color w:val="auto"/>
          <w:sz w:val="30"/>
          <w:szCs w:val="30"/>
        </w:rPr>
        <w:t>万元，专项经费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2603.24</w:t>
      </w:r>
      <w:r>
        <w:rPr>
          <w:rFonts w:hint="eastAsia" w:ascii="仿宋" w:hAnsi="仿宋" w:eastAsia="仿宋"/>
          <w:color w:val="auto"/>
          <w:sz w:val="30"/>
          <w:szCs w:val="30"/>
        </w:rPr>
        <w:t>万元。</w:t>
      </w:r>
    </w:p>
    <w:p>
      <w:pPr>
        <w:spacing w:line="600" w:lineRule="exact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2、部门决算收支情况</w:t>
      </w:r>
    </w:p>
    <w:p>
      <w:pPr>
        <w:spacing w:line="600" w:lineRule="exact"/>
        <w:ind w:left="105" w:leftChars="50" w:firstLine="450" w:firstLineChars="15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202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color w:val="auto"/>
          <w:sz w:val="30"/>
          <w:szCs w:val="30"/>
        </w:rPr>
        <w:t>年衡南县公安局决算整体支出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16555.55</w:t>
      </w:r>
      <w:r>
        <w:rPr>
          <w:rFonts w:hint="eastAsia" w:ascii="仿宋" w:hAnsi="仿宋" w:eastAsia="仿宋"/>
          <w:color w:val="auto"/>
          <w:sz w:val="30"/>
          <w:szCs w:val="30"/>
        </w:rPr>
        <w:t>万元，其中基本支出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5146.26</w:t>
      </w:r>
      <w:r>
        <w:rPr>
          <w:rFonts w:hint="eastAsia" w:ascii="仿宋" w:hAnsi="仿宋" w:eastAsia="仿宋"/>
          <w:color w:val="auto"/>
          <w:sz w:val="30"/>
          <w:szCs w:val="30"/>
        </w:rPr>
        <w:t>万元，专项支出1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1409.29</w:t>
      </w:r>
      <w:r>
        <w:rPr>
          <w:rFonts w:hint="eastAsia" w:ascii="仿宋" w:hAnsi="仿宋" w:eastAsia="仿宋"/>
          <w:color w:val="auto"/>
          <w:sz w:val="30"/>
          <w:szCs w:val="30"/>
        </w:rPr>
        <w:t>万元，主要用于公安日常行政运行经费开支和维护社会稳定，打击犯罪的实战工作。</w:t>
      </w:r>
    </w:p>
    <w:p>
      <w:pPr>
        <w:spacing w:line="600" w:lineRule="exact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3、支出分类情况</w:t>
      </w:r>
    </w:p>
    <w:p>
      <w:pPr>
        <w:spacing w:line="600" w:lineRule="exact"/>
        <w:ind w:firstLine="600" w:firstLineChars="200"/>
        <w:rPr>
          <w:rFonts w:ascii="仿宋" w:hAnsi="仿宋" w:eastAsia="仿宋" w:cs="楷体"/>
          <w:color w:val="auto"/>
          <w:sz w:val="30"/>
          <w:szCs w:val="30"/>
        </w:rPr>
      </w:pPr>
      <w:r>
        <w:rPr>
          <w:rFonts w:hint="eastAsia" w:ascii="仿宋" w:hAnsi="仿宋" w:eastAsia="仿宋" w:cs="楷体"/>
          <w:color w:val="auto"/>
          <w:sz w:val="30"/>
          <w:szCs w:val="30"/>
        </w:rPr>
        <w:t>202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年决算报表中基本支出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5146.26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万元，其明细如下：</w:t>
      </w:r>
      <w:r>
        <w:rPr>
          <w:rFonts w:ascii="仿宋" w:hAnsi="仿宋" w:eastAsia="仿宋" w:cs="楷体"/>
          <w:color w:val="auto"/>
          <w:sz w:val="30"/>
          <w:szCs w:val="30"/>
        </w:rPr>
        <w:t xml:space="preserve"> 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工资福利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3852.87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万元；商品和服务支出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752.1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万元；对个人和家庭补助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136.02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万元；资本性支出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405.27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万元。</w:t>
      </w:r>
    </w:p>
    <w:p>
      <w:pPr>
        <w:spacing w:line="600" w:lineRule="exact"/>
        <w:ind w:firstLine="600" w:firstLineChars="200"/>
        <w:rPr>
          <w:rFonts w:ascii="仿宋" w:hAnsi="仿宋" w:eastAsia="仿宋" w:cs="楷体"/>
          <w:color w:val="auto"/>
          <w:sz w:val="30"/>
          <w:szCs w:val="30"/>
        </w:rPr>
      </w:pPr>
      <w:r>
        <w:rPr>
          <w:rFonts w:hint="eastAsia" w:ascii="仿宋" w:hAnsi="仿宋" w:eastAsia="仿宋" w:cs="楷体"/>
          <w:color w:val="auto"/>
          <w:sz w:val="30"/>
          <w:szCs w:val="30"/>
        </w:rPr>
        <w:t>202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年决算报表中项目支出1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1409.29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万元，其明细如下：工资福利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5291.97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万元；商品和服务支出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3249.26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万元；对个人和家庭补助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348.79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万元；资本性支出</w:t>
      </w:r>
      <w:r>
        <w:rPr>
          <w:rFonts w:hint="eastAsia" w:ascii="仿宋" w:hAnsi="仿宋" w:eastAsia="仿宋" w:cs="楷体"/>
          <w:color w:val="auto"/>
          <w:sz w:val="30"/>
          <w:szCs w:val="30"/>
          <w:lang w:val="en-US" w:eastAsia="zh-CN"/>
        </w:rPr>
        <w:t>2519.27</w:t>
      </w:r>
      <w:r>
        <w:rPr>
          <w:rFonts w:hint="eastAsia" w:ascii="仿宋" w:hAnsi="仿宋" w:eastAsia="仿宋" w:cs="楷体"/>
          <w:color w:val="auto"/>
          <w:sz w:val="30"/>
          <w:szCs w:val="30"/>
        </w:rPr>
        <w:t>万元。</w:t>
      </w:r>
    </w:p>
    <w:p>
      <w:pPr>
        <w:spacing w:line="600" w:lineRule="exact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4、三公经费支出使用和管理情况：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202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color w:val="auto"/>
          <w:sz w:val="30"/>
          <w:szCs w:val="30"/>
        </w:rPr>
        <w:t>年初县财政批复我局三公经费预算数为213万元，其中公务接待费为23万元，公务用车运行和购置费190万元。</w:t>
      </w:r>
    </w:p>
    <w:p>
      <w:pPr>
        <w:spacing w:line="600" w:lineRule="exact"/>
        <w:ind w:firstLine="600" w:firstLineChars="200"/>
        <w:rPr>
          <w:rFonts w:ascii="仿宋" w:hAnsi="仿宋" w:eastAsia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0"/>
          <w:szCs w:val="30"/>
        </w:rPr>
        <w:t>202</w:t>
      </w:r>
      <w:r>
        <w:rPr>
          <w:rFonts w:hint="eastAsia" w:ascii="仿宋" w:hAnsi="仿宋" w:eastAsia="仿宋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color w:val="auto"/>
          <w:sz w:val="30"/>
          <w:szCs w:val="30"/>
        </w:rPr>
        <w:t>年度决算支出三公经费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1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78.09</w:t>
      </w:r>
      <w:r>
        <w:rPr>
          <w:rFonts w:hint="eastAsia" w:ascii="仿宋" w:hAnsi="仿宋" w:eastAsia="仿宋"/>
          <w:color w:val="auto"/>
          <w:sz w:val="30"/>
          <w:szCs w:val="30"/>
        </w:rPr>
        <w:t>万元，其中公务接待费为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1.05</w:t>
      </w:r>
      <w:r>
        <w:rPr>
          <w:rFonts w:hint="eastAsia" w:ascii="仿宋" w:hAnsi="仿宋" w:eastAsia="仿宋"/>
          <w:color w:val="auto"/>
          <w:sz w:val="30"/>
          <w:szCs w:val="30"/>
        </w:rPr>
        <w:t>万元，公务用车运行费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177.04</w:t>
      </w:r>
      <w:r>
        <w:rPr>
          <w:rFonts w:hint="eastAsia" w:ascii="仿宋" w:hAnsi="仿宋" w:eastAsia="仿宋"/>
          <w:color w:val="auto"/>
          <w:sz w:val="30"/>
          <w:szCs w:val="30"/>
        </w:rPr>
        <w:t>万元。</w:t>
      </w:r>
    </w:p>
    <w:p>
      <w:pPr>
        <w:spacing w:line="600" w:lineRule="exact"/>
        <w:rPr>
          <w:rFonts w:ascii="仿宋" w:hAnsi="仿宋" w:eastAsia="仿宋"/>
          <w:b/>
          <w:color w:val="auto"/>
          <w:sz w:val="30"/>
          <w:szCs w:val="30"/>
        </w:rPr>
      </w:pPr>
      <w:r>
        <w:rPr>
          <w:rFonts w:hint="eastAsia" w:ascii="仿宋" w:hAnsi="仿宋" w:eastAsia="仿宋"/>
          <w:b/>
          <w:color w:val="auto"/>
          <w:sz w:val="30"/>
          <w:szCs w:val="30"/>
        </w:rPr>
        <w:t>三、部门整体支出绩效情况</w:t>
      </w:r>
    </w:p>
    <w:p>
      <w:pPr>
        <w:spacing w:line="600" w:lineRule="exact"/>
        <w:ind w:firstLine="753" w:firstLineChars="250"/>
        <w:rPr>
          <w:rFonts w:ascii="仿宋" w:hAnsi="仿宋" w:eastAsia="仿宋"/>
          <w:b/>
          <w:color w:val="auto"/>
          <w:sz w:val="30"/>
          <w:szCs w:val="30"/>
        </w:rPr>
      </w:pPr>
      <w:r>
        <w:rPr>
          <w:rFonts w:hint="eastAsia" w:ascii="仿宋" w:hAnsi="仿宋" w:eastAsia="仿宋"/>
          <w:b/>
          <w:color w:val="auto"/>
          <w:sz w:val="30"/>
          <w:szCs w:val="30"/>
        </w:rPr>
        <w:t>1、202</w:t>
      </w:r>
      <w:r>
        <w:rPr>
          <w:rFonts w:hint="eastAsia" w:ascii="仿宋" w:hAnsi="仿宋" w:eastAsia="仿宋"/>
          <w:b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b/>
          <w:color w:val="auto"/>
          <w:sz w:val="30"/>
          <w:szCs w:val="30"/>
        </w:rPr>
        <w:t>年度我局整体支出</w:t>
      </w:r>
      <w:r>
        <w:rPr>
          <w:rFonts w:hint="eastAsia" w:ascii="仿宋" w:hAnsi="仿宋" w:eastAsia="仿宋"/>
          <w:b/>
          <w:color w:val="auto"/>
          <w:sz w:val="30"/>
          <w:szCs w:val="30"/>
          <w:lang w:val="en-US" w:eastAsia="zh-CN"/>
        </w:rPr>
        <w:t>16555.55</w:t>
      </w:r>
      <w:r>
        <w:rPr>
          <w:rFonts w:hint="eastAsia" w:ascii="仿宋" w:hAnsi="仿宋" w:eastAsia="仿宋"/>
          <w:b/>
          <w:color w:val="auto"/>
          <w:sz w:val="30"/>
          <w:szCs w:val="30"/>
        </w:rPr>
        <w:t>万元，其中专项资金</w:t>
      </w:r>
      <w:r>
        <w:rPr>
          <w:rFonts w:hint="eastAsia" w:ascii="仿宋" w:hAnsi="仿宋" w:eastAsia="仿宋"/>
          <w:b/>
          <w:color w:val="auto"/>
          <w:sz w:val="30"/>
          <w:szCs w:val="30"/>
          <w:lang w:val="en-US" w:eastAsia="zh-CN"/>
        </w:rPr>
        <w:t>11409.29</w:t>
      </w:r>
      <w:r>
        <w:rPr>
          <w:rFonts w:hint="eastAsia" w:ascii="仿宋" w:hAnsi="仿宋" w:eastAsia="仿宋"/>
          <w:b/>
          <w:color w:val="auto"/>
          <w:sz w:val="30"/>
          <w:szCs w:val="30"/>
        </w:rPr>
        <w:t>万元。全年主要工作内容如下：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2022年，我局在县委、县政府的坚强领导下，坚持以习近平新时代中国特色社会主义思想为指导，紧紧围绕党的二十大安保维稳主线和公安工作高质量发展主题，聚焦打赢风险防控攻坚战、推进公安工作现代化“两条主线”，深入开展“喜迎二十大、忠诚保平安”主题实践活动，深入推进“四个大抓”警务战略，持续深化县域警务、专项警务、节点警务和智慧警务，牢牢守住“五个不发生、三个确保”底线，有序推进各项公安工作和队伍建设，圆满完成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党的</w:t>
      </w:r>
      <w:r>
        <w:rPr>
          <w:rFonts w:hint="eastAsia" w:ascii="仿宋_GB2312" w:hAnsi="仿宋" w:eastAsia="仿宋_GB2312" w:cs="仿宋"/>
          <w:sz w:val="32"/>
          <w:szCs w:val="32"/>
        </w:rPr>
        <w:t>二十大安保任务，有力推进公安工作高质量发展，为全县社会</w:t>
      </w:r>
      <w:bookmarkStart w:id="0" w:name="_GoBack"/>
      <w:bookmarkEnd w:id="0"/>
      <w:r>
        <w:rPr>
          <w:rFonts w:hint="eastAsia" w:ascii="仿宋_GB2312" w:hAnsi="仿宋" w:eastAsia="仿宋_GB2312" w:cs="仿宋"/>
          <w:sz w:val="32"/>
          <w:szCs w:val="32"/>
        </w:rPr>
        <w:t>大局稳定和经济发展贡献了衡南公安力量。</w:t>
      </w:r>
    </w:p>
    <w:p>
      <w:pPr>
        <w:spacing w:line="560" w:lineRule="exact"/>
        <w:ind w:firstLine="640"/>
        <w:rPr>
          <w:rFonts w:hint="eastAsia" w:ascii="仿宋_GB2312" w:hAnsi="黑体" w:eastAsia="仿宋_GB2312" w:cs="黑体"/>
          <w:b/>
          <w:sz w:val="32"/>
          <w:szCs w:val="32"/>
        </w:rPr>
      </w:pPr>
      <w:r>
        <w:rPr>
          <w:rFonts w:hint="eastAsia" w:ascii="仿宋_GB2312" w:hAnsi="黑体" w:eastAsia="仿宋_GB2312" w:cs="黑体"/>
          <w:b/>
          <w:sz w:val="32"/>
          <w:szCs w:val="32"/>
        </w:rPr>
        <w:t>主要工作成绩：</w:t>
      </w:r>
      <w:r>
        <w:rPr>
          <w:rFonts w:hint="eastAsia" w:ascii="仿宋_GB2312" w:eastAsia="仿宋_GB2312"/>
          <w:sz w:val="32"/>
          <w:szCs w:val="32"/>
        </w:rPr>
        <w:t>2022年度，荣获了全市公安机关绩效考核工作优秀单位；平安建设公安部分排名全市第二；破获了部督“7.14”特大网络诈骗案件、部督“6.30”非法出版物案件，获得了公安部、省厅的高度评价和通报表扬；网安大队、警务保障室、刑侦大队等多个集体荣获了省厅先进；刘玉君、梁光辉等多人荣获了省厅先进个人荣誉，等等。</w:t>
      </w:r>
    </w:p>
    <w:p>
      <w:pPr>
        <w:spacing w:line="560" w:lineRule="exact"/>
        <w:ind w:firstLine="643" w:firstLineChars="200"/>
        <w:rPr>
          <w:rFonts w:hint="eastAsia" w:ascii="仿宋_GB2312" w:hAnsi="楷体" w:eastAsia="仿宋_GB2312" w:cs="楷体"/>
          <w:b/>
          <w:bCs/>
          <w:sz w:val="32"/>
          <w:szCs w:val="32"/>
        </w:rPr>
      </w:pPr>
      <w:r>
        <w:rPr>
          <w:rFonts w:hint="eastAsia" w:ascii="仿宋_GB2312" w:hAnsi="楷体" w:eastAsia="仿宋_GB2312" w:cs="楷体"/>
          <w:b/>
          <w:bCs/>
          <w:sz w:val="32"/>
          <w:szCs w:val="32"/>
        </w:rPr>
        <w:t>（一）持续深化政治建警，全力打造忠诚警队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深入开展“十不”问题专项整治和深化政治建警系列工作，尤其是针对全年工作主题主线，扎实开展“喜迎二十大、忠诚保平安”系列活动，从严开展作风建设和清廉公安建设。在深化从严治警同时，抓好从优待警。今年来，开展谈心谈话活动1000余人次，坚持“警示教育”和“典型教育”相结合，开展集中学习600余场，组织全局民警填写了《自查报告表》，深入排查自身问题和不足，采取自我整改、组织帮促、教育养成等方式，使全局民警忠诚度进一步聚焦，不断提升坚决捍卫“两个确立”、做到“两个维护”的思想自觉、政治自觉、行动自觉，民警对党忠诚的根扎得更牢。</w:t>
      </w:r>
    </w:p>
    <w:p>
      <w:pPr>
        <w:spacing w:line="560" w:lineRule="exact"/>
        <w:ind w:firstLine="643" w:firstLineChars="200"/>
        <w:rPr>
          <w:rFonts w:hint="eastAsia" w:ascii="仿宋_GB2312" w:hAnsi="楷体" w:eastAsia="仿宋_GB2312" w:cs="楷体"/>
          <w:b/>
          <w:bCs/>
          <w:sz w:val="32"/>
          <w:szCs w:val="32"/>
        </w:rPr>
      </w:pPr>
      <w:r>
        <w:rPr>
          <w:rFonts w:hint="eastAsia" w:ascii="仿宋_GB2312" w:hAnsi="楷体" w:eastAsia="仿宋_GB2312" w:cs="楷体"/>
          <w:b/>
          <w:bCs/>
          <w:sz w:val="32"/>
          <w:szCs w:val="32"/>
        </w:rPr>
        <w:t>（二）立足公安打击主业，全面提升平安成效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今年来，我局刑事案件立案1223起，同比下降24.97%；破案401起，破案率32.78%；刑拘执行798人，移诉828人。现行命案4起，破案4起，实现命案全破。</w:t>
      </w:r>
    </w:p>
    <w:p>
      <w:pPr>
        <w:spacing w:line="560" w:lineRule="exact"/>
        <w:ind w:firstLine="643" w:firstLineChars="200"/>
        <w:rPr>
          <w:rFonts w:hint="eastAsia" w:ascii="仿宋_GB2312" w:hAnsi="仿宋" w:eastAsia="仿宋_GB2312" w:cs="仿宋"/>
          <w:sz w:val="32"/>
          <w:szCs w:val="32"/>
          <w:highlight w:val="yellow"/>
        </w:rPr>
      </w:pPr>
      <w:r>
        <w:rPr>
          <w:rFonts w:hint="eastAsia" w:ascii="仿宋_GB2312" w:hAnsi="仿宋" w:eastAsia="仿宋_GB2312" w:cs="仿宋"/>
          <w:b/>
          <w:bCs/>
          <w:sz w:val="32"/>
          <w:szCs w:val="32"/>
        </w:rPr>
        <w:t>常态化开展扫黑除恶工作。</w:t>
      </w:r>
      <w:r>
        <w:rPr>
          <w:rFonts w:hint="eastAsia" w:ascii="仿宋_GB2312" w:hAnsi="仿宋" w:eastAsia="仿宋_GB2312" w:cs="仿宋"/>
          <w:sz w:val="32"/>
          <w:szCs w:val="32"/>
        </w:rPr>
        <w:t>上级下发涉黑涉恶案件线索共10条，核查率100%。由市局牵头的“1.12”专案目前刑拘12人；“8.09”王亮等人强奸、组织强迫未成年少女卖淫案，已刑拘9人，起诉8人（其中1人另案处理）。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深挖严查毒品犯罪。</w:t>
      </w:r>
      <w:r>
        <w:rPr>
          <w:rFonts w:hint="eastAsia" w:ascii="仿宋_GB2312" w:hAnsi="仿宋" w:eastAsia="仿宋_GB2312" w:cs="仿宋"/>
          <w:sz w:val="32"/>
          <w:szCs w:val="32"/>
        </w:rPr>
        <w:t>破获涉毒刑事案件30起、涉毒行政案件89起，抓获涉毒犯罪嫌疑人94人、移诉97人，查获吸毒人员215人，强制隔离戒毒30人，强制隔离戒毒执行率100%。侦破“2022-357”公安部督目标贩卖毒品案，抓获犯罪嫌疑人8人，案件还在进一步深挖中。我县在全省污水检测情况：一季度全省未出数据及排名；二季度折算量44.6，排名全市第五；三季度折算量29.7，排名全市第五；四季度折算量22.7，排名全市第八。（折算量越低，排名越低，说明情况越好）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深入开展“利剑护蕾”专项行动。</w:t>
      </w:r>
      <w:r>
        <w:rPr>
          <w:rFonts w:hint="eastAsia" w:ascii="仿宋_GB2312" w:hAnsi="仿宋" w:eastAsia="仿宋_GB2312" w:cs="仿宋"/>
          <w:sz w:val="32"/>
          <w:szCs w:val="32"/>
        </w:rPr>
        <w:t>今年性侵未成人犯罪现行案件破案率达100%（共发生性侵未成年人案件13起，其中涉嫌强奸案件9起，涉嫌猥亵儿童案件4起），通过循线深挖，抓获犯罪嫌疑人24名，刑事拘留21人。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全力遏制电信诈骗多发高发势头。</w:t>
      </w:r>
      <w:r>
        <w:rPr>
          <w:rFonts w:hint="eastAsia" w:ascii="仿宋_GB2312" w:hAnsi="仿宋" w:eastAsia="仿宋_GB2312" w:cs="仿宋"/>
          <w:spacing w:val="8"/>
          <w:kern w:val="0"/>
          <w:sz w:val="32"/>
          <w:szCs w:val="32"/>
          <w:shd w:val="clear" w:color="auto" w:fill="FFFFFF"/>
        </w:rPr>
        <w:t>全县共立电信网络诈骗案269起，同比去年下降30.31%。破案127起，破案率47.92%，在全市排名前列；采取刑事强制措施373人,同比提升162.1%；我县滞留境外涉诈高危人员共257人，已核减199人，现存58人，劝返率77.43%。特别是今年9月，在县委、县政府坚强领导下，在公安部、省厅、市局精心指导下，我县共出动450余名警力，远赴湖北咸宁破获“7.14”特大电信网络诈骗案，当场抓获违法犯罪嫌疑人1054人，带回衡南刑拘196人，冻结涉案账户290余个，初查涉案资金近5亿元。此案成功侦破，得到公安部、省市贺电表扬和主要领导高度肯定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全面打击“黄赌”犯罪。</w:t>
      </w:r>
      <w:r>
        <w:rPr>
          <w:rFonts w:hint="eastAsia" w:ascii="仿宋_GB2312" w:hAnsi="仿宋" w:eastAsia="仿宋_GB2312" w:cs="仿宋"/>
          <w:sz w:val="32"/>
          <w:szCs w:val="32"/>
        </w:rPr>
        <w:t>打击黄赌违法犯罪行政处罚娱乐场所7家；涉黄案件刑事立案3起，移送起诉21人，行政拘留48人；涉赌案件刑事立案4起，移送起诉43人，行政拘留113人。完成涉黄类部督案件1起。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从严打击涉众型经济犯罪。</w:t>
      </w:r>
      <w:r>
        <w:rPr>
          <w:rFonts w:hint="eastAsia" w:ascii="仿宋_GB2312" w:hAnsi="仿宋" w:eastAsia="仿宋_GB2312"/>
          <w:sz w:val="32"/>
          <w:szCs w:val="32"/>
        </w:rPr>
        <w:t>立案25起，涉案总金额30630余万元；破案13起，移诉11起。抓获犯罪嫌疑人27人，刑拘18人，逮捕10人，取保16人，监居4人，移诉34人；挽回经济损失6500余万元。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扎实开展生态三湘200天专项工作。</w:t>
      </w:r>
      <w:r>
        <w:rPr>
          <w:rFonts w:hint="eastAsia" w:ascii="仿宋_GB2312" w:hAnsi="仿宋" w:eastAsia="仿宋_GB2312" w:cs="仿宋"/>
          <w:sz w:val="32"/>
          <w:szCs w:val="32"/>
        </w:rPr>
        <w:t>非法捕捞立案5起，移送起诉8人；非法采矿立案3起，移诉17人；污染环境立案1起；移诉4人；非法占用农用地立案5起，移送起诉7人；涉林立案15起，移送起诉14人。</w:t>
      </w:r>
    </w:p>
    <w:p>
      <w:pPr>
        <w:spacing w:line="560" w:lineRule="exact"/>
        <w:ind w:firstLine="643" w:firstLineChars="200"/>
        <w:rPr>
          <w:rFonts w:hint="eastAsia" w:ascii="仿宋_GB2312" w:hAnsi="楷体" w:eastAsia="仿宋_GB2312" w:cs="楷体"/>
          <w:b/>
          <w:bCs/>
          <w:sz w:val="32"/>
          <w:szCs w:val="32"/>
        </w:rPr>
      </w:pPr>
      <w:r>
        <w:rPr>
          <w:rFonts w:hint="eastAsia" w:ascii="仿宋_GB2312" w:hAnsi="楷体" w:eastAsia="仿宋_GB2312" w:cs="楷体"/>
          <w:b/>
          <w:bCs/>
          <w:sz w:val="32"/>
          <w:szCs w:val="32"/>
        </w:rPr>
        <w:t>（三）扎实做好安保维稳，全链维护政治安全</w:t>
      </w:r>
    </w:p>
    <w:p>
      <w:pPr>
        <w:spacing w:line="560" w:lineRule="exact"/>
        <w:ind w:firstLine="643" w:firstLineChars="200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b/>
          <w:bCs/>
          <w:sz w:val="32"/>
          <w:szCs w:val="32"/>
        </w:rPr>
        <w:t>强化情报信息的收集报送。</w:t>
      </w:r>
      <w:r>
        <w:rPr>
          <w:rFonts w:hint="eastAsia" w:ascii="仿宋_GB2312" w:hAnsi="仿宋" w:eastAsia="仿宋_GB2312" w:cs="仿宋"/>
          <w:sz w:val="32"/>
          <w:szCs w:val="32"/>
        </w:rPr>
        <w:t>按照“统一部署、分头搜集、集中处理、归口上报”原则，将掌握的情报信息，第一时间上报，并依法先期妥善处置，有效促进了情报信息搜集、研判、归口处理，切实提高了情报信息的综合运用效能，共收集上报情报信息241篇，被上级采用54篇；在重要节点有针对性地开展了涉政治安全风险隐患排查，撰写29篇专题研判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坚决维护网络安全。</w:t>
      </w:r>
      <w:r>
        <w:rPr>
          <w:rFonts w:hint="eastAsia" w:ascii="仿宋_GB2312" w:hAnsi="仿宋" w:eastAsia="仿宋_GB2312" w:cs="仿宋"/>
          <w:sz w:val="32"/>
          <w:szCs w:val="32"/>
        </w:rPr>
        <w:t>积极完成上级公安机关业务部门布置的网上侦查工作，进一步完善专门工作机制建设，不断提升专项工作成效；对55家单位开展网络安全现场检查，检查发现安全隐患500余个，备案信息系统、网站共计43个，对10家未履行网络安全保护义务、15家未履行备案职责的单位分别作出了限期整改、行政警告等处罚。</w:t>
      </w:r>
      <w:r>
        <w:rPr>
          <w:rFonts w:hint="eastAsia" w:ascii="仿宋_GB2312" w:hAnsi="仿宋" w:eastAsia="仿宋_GB2312" w:cs="仿宋"/>
          <w:b/>
          <w:bCs/>
          <w:sz w:val="32"/>
          <w:szCs w:val="32"/>
        </w:rPr>
        <w:t>强化重点人员管控。</w:t>
      </w:r>
      <w:r>
        <w:rPr>
          <w:rFonts w:hint="eastAsia" w:ascii="仿宋_GB2312" w:hAnsi="仿宋" w:eastAsia="仿宋_GB2312" w:cs="仿宋"/>
          <w:sz w:val="32"/>
          <w:szCs w:val="32"/>
        </w:rPr>
        <w:t>在全县开展了邪教人员底数进行摸底排查的工作，及时更新了数据库数据；对1人邪教重点人员、3名涉政重点人，落实了五包一责任，定期进行面见谈话、稳</w:t>
      </w:r>
      <w:r>
        <w:rPr>
          <w:rFonts w:hint="eastAsia" w:ascii="仿宋_GB2312" w:hAnsi="仿宋" w:eastAsia="仿宋_GB2312" w:cs="仿宋"/>
          <w:sz w:val="32"/>
          <w:szCs w:val="32"/>
          <w:lang w:val="zh-CN"/>
        </w:rPr>
        <w:t>控和教育转化；</w:t>
      </w:r>
      <w:r>
        <w:rPr>
          <w:rFonts w:hint="eastAsia" w:ascii="仿宋_GB2312" w:hAnsi="仿宋" w:eastAsia="仿宋_GB2312" w:cs="仿宋"/>
          <w:sz w:val="32"/>
          <w:szCs w:val="32"/>
        </w:rPr>
        <w:t>走访退役涉访重点人员436人次。全面落实16类重点人员的摸排、梳理和建档工作，已初见成效。通过一年艰辛拼搏，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党的</w:t>
      </w:r>
      <w:r>
        <w:rPr>
          <w:rFonts w:hint="eastAsia" w:ascii="仿宋_GB2312" w:hAnsi="仿宋" w:eastAsia="仿宋_GB2312" w:cs="仿宋"/>
          <w:sz w:val="32"/>
          <w:szCs w:val="32"/>
        </w:rPr>
        <w:t>二十大安保维稳工作圆满完成，取得近年历史最好成绩。全县社会大局平安稳定，未发生有影响的重点案事件，重点群体人员、重点场所部位、重点行业单位可控，实现了“五个严防”工作目标，实现进京上访“零登记”目标，确保了全县政治大局持续稳定。</w:t>
      </w:r>
    </w:p>
    <w:p>
      <w:pPr>
        <w:spacing w:line="560" w:lineRule="exact"/>
        <w:ind w:firstLine="643" w:firstLineChars="200"/>
        <w:rPr>
          <w:rFonts w:hint="eastAsia" w:ascii="仿宋_GB2312" w:hAnsi="楷体" w:eastAsia="仿宋_GB2312" w:cs="楷体"/>
          <w:b/>
          <w:bCs/>
          <w:sz w:val="32"/>
          <w:szCs w:val="32"/>
        </w:rPr>
      </w:pPr>
      <w:r>
        <w:rPr>
          <w:rFonts w:hint="eastAsia" w:ascii="仿宋_GB2312" w:hAnsi="楷体" w:eastAsia="仿宋_GB2312" w:cs="楷体"/>
          <w:b/>
          <w:bCs/>
          <w:sz w:val="32"/>
          <w:szCs w:val="32"/>
        </w:rPr>
        <w:t>（四）深化改革攻坚，全面夯实基层基础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贯彻落实省厅</w:t>
      </w:r>
      <w:r>
        <w:rPr>
          <w:rFonts w:hint="eastAsia" w:ascii="仿宋_GB2312" w:hAnsi="仿宋" w:eastAsia="仿宋_GB2312" w:cs="宋体"/>
          <w:sz w:val="32"/>
          <w:szCs w:val="32"/>
        </w:rPr>
        <w:t>“大抓基层、大抓基础”战略</w:t>
      </w:r>
      <w:r>
        <w:rPr>
          <w:rFonts w:hint="eastAsia" w:ascii="仿宋_GB2312" w:hAnsi="仿宋" w:eastAsia="仿宋_GB2312"/>
          <w:sz w:val="32"/>
          <w:szCs w:val="32"/>
        </w:rPr>
        <w:t>，深入推进</w:t>
      </w:r>
      <w:r>
        <w:rPr>
          <w:rFonts w:hint="eastAsia" w:ascii="仿宋_GB2312" w:hAnsi="Times New Roman" w:eastAsia="仿宋_GB2312"/>
          <w:sz w:val="32"/>
          <w:szCs w:val="32"/>
        </w:rPr>
        <w:t>公安基层基础现代化攻坚年行动</w:t>
      </w:r>
      <w:r>
        <w:rPr>
          <w:rFonts w:hint="eastAsia" w:ascii="仿宋_GB2312" w:hAnsi="仿宋" w:eastAsia="仿宋_GB2312" w:cs="仿宋"/>
          <w:sz w:val="32"/>
          <w:szCs w:val="32"/>
        </w:rPr>
        <w:t>，始终保持全市领跑姿态</w:t>
      </w:r>
      <w:r>
        <w:rPr>
          <w:rFonts w:hint="eastAsia" w:ascii="仿宋_GB2312" w:hAnsi="仿宋" w:eastAsia="仿宋_GB2312"/>
          <w:sz w:val="32"/>
          <w:szCs w:val="32"/>
        </w:rPr>
        <w:t>。今年来，</w:t>
      </w:r>
      <w:r>
        <w:rPr>
          <w:rFonts w:hint="eastAsia" w:ascii="仿宋_GB2312" w:hAnsi="仿宋" w:eastAsia="仿宋_GB2312" w:cs="仿宋"/>
          <w:sz w:val="32"/>
          <w:szCs w:val="32"/>
        </w:rPr>
        <w:t>衡南县“两所一队”（看守所、拘留所、武警中队)正式投入使用，三塘、泉溪派出所新业务用房建成投入使用，江口、松江、洪山、相市等派出所也先后高标准完成提质改造，情指中心大厅升级改造如期推进，年底可完成，将进一步为情指行一体化、实战化机制运行提供高质量的硬件保障，进一步提升警务指挥效能。今年12月8日，筹划两年的鸡笼派出所业务用房举行开工奠基仪式。全县公安基层基础建设有望再进一步。扎实推进社会治安防控体系立体化、智能化建设，“雪亮工程”已完成四期建设，在全县323所中小学校、幼儿园、大中专院校周边建设500个高清监控探头，进一步夯实校园安全基础。目前，全县已建成基本覆盖乡镇、重要道路、区域的社会治安防控网，已建成3500余个监控摄像头。</w:t>
      </w:r>
    </w:p>
    <w:p>
      <w:pPr>
        <w:spacing w:line="560" w:lineRule="exact"/>
        <w:ind w:firstLine="643" w:firstLineChars="200"/>
        <w:rPr>
          <w:rFonts w:hint="eastAsia" w:ascii="仿宋_GB2312" w:hAnsi="楷体" w:eastAsia="仿宋_GB2312" w:cs="楷体"/>
          <w:b/>
          <w:bCs/>
          <w:sz w:val="32"/>
          <w:szCs w:val="32"/>
        </w:rPr>
      </w:pPr>
      <w:r>
        <w:rPr>
          <w:rFonts w:hint="eastAsia" w:ascii="仿宋_GB2312" w:hAnsi="楷体" w:eastAsia="仿宋_GB2312" w:cs="楷体"/>
          <w:b/>
          <w:bCs/>
          <w:sz w:val="32"/>
          <w:szCs w:val="32"/>
        </w:rPr>
        <w:t>（五）扎实开展标准化创建，全标做优公共安全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auto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牢牢把握推进国家治理体系和治理能力现代化的总要求，立足衡南新发展阶段，将标准化作为推进公安基层基础、公共安全治理、县域城乡警务以及公安内部管理等工作的重要抓手，坚持久久为功、持续用力，有序稳步推进城乡治理标准化工作走深走实。在交通管理、城市快警、社区网格警务、村级警务、校园卫士、重点要害单位安全管理、窗口服务单位、派出所勤务、场所管理、机关管理、警民屋场恳谈、项目警官等12个具体方面制定了标准内容，初步形成第一批标准体系，现已初见成效。第一、二、三季度在全市分别排名第3、第1、第5的好成绩。</w:t>
      </w:r>
    </w:p>
    <w:p>
      <w:pPr>
        <w:spacing w:line="600" w:lineRule="exact"/>
        <w:ind w:firstLine="600" w:firstLineChars="200"/>
        <w:rPr>
          <w:rFonts w:ascii="仿宋" w:hAnsi="仿宋" w:eastAsia="仿宋" w:cs="仿宋"/>
          <w:color w:val="auto"/>
          <w:sz w:val="30"/>
          <w:szCs w:val="30"/>
        </w:rPr>
      </w:pPr>
      <w:r>
        <w:rPr>
          <w:rFonts w:hint="eastAsia" w:ascii="仿宋" w:hAnsi="仿宋" w:eastAsia="仿宋" w:cs="仿宋"/>
          <w:color w:val="auto"/>
          <w:sz w:val="30"/>
          <w:szCs w:val="30"/>
        </w:rPr>
        <w:t>202</w:t>
      </w: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Calibri"/>
          <w:kern w:val="0"/>
          <w:sz w:val="32"/>
          <w:szCs w:val="32"/>
        </w:rPr>
        <w:t>年非税收入</w:t>
      </w:r>
      <w:r>
        <w:rPr>
          <w:rFonts w:hint="eastAsia" w:ascii="仿宋" w:hAnsi="仿宋" w:eastAsia="仿宋" w:cs="Calibri"/>
          <w:kern w:val="0"/>
          <w:sz w:val="32"/>
          <w:szCs w:val="32"/>
          <w:lang w:val="en-US" w:eastAsia="zh-CN"/>
        </w:rPr>
        <w:t>7834.76</w:t>
      </w:r>
      <w:r>
        <w:rPr>
          <w:rFonts w:hint="eastAsia" w:ascii="仿宋" w:hAnsi="仿宋" w:eastAsia="仿宋" w:cs="Calibri"/>
          <w:kern w:val="0"/>
          <w:sz w:val="32"/>
          <w:szCs w:val="32"/>
        </w:rPr>
        <w:t>万元，其中上缴省财政二代证收入1</w:t>
      </w:r>
      <w:r>
        <w:rPr>
          <w:rFonts w:hint="eastAsia" w:ascii="仿宋" w:hAnsi="仿宋" w:eastAsia="仿宋" w:cs="Calibri"/>
          <w:kern w:val="0"/>
          <w:sz w:val="32"/>
          <w:szCs w:val="32"/>
          <w:lang w:val="en-US" w:eastAsia="zh-CN"/>
        </w:rPr>
        <w:t>09.89</w:t>
      </w:r>
      <w:r>
        <w:rPr>
          <w:rFonts w:hint="eastAsia" w:ascii="仿宋" w:hAnsi="仿宋" w:eastAsia="仿宋" w:cs="Calibri"/>
          <w:kern w:val="0"/>
          <w:sz w:val="32"/>
          <w:szCs w:val="32"/>
        </w:rPr>
        <w:t>万元，上缴县财政</w:t>
      </w:r>
      <w:r>
        <w:rPr>
          <w:rFonts w:hint="eastAsia" w:ascii="仿宋" w:hAnsi="仿宋" w:eastAsia="仿宋" w:cs="Calibri"/>
          <w:kern w:val="0"/>
          <w:sz w:val="32"/>
          <w:szCs w:val="32"/>
          <w:lang w:val="en-US" w:eastAsia="zh-CN"/>
        </w:rPr>
        <w:t>7724.97</w:t>
      </w:r>
      <w:r>
        <w:rPr>
          <w:rFonts w:hint="eastAsia" w:ascii="仿宋" w:hAnsi="仿宋" w:eastAsia="仿宋" w:cs="Calibri"/>
          <w:kern w:val="0"/>
          <w:sz w:val="32"/>
          <w:szCs w:val="32"/>
        </w:rPr>
        <w:t>万元（其中罚没款</w:t>
      </w:r>
      <w:r>
        <w:rPr>
          <w:rFonts w:hint="eastAsia" w:ascii="仿宋" w:hAnsi="仿宋" w:eastAsia="仿宋" w:cs="Calibri"/>
          <w:kern w:val="0"/>
          <w:sz w:val="32"/>
          <w:szCs w:val="32"/>
          <w:lang w:val="en-US" w:eastAsia="zh-CN"/>
        </w:rPr>
        <w:t>7679.26</w:t>
      </w:r>
      <w:r>
        <w:rPr>
          <w:rFonts w:hint="eastAsia" w:ascii="仿宋" w:hAnsi="仿宋" w:eastAsia="仿宋" w:cs="Calibri"/>
          <w:kern w:val="0"/>
          <w:sz w:val="32"/>
          <w:szCs w:val="32"/>
        </w:rPr>
        <w:t>万元</w:t>
      </w:r>
      <w:r>
        <w:rPr>
          <w:rFonts w:ascii="仿宋" w:hAnsi="仿宋" w:eastAsia="仿宋" w:cs="楷体"/>
          <w:sz w:val="32"/>
          <w:szCs w:val="32"/>
        </w:rPr>
        <w:t xml:space="preserve"> </w:t>
      </w:r>
      <w:r>
        <w:rPr>
          <w:rFonts w:hint="eastAsia" w:ascii="仿宋" w:hAnsi="仿宋" w:eastAsia="仿宋" w:cs="楷体"/>
          <w:sz w:val="32"/>
          <w:szCs w:val="32"/>
        </w:rPr>
        <w:t>，行政性收入</w:t>
      </w:r>
      <w:r>
        <w:rPr>
          <w:rFonts w:hint="eastAsia" w:ascii="仿宋" w:hAnsi="仿宋" w:eastAsia="仿宋" w:cs="楷体"/>
          <w:sz w:val="32"/>
          <w:szCs w:val="32"/>
          <w:lang w:val="en-US" w:eastAsia="zh-CN"/>
        </w:rPr>
        <w:t>0.71</w:t>
      </w:r>
      <w:r>
        <w:rPr>
          <w:rFonts w:hint="eastAsia" w:ascii="仿宋" w:hAnsi="仿宋" w:eastAsia="仿宋" w:cs="楷体"/>
          <w:sz w:val="32"/>
          <w:szCs w:val="32"/>
        </w:rPr>
        <w:t>万元，其他收入</w:t>
      </w:r>
      <w:r>
        <w:rPr>
          <w:rFonts w:hint="eastAsia" w:ascii="仿宋" w:hAnsi="仿宋" w:eastAsia="仿宋" w:cs="楷体"/>
          <w:sz w:val="32"/>
          <w:szCs w:val="32"/>
          <w:lang w:val="en-US" w:eastAsia="zh-CN"/>
        </w:rPr>
        <w:t>45</w:t>
      </w:r>
      <w:r>
        <w:rPr>
          <w:rFonts w:hint="eastAsia" w:ascii="仿宋" w:hAnsi="仿宋" w:eastAsia="仿宋" w:cs="楷体"/>
          <w:sz w:val="32"/>
          <w:szCs w:val="32"/>
        </w:rPr>
        <w:t>万元）。</w:t>
      </w:r>
    </w:p>
    <w:p>
      <w:pPr>
        <w:spacing w:line="600" w:lineRule="exact"/>
        <w:rPr>
          <w:rFonts w:ascii="仿宋" w:hAnsi="仿宋" w:eastAsia="仿宋"/>
          <w:b/>
          <w:color w:val="auto"/>
          <w:sz w:val="30"/>
          <w:szCs w:val="30"/>
        </w:rPr>
      </w:pPr>
      <w:r>
        <w:rPr>
          <w:rFonts w:hint="eastAsia" w:ascii="仿宋" w:hAnsi="仿宋" w:eastAsia="仿宋"/>
          <w:b/>
          <w:color w:val="auto"/>
          <w:sz w:val="30"/>
          <w:szCs w:val="30"/>
        </w:rPr>
        <w:t>四、存在的主要问题</w:t>
      </w:r>
    </w:p>
    <w:p>
      <w:pPr>
        <w:spacing w:line="600" w:lineRule="exact"/>
        <w:ind w:firstLine="600" w:firstLineChars="200"/>
        <w:rPr>
          <w:rFonts w:hint="default" w:ascii="仿宋" w:hAnsi="仿宋" w:eastAsia="仿宋"/>
          <w:sz w:val="30"/>
          <w:szCs w:val="30"/>
          <w:lang w:val="en-US" w:eastAsia="zh-CN"/>
        </w:rPr>
      </w:pPr>
      <w:r>
        <w:rPr>
          <w:rFonts w:hint="eastAsia" w:ascii="仿宋" w:hAnsi="仿宋" w:eastAsia="仿宋"/>
          <w:sz w:val="30"/>
          <w:szCs w:val="30"/>
        </w:rPr>
        <w:t>1、</w:t>
      </w:r>
      <w:r>
        <w:rPr>
          <w:rFonts w:hint="eastAsia" w:ascii="仿宋" w:hAnsi="仿宋" w:eastAsia="仿宋"/>
          <w:sz w:val="30"/>
          <w:szCs w:val="30"/>
          <w:lang w:eastAsia="zh-CN"/>
        </w:rPr>
        <w:t>公安人员经费保障不足。部门年初预算人员经费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与实际支出的缺口近千万。</w:t>
      </w:r>
    </w:p>
    <w:p>
      <w:pPr>
        <w:spacing w:line="60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2、</w:t>
      </w:r>
      <w:r>
        <w:rPr>
          <w:rFonts w:hint="eastAsia" w:ascii="仿宋" w:hAnsi="仿宋" w:eastAsia="仿宋"/>
          <w:sz w:val="30"/>
          <w:szCs w:val="30"/>
        </w:rPr>
        <w:t>公安办案经费保障不足，经费使用捉襟见肘。近年来，公安办案开支急剧增加，202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/>
          <w:sz w:val="30"/>
          <w:szCs w:val="30"/>
        </w:rPr>
        <w:t xml:space="preserve">年我局业务办案费用增幅较大，究其原因，一是随着新《刑事诉讼法》的实施，对办案证据要求更高，办案时间跨度更大，使办案成本开支增加很大，二是随着犯罪嫌疑人流动性的增加，需要到外省取证或抓捕犯罪嫌疑人，由于差旅费，特情费，信息费等开支的提标，以及物价上升等各种原因，导致办案开支快速增加，三是对办案现场勘察要求的提高，物证保全要求的提高，对犯罪嫌疑人信息的采集，对犯罪嫌疑人身体检查费用等办案开支增长较快，而从2015年起，转移支付等专项资金没有增量，公用经费标准也没有提高，导致办案经费保障水平相对下降，我局只有通过压缩其他经费开支，增加办案经费，这与我省其他县市兄弟单位的经费保障仍有较大差距。 </w:t>
      </w:r>
    </w:p>
    <w:p>
      <w:pPr>
        <w:spacing w:line="60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、装备落后，装备经费投入不足，难以满足公安工作需要</w:t>
      </w:r>
    </w:p>
    <w:p>
      <w:pPr>
        <w:spacing w:line="600" w:lineRule="exact"/>
        <w:ind w:firstLine="450" w:firstLineChars="150"/>
        <w:jc w:val="lef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随着社会经济形势发展，信息化社会办案必须依靠科技手段，但因历史和财力等原因，我局机关装备较为落后，制约了工作可持续发展，必须加大建设，而目前，我县公安技术力量比较薄弱，装备和技术手段的配备直接影响到全县公安工作，这些项目投入大，没有专门资金来源，经费十分紧张，且专项经费中装备经费所占比重小保障不足，无法在短期内投入较多的经费，改善科技装备，故难以满足公安工作的需要。</w:t>
      </w:r>
    </w:p>
    <w:p>
      <w:pPr>
        <w:spacing w:line="600" w:lineRule="exact"/>
        <w:ind w:firstLine="42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五、改进措施及建议</w:t>
      </w:r>
    </w:p>
    <w:p>
      <w:pPr>
        <w:spacing w:line="600" w:lineRule="exact"/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建议</w:t>
      </w:r>
      <w:r>
        <w:rPr>
          <w:rFonts w:hint="eastAsia" w:ascii="仿宋" w:hAnsi="仿宋" w:eastAsia="仿宋"/>
          <w:sz w:val="30"/>
          <w:szCs w:val="30"/>
          <w:lang w:eastAsia="zh-CN"/>
        </w:rPr>
        <w:t>增加公用经费及</w:t>
      </w:r>
      <w:r>
        <w:rPr>
          <w:rFonts w:hint="eastAsia" w:ascii="仿宋" w:hAnsi="仿宋" w:eastAsia="仿宋"/>
          <w:sz w:val="30"/>
          <w:szCs w:val="30"/>
        </w:rPr>
        <w:t>专项经费的拨款，根据我县情况及国内形势，逐年有所上升，可适当缓解我局经济压力，使我局更好的履行职责，维护稳定，为创建平安衡南服务。</w:t>
      </w:r>
    </w:p>
    <w:p>
      <w:pPr>
        <w:jc w:val="center"/>
        <w:rPr>
          <w:b/>
          <w:sz w:val="44"/>
          <w:szCs w:val="44"/>
        </w:rPr>
      </w:pPr>
    </w:p>
    <w:p>
      <w:pPr>
        <w:jc w:val="center"/>
        <w:rPr>
          <w:b/>
          <w:sz w:val="44"/>
          <w:szCs w:val="44"/>
        </w:rPr>
      </w:pPr>
    </w:p>
    <w:p>
      <w:pPr>
        <w:ind w:firstLine="4800" w:firstLineChars="16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202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/>
          <w:sz w:val="30"/>
          <w:szCs w:val="30"/>
        </w:rPr>
        <w:t>年4月2</w: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/>
          <w:sz w:val="30"/>
          <w:szCs w:val="30"/>
        </w:rPr>
        <w:t>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3</w:t>
    </w:r>
    <w:r>
      <w:rPr>
        <w:lang w:val="zh-CN"/>
      </w:rP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2NDY3MjdiOTEwOGQ4MzJiYzQzOTMzZjk3N2I3YjcifQ=="/>
  </w:docVars>
  <w:rsids>
    <w:rsidRoot w:val="00EB60BC"/>
    <w:rsid w:val="00015586"/>
    <w:rsid w:val="00040137"/>
    <w:rsid w:val="00062E73"/>
    <w:rsid w:val="00073F99"/>
    <w:rsid w:val="0009413D"/>
    <w:rsid w:val="0009461E"/>
    <w:rsid w:val="000B4BB1"/>
    <w:rsid w:val="000C65A3"/>
    <w:rsid w:val="00110AC7"/>
    <w:rsid w:val="00114FA9"/>
    <w:rsid w:val="00130FBE"/>
    <w:rsid w:val="0013430B"/>
    <w:rsid w:val="00146742"/>
    <w:rsid w:val="001600AF"/>
    <w:rsid w:val="00174711"/>
    <w:rsid w:val="00176A5A"/>
    <w:rsid w:val="00194063"/>
    <w:rsid w:val="001A4FF9"/>
    <w:rsid w:val="001B1107"/>
    <w:rsid w:val="001C4A59"/>
    <w:rsid w:val="001F0372"/>
    <w:rsid w:val="00205DCA"/>
    <w:rsid w:val="00225F9E"/>
    <w:rsid w:val="0024042A"/>
    <w:rsid w:val="00241563"/>
    <w:rsid w:val="00260856"/>
    <w:rsid w:val="00282273"/>
    <w:rsid w:val="00287972"/>
    <w:rsid w:val="002A3D0F"/>
    <w:rsid w:val="002C27DC"/>
    <w:rsid w:val="002E161C"/>
    <w:rsid w:val="002F250C"/>
    <w:rsid w:val="003162C6"/>
    <w:rsid w:val="00334B7A"/>
    <w:rsid w:val="003377A6"/>
    <w:rsid w:val="00364E5E"/>
    <w:rsid w:val="003706A0"/>
    <w:rsid w:val="00382AC3"/>
    <w:rsid w:val="00386FAE"/>
    <w:rsid w:val="003A5CA9"/>
    <w:rsid w:val="003B4DCC"/>
    <w:rsid w:val="003C6198"/>
    <w:rsid w:val="003F69EC"/>
    <w:rsid w:val="00402181"/>
    <w:rsid w:val="004032A1"/>
    <w:rsid w:val="004516BE"/>
    <w:rsid w:val="0049236C"/>
    <w:rsid w:val="00495F52"/>
    <w:rsid w:val="004A2706"/>
    <w:rsid w:val="004A38BB"/>
    <w:rsid w:val="004C18B4"/>
    <w:rsid w:val="004C1B97"/>
    <w:rsid w:val="004E53BD"/>
    <w:rsid w:val="00552A37"/>
    <w:rsid w:val="00557A34"/>
    <w:rsid w:val="005B3625"/>
    <w:rsid w:val="005D6329"/>
    <w:rsid w:val="005E72EE"/>
    <w:rsid w:val="005F08B5"/>
    <w:rsid w:val="0060351B"/>
    <w:rsid w:val="006527E6"/>
    <w:rsid w:val="006556EA"/>
    <w:rsid w:val="006A7CE2"/>
    <w:rsid w:val="006B2C5D"/>
    <w:rsid w:val="006D61A2"/>
    <w:rsid w:val="00707493"/>
    <w:rsid w:val="00711BB1"/>
    <w:rsid w:val="00713A44"/>
    <w:rsid w:val="00726A12"/>
    <w:rsid w:val="00734F76"/>
    <w:rsid w:val="00742EA3"/>
    <w:rsid w:val="00754D72"/>
    <w:rsid w:val="00757706"/>
    <w:rsid w:val="00761395"/>
    <w:rsid w:val="007816DA"/>
    <w:rsid w:val="007B6A97"/>
    <w:rsid w:val="007D0CC3"/>
    <w:rsid w:val="0080761A"/>
    <w:rsid w:val="00814594"/>
    <w:rsid w:val="008176D3"/>
    <w:rsid w:val="00857B48"/>
    <w:rsid w:val="0086593D"/>
    <w:rsid w:val="008F3395"/>
    <w:rsid w:val="009735F6"/>
    <w:rsid w:val="009A1CC7"/>
    <w:rsid w:val="009C0BD2"/>
    <w:rsid w:val="009C53B2"/>
    <w:rsid w:val="009E089E"/>
    <w:rsid w:val="00A00E29"/>
    <w:rsid w:val="00A27646"/>
    <w:rsid w:val="00A31D11"/>
    <w:rsid w:val="00A34607"/>
    <w:rsid w:val="00A34FCC"/>
    <w:rsid w:val="00A752C2"/>
    <w:rsid w:val="00A75E87"/>
    <w:rsid w:val="00A8576D"/>
    <w:rsid w:val="00AA320F"/>
    <w:rsid w:val="00AE4C1D"/>
    <w:rsid w:val="00B0682A"/>
    <w:rsid w:val="00B117A8"/>
    <w:rsid w:val="00B14B70"/>
    <w:rsid w:val="00B21779"/>
    <w:rsid w:val="00B35237"/>
    <w:rsid w:val="00B357D5"/>
    <w:rsid w:val="00B50EE0"/>
    <w:rsid w:val="00B51F3C"/>
    <w:rsid w:val="00B5655F"/>
    <w:rsid w:val="00B76CAD"/>
    <w:rsid w:val="00B94FFC"/>
    <w:rsid w:val="00BC48BC"/>
    <w:rsid w:val="00C069DF"/>
    <w:rsid w:val="00C33498"/>
    <w:rsid w:val="00C905CF"/>
    <w:rsid w:val="00C95485"/>
    <w:rsid w:val="00CB3DA9"/>
    <w:rsid w:val="00CD051B"/>
    <w:rsid w:val="00CF56AE"/>
    <w:rsid w:val="00D03551"/>
    <w:rsid w:val="00D17339"/>
    <w:rsid w:val="00D47975"/>
    <w:rsid w:val="00D54AD7"/>
    <w:rsid w:val="00DA14EB"/>
    <w:rsid w:val="00DA1F3A"/>
    <w:rsid w:val="00DA5C2E"/>
    <w:rsid w:val="00DF1EA0"/>
    <w:rsid w:val="00E0428C"/>
    <w:rsid w:val="00E1173C"/>
    <w:rsid w:val="00E61B74"/>
    <w:rsid w:val="00E761DB"/>
    <w:rsid w:val="00E909C6"/>
    <w:rsid w:val="00E9725B"/>
    <w:rsid w:val="00EB60BC"/>
    <w:rsid w:val="00EC14FA"/>
    <w:rsid w:val="00EC4182"/>
    <w:rsid w:val="00EE6C6B"/>
    <w:rsid w:val="00EE7235"/>
    <w:rsid w:val="00EE724E"/>
    <w:rsid w:val="00F94572"/>
    <w:rsid w:val="00FD0D76"/>
    <w:rsid w:val="00FE5842"/>
    <w:rsid w:val="00FF2FEB"/>
    <w:rsid w:val="00FF337E"/>
    <w:rsid w:val="30523800"/>
    <w:rsid w:val="42F01EAE"/>
    <w:rsid w:val="45874F9E"/>
    <w:rsid w:val="46202C1B"/>
    <w:rsid w:val="474451A1"/>
    <w:rsid w:val="6F756D9A"/>
    <w:rsid w:val="70500BA1"/>
    <w:rsid w:val="7A346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qFormat="1" w:unhideWhenUsed="0" w:uiPriority="0" w:semiHidden="0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qFormat/>
    <w:uiPriority w:val="0"/>
    <w:pPr>
      <w:ind w:firstLine="420" w:firstLineChars="200"/>
    </w:pPr>
  </w:style>
  <w:style w:type="paragraph" w:styleId="3">
    <w:name w:val="Body Text Indent"/>
    <w:basedOn w:val="1"/>
    <w:next w:val="4"/>
    <w:qFormat/>
    <w:uiPriority w:val="0"/>
    <w:pPr>
      <w:ind w:firstLine="720" w:firstLineChars="257"/>
    </w:pPr>
    <w:rPr>
      <w:rFonts w:eastAsia="Times New Roman"/>
      <w:kern w:val="0"/>
      <w:sz w:val="20"/>
    </w:rPr>
  </w:style>
  <w:style w:type="paragraph" w:styleId="4">
    <w:name w:val="Normal Indent"/>
    <w:basedOn w:val="1"/>
    <w:qFormat/>
    <w:uiPriority w:val="0"/>
    <w:pPr>
      <w:ind w:firstLine="420" w:firstLineChars="200"/>
    </w:pPr>
    <w:rPr>
      <w:rFonts w:eastAsia="仿宋"/>
      <w:sz w:val="32"/>
    </w:rPr>
  </w:style>
  <w:style w:type="paragraph" w:styleId="5">
    <w:name w:val="toc 4"/>
    <w:basedOn w:val="1"/>
    <w:next w:val="1"/>
    <w:qFormat/>
    <w:uiPriority w:val="0"/>
    <w:pPr>
      <w:ind w:left="1260"/>
    </w:pPr>
    <w:rPr>
      <w:rFonts w:ascii="黑体" w:eastAsia="黑体"/>
      <w:sz w:val="32"/>
      <w:szCs w:val="32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10"/>
    <w:link w:val="7"/>
    <w:semiHidden/>
    <w:qFormat/>
    <w:uiPriority w:val="99"/>
    <w:rPr>
      <w:kern w:val="2"/>
      <w:sz w:val="18"/>
      <w:szCs w:val="18"/>
    </w:rPr>
  </w:style>
  <w:style w:type="character" w:customStyle="1" w:styleId="13">
    <w:name w:val="页脚 Char"/>
    <w:basedOn w:val="10"/>
    <w:link w:val="6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11</Pages>
  <Words>5723</Words>
  <Characters>6159</Characters>
  <Lines>44</Lines>
  <Paragraphs>12</Paragraphs>
  <TotalTime>41</TotalTime>
  <ScaleCrop>false</ScaleCrop>
  <LinksUpToDate>false</LinksUpToDate>
  <CharactersWithSpaces>6178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2022-04-22T01:23:00Z</dcterms:created>
  <dc:creator>cw</dc:creator>
  <cp:lastModifiedBy>茜茜</cp:lastModifiedBy>
  <cp:lastPrinted>2020-06-24T01:04:00Z</cp:lastPrinted>
  <dcterms:modified xsi:type="dcterms:W3CDTF">2023-10-30T01:14:22Z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  <property fmtid="{D5CDD505-2E9C-101B-9397-08002B2CF9AE}" pid="3" name="ICV">
    <vt:lpwstr>E98551261F004D05910C6935BE26611D_13</vt:lpwstr>
  </property>
</Properties>
</file>