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p>
    <w:p>
      <w:pPr>
        <w:spacing w:line="360" w:lineRule="auto"/>
        <w:ind w:firstLine="1293" w:firstLineChars="300"/>
        <w:rPr>
          <w:rFonts w:hint="eastAsia" w:ascii="方正小标宋_GBK" w:eastAsia="方正小标宋_GBK"/>
          <w:sz w:val="44"/>
          <w:szCs w:val="44"/>
        </w:rPr>
      </w:pPr>
      <w:r>
        <w:rPr>
          <w:rFonts w:hint="eastAsia" w:ascii="方正小标宋_GBK" w:eastAsia="方正小标宋_GBK"/>
          <w:sz w:val="44"/>
          <w:szCs w:val="44"/>
          <w:lang w:eastAsia="zh-CN"/>
        </w:rPr>
        <w:t>衡南县</w:t>
      </w:r>
      <w:r>
        <w:rPr>
          <w:rFonts w:hint="eastAsia" w:ascii="方正小标宋_GBK" w:eastAsia="方正小标宋_GBK"/>
          <w:sz w:val="44"/>
          <w:szCs w:val="44"/>
        </w:rPr>
        <w:t>部门整体支出绩效自评报告</w:t>
      </w:r>
    </w:p>
    <w:p>
      <w:pPr>
        <w:spacing w:line="360" w:lineRule="auto"/>
        <w:ind w:firstLine="402" w:firstLineChars="200"/>
        <w:jc w:val="center"/>
      </w:pPr>
    </w:p>
    <w:p>
      <w:pPr>
        <w:tabs>
          <w:tab w:val="center" w:pos="4473"/>
          <w:tab w:val="right" w:pos="8306"/>
        </w:tabs>
        <w:spacing w:line="360" w:lineRule="auto"/>
        <w:ind w:firstLine="622" w:firstLineChars="200"/>
        <w:jc w:val="left"/>
        <w:rPr>
          <w:rFonts w:hint="eastAsia" w:ascii="仿宋_GB2312" w:eastAsia="仿宋_GB2312"/>
          <w:sz w:val="32"/>
          <w:szCs w:val="32"/>
        </w:rPr>
      </w:pPr>
      <w:r>
        <w:rPr>
          <w:rFonts w:ascii="仿宋_GB2312" w:eastAsia="仿宋_GB2312"/>
          <w:sz w:val="32"/>
          <w:szCs w:val="32"/>
        </w:rPr>
        <w:tab/>
      </w:r>
      <w:r>
        <w:rPr>
          <w:rFonts w:hint="eastAsia" w:ascii="仿宋_GB2312" w:eastAsia="仿宋_GB2312"/>
          <w:sz w:val="32"/>
          <w:szCs w:val="32"/>
        </w:rPr>
        <w:t>（ 20</w:t>
      </w:r>
      <w:r>
        <w:rPr>
          <w:rFonts w:ascii="仿宋_GB2312" w:eastAsia="仿宋_GB2312"/>
          <w:sz w:val="32"/>
          <w:szCs w:val="32"/>
        </w:rPr>
        <w:t>22</w:t>
      </w:r>
      <w:r>
        <w:rPr>
          <w:rFonts w:hint="eastAsia" w:ascii="仿宋_GB2312" w:eastAsia="仿宋_GB2312"/>
          <w:sz w:val="32"/>
          <w:szCs w:val="32"/>
        </w:rPr>
        <w:t>年度 ）</w:t>
      </w:r>
      <w:r>
        <w:rPr>
          <w:rFonts w:ascii="仿宋_GB2312" w:eastAsia="仿宋_GB2312"/>
          <w:sz w:val="32"/>
          <w:szCs w:val="32"/>
        </w:rPr>
        <w:tab/>
      </w:r>
    </w:p>
    <w:p>
      <w:pPr>
        <w:spacing w:line="360" w:lineRule="auto"/>
        <w:ind w:firstLine="402" w:firstLineChars="200"/>
        <w:rPr>
          <w:rFonts w:hint="eastAsia"/>
        </w:rPr>
      </w:pPr>
    </w:p>
    <w:p>
      <w:pPr>
        <w:spacing w:line="360" w:lineRule="auto"/>
        <w:ind w:firstLine="402" w:firstLineChars="200"/>
        <w:rPr>
          <w:rFonts w:hint="eastAsia"/>
        </w:rPr>
      </w:pPr>
    </w:p>
    <w:p>
      <w:pPr>
        <w:spacing w:line="360" w:lineRule="auto"/>
        <w:ind w:firstLine="402" w:firstLineChars="200"/>
        <w:rPr>
          <w:rFonts w:hint="eastAsia"/>
        </w:rPr>
      </w:pPr>
    </w:p>
    <w:p>
      <w:pPr>
        <w:spacing w:line="360" w:lineRule="auto"/>
        <w:ind w:firstLine="933" w:firstLineChars="300"/>
        <w:rPr>
          <w:rFonts w:hint="eastAsia" w:ascii="仿宋_GB2312" w:eastAsia="仿宋_GB2312"/>
          <w:sz w:val="32"/>
          <w:szCs w:val="32"/>
        </w:rPr>
      </w:pPr>
      <w:r>
        <w:rPr>
          <w:rFonts w:hint="eastAsia" w:ascii="仿宋_GB2312" w:eastAsia="仿宋_GB2312"/>
          <w:sz w:val="32"/>
          <w:szCs w:val="32"/>
        </w:rPr>
        <w:t>部门(单位)名称：</w:t>
      </w:r>
      <w:r>
        <w:rPr>
          <w:rFonts w:hint="eastAsia" w:ascii="仿宋_GB2312" w:eastAsia="仿宋_GB2312"/>
          <w:sz w:val="32"/>
          <w:szCs w:val="32"/>
          <w:lang w:eastAsia="zh-CN"/>
        </w:rPr>
        <w:t>中共衡南县委巡察工作领导小组办公室</w:t>
      </w:r>
      <w:r>
        <w:rPr>
          <w:rFonts w:hint="eastAsia" w:ascii="仿宋_GB2312" w:eastAsia="仿宋_GB2312"/>
          <w:sz w:val="32"/>
          <w:szCs w:val="32"/>
        </w:rPr>
        <w:t xml:space="preserve">              </w:t>
      </w:r>
    </w:p>
    <w:p>
      <w:pPr>
        <w:spacing w:line="360" w:lineRule="auto"/>
        <w:ind w:firstLine="933" w:firstLineChars="300"/>
        <w:rPr>
          <w:rFonts w:hint="eastAsia" w:ascii="仿宋_GB2312" w:eastAsia="仿宋_GB2312"/>
          <w:sz w:val="32"/>
          <w:szCs w:val="32"/>
        </w:rPr>
      </w:pPr>
      <w:r>
        <w:rPr>
          <w:rFonts w:hint="eastAsia" w:ascii="仿宋_GB2312" w:eastAsia="仿宋_GB2312"/>
          <w:sz w:val="32"/>
          <w:szCs w:val="32"/>
        </w:rPr>
        <w:t xml:space="preserve">预算编码： </w:t>
      </w:r>
      <w:r>
        <w:rPr>
          <w:rFonts w:hint="eastAsia" w:ascii="仿宋_GB2312" w:eastAsia="仿宋_GB2312"/>
          <w:sz w:val="32"/>
          <w:szCs w:val="32"/>
          <w:lang w:val="en-US" w:eastAsia="zh-CN"/>
        </w:rPr>
        <w:t>158001</w:t>
      </w:r>
      <w:r>
        <w:rPr>
          <w:rFonts w:hint="eastAsia" w:ascii="仿宋_GB2312" w:eastAsia="仿宋_GB2312"/>
          <w:sz w:val="32"/>
          <w:szCs w:val="32"/>
        </w:rPr>
        <w:t xml:space="preserve">          </w:t>
      </w:r>
    </w:p>
    <w:p>
      <w:pPr>
        <w:spacing w:line="360" w:lineRule="auto"/>
        <w:ind w:firstLine="933" w:firstLineChars="300"/>
        <w:rPr>
          <w:rFonts w:hint="eastAsia" w:ascii="仿宋_GB2312" w:eastAsia="仿宋_GB2312"/>
          <w:sz w:val="32"/>
          <w:szCs w:val="32"/>
        </w:rPr>
      </w:pPr>
      <w:r>
        <w:rPr>
          <w:rFonts w:hint="eastAsia" w:ascii="仿宋_GB2312" w:eastAsia="仿宋_GB2312"/>
          <w:sz w:val="32"/>
          <w:szCs w:val="32"/>
        </w:rPr>
        <w:t xml:space="preserve">评价方式：部门（单位）自评☑  </w:t>
      </w:r>
    </w:p>
    <w:p>
      <w:pPr>
        <w:spacing w:line="360" w:lineRule="auto"/>
        <w:ind w:firstLine="933" w:firstLineChars="300"/>
        <w:rPr>
          <w:rFonts w:hint="eastAsia" w:ascii="仿宋_GB2312" w:eastAsia="仿宋_GB2312"/>
          <w:sz w:val="32"/>
          <w:szCs w:val="32"/>
        </w:rPr>
      </w:pPr>
      <w:r>
        <w:rPr>
          <w:rFonts w:hint="eastAsia" w:ascii="仿宋_GB2312" w:eastAsia="仿宋_GB2312"/>
          <w:sz w:val="32"/>
          <w:szCs w:val="32"/>
        </w:rPr>
        <w:t>中介机构评价□</w:t>
      </w:r>
    </w:p>
    <w:p>
      <w:pPr>
        <w:spacing w:line="360" w:lineRule="auto"/>
        <w:ind w:firstLine="933" w:firstLineChars="300"/>
        <w:rPr>
          <w:rFonts w:hint="eastAsia" w:ascii="仿宋_GB2312" w:eastAsia="仿宋_GB2312"/>
          <w:sz w:val="32"/>
          <w:szCs w:val="32"/>
        </w:rPr>
      </w:pPr>
      <w:r>
        <w:rPr>
          <w:rFonts w:hint="eastAsia" w:ascii="仿宋_GB2312" w:eastAsia="仿宋_GB2312"/>
          <w:sz w:val="32"/>
          <w:szCs w:val="32"/>
        </w:rPr>
        <w:t>评价机构：部门（单位）评价组☑</w:t>
      </w:r>
    </w:p>
    <w:p>
      <w:pPr>
        <w:spacing w:line="360" w:lineRule="auto"/>
        <w:ind w:firstLine="933" w:firstLineChars="300"/>
        <w:rPr>
          <w:rFonts w:hint="eastAsia" w:ascii="仿宋_GB2312" w:eastAsia="仿宋_GB2312"/>
          <w:sz w:val="32"/>
          <w:szCs w:val="32"/>
        </w:rPr>
      </w:pPr>
      <w:r>
        <w:rPr>
          <w:rFonts w:hint="eastAsia" w:ascii="仿宋_GB2312" w:eastAsia="仿宋_GB2312"/>
          <w:sz w:val="32"/>
          <w:szCs w:val="32"/>
        </w:rPr>
        <w:t>中介机构□</w:t>
      </w:r>
    </w:p>
    <w:p>
      <w:pPr>
        <w:spacing w:line="360" w:lineRule="auto"/>
        <w:ind w:firstLine="402" w:firstLineChars="200"/>
      </w:pPr>
    </w:p>
    <w:p>
      <w:pPr>
        <w:spacing w:line="360" w:lineRule="auto"/>
        <w:ind w:firstLine="402" w:firstLineChars="200"/>
      </w:pPr>
    </w:p>
    <w:p>
      <w:pPr>
        <w:spacing w:line="360" w:lineRule="auto"/>
        <w:ind w:firstLine="402" w:firstLineChars="200"/>
        <w:rPr>
          <w:rFonts w:hint="eastAsia"/>
        </w:rPr>
      </w:pPr>
    </w:p>
    <w:p>
      <w:pPr>
        <w:spacing w:line="360" w:lineRule="auto"/>
        <w:ind w:firstLine="402" w:firstLineChars="200"/>
        <w:rPr>
          <w:rFonts w:hint="eastAsia"/>
        </w:rPr>
      </w:pPr>
    </w:p>
    <w:p>
      <w:pPr>
        <w:spacing w:line="360" w:lineRule="auto"/>
        <w:ind w:firstLine="402" w:firstLineChars="200"/>
        <w:rPr>
          <w:rFonts w:hint="eastAsia"/>
        </w:rPr>
      </w:pPr>
    </w:p>
    <w:p>
      <w:pPr>
        <w:spacing w:line="360" w:lineRule="auto"/>
        <w:ind w:firstLine="402" w:firstLineChars="200"/>
        <w:rPr>
          <w:rFonts w:hint="eastAsia"/>
        </w:rPr>
      </w:pPr>
    </w:p>
    <w:p>
      <w:pPr>
        <w:spacing w:line="360" w:lineRule="auto"/>
        <w:ind w:firstLine="402" w:firstLineChars="200"/>
        <w:rPr>
          <w:rFonts w:hint="eastAsia"/>
        </w:rPr>
      </w:pPr>
    </w:p>
    <w:p>
      <w:pPr>
        <w:spacing w:line="360" w:lineRule="auto"/>
        <w:jc w:val="center"/>
        <w:rPr>
          <w:rFonts w:hint="eastAsia" w:ascii="仿宋_GB2312" w:eastAsia="仿宋_GB2312"/>
          <w:sz w:val="32"/>
          <w:szCs w:val="32"/>
        </w:rPr>
      </w:pPr>
      <w:r>
        <w:rPr>
          <w:rFonts w:hint="eastAsia" w:ascii="仿宋_GB2312" w:eastAsia="仿宋_GB2312"/>
          <w:sz w:val="32"/>
          <w:szCs w:val="32"/>
        </w:rPr>
        <w:t>报告日期：  20</w:t>
      </w:r>
      <w:r>
        <w:rPr>
          <w:rFonts w:ascii="仿宋_GB2312" w:eastAsia="仿宋_GB2312"/>
          <w:sz w:val="32"/>
          <w:szCs w:val="32"/>
        </w:rPr>
        <w:t>23</w:t>
      </w:r>
      <w:r>
        <w:rPr>
          <w:rFonts w:hint="eastAsia" w:ascii="仿宋_GB2312" w:eastAsia="仿宋_GB2312"/>
          <w:sz w:val="32"/>
          <w:szCs w:val="32"/>
        </w:rPr>
        <w:t xml:space="preserve"> 年 </w:t>
      </w:r>
      <w:r>
        <w:rPr>
          <w:rFonts w:hint="eastAsia" w:ascii="仿宋_GB2312" w:eastAsia="仿宋_GB2312"/>
          <w:sz w:val="32"/>
          <w:szCs w:val="32"/>
          <w:lang w:val="en-US" w:eastAsia="zh-CN"/>
        </w:rPr>
        <w:t>4</w:t>
      </w:r>
      <w:r>
        <w:rPr>
          <w:rFonts w:hint="eastAsia" w:ascii="仿宋_GB2312" w:eastAsia="仿宋_GB2312"/>
          <w:sz w:val="32"/>
          <w:szCs w:val="32"/>
        </w:rPr>
        <w:t xml:space="preserve"> 月 </w:t>
      </w:r>
      <w:r>
        <w:rPr>
          <w:rFonts w:hint="eastAsia" w:ascii="仿宋_GB2312" w:eastAsia="仿宋_GB2312"/>
          <w:sz w:val="32"/>
          <w:szCs w:val="32"/>
          <w:lang w:val="en-US" w:eastAsia="zh-CN"/>
        </w:rPr>
        <w:t>17</w:t>
      </w:r>
      <w:r>
        <w:rPr>
          <w:rFonts w:hint="eastAsia" w:ascii="仿宋_GB2312" w:eastAsia="仿宋_GB2312"/>
          <w:sz w:val="32"/>
          <w:szCs w:val="32"/>
        </w:rPr>
        <w:t xml:space="preserve"> 日</w:t>
      </w:r>
    </w:p>
    <w:p>
      <w:pPr>
        <w:pStyle w:val="10"/>
        <w:rPr>
          <w:rFonts w:hint="eastAsia" w:ascii="仿宋_GB2312" w:eastAsia="仿宋_GB2312"/>
          <w:sz w:val="32"/>
          <w:szCs w:val="32"/>
        </w:rPr>
      </w:pPr>
    </w:p>
    <w:p>
      <w:pPr>
        <w:pStyle w:val="10"/>
        <w:rPr>
          <w:rFonts w:hint="eastAsia" w:ascii="仿宋_GB2312" w:eastAsia="仿宋_GB2312"/>
          <w:sz w:val="32"/>
          <w:szCs w:val="32"/>
        </w:rPr>
      </w:pPr>
    </w:p>
    <w:p>
      <w:pPr>
        <w:pStyle w:val="10"/>
        <w:rPr>
          <w:rFonts w:hint="eastAsia" w:ascii="仿宋_GB2312" w:eastAsia="仿宋_GB2312"/>
          <w:sz w:val="32"/>
          <w:szCs w:val="32"/>
        </w:rPr>
      </w:pPr>
    </w:p>
    <w:p>
      <w:pPr>
        <w:pStyle w:val="10"/>
        <w:rPr>
          <w:rFonts w:hint="eastAsia" w:ascii="仿宋_GB2312" w:eastAsia="仿宋_GB2312"/>
          <w:sz w:val="32"/>
          <w:szCs w:val="32"/>
        </w:rPr>
      </w:pPr>
    </w:p>
    <w:p>
      <w:pPr>
        <w:spacing w:line="600" w:lineRule="exact"/>
        <w:ind w:firstLine="542"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为进一步规范财政资金管理，强化财政支出绩效理念和责任意识，切实提高财政资金使用效益，根据《中共中央国务院关于全面实施预算绩效管理的意见》（中发〔2018〕34号）、《中共湖南省委办公厅 湖南省人民政府办公厅关于全面实施预算绩效管理的实施意见》（湘办发〔2019〕10号）精神，现</w:t>
      </w:r>
      <w:r>
        <w:rPr>
          <w:rFonts w:hint="eastAsia" w:asciiTheme="minorEastAsia" w:hAnsiTheme="minorEastAsia" w:eastAsiaTheme="minorEastAsia" w:cstheme="minorEastAsia"/>
          <w:sz w:val="28"/>
          <w:szCs w:val="28"/>
          <w:lang w:eastAsia="zh-CN"/>
        </w:rPr>
        <w:t>将中共衡南县委巡察工作领导小组办公室2022</w:t>
      </w:r>
      <w:r>
        <w:rPr>
          <w:rFonts w:hint="eastAsia" w:asciiTheme="minorEastAsia" w:hAnsiTheme="minorEastAsia" w:eastAsiaTheme="minorEastAsia" w:cstheme="minorEastAsia"/>
          <w:sz w:val="28"/>
          <w:szCs w:val="28"/>
        </w:rPr>
        <w:t>年度财政支出绩效自评报告如下</w:t>
      </w:r>
      <w:r>
        <w:rPr>
          <w:rFonts w:hint="eastAsia" w:asciiTheme="minorEastAsia" w:hAnsiTheme="minorEastAsia" w:eastAsiaTheme="minorEastAsia" w:cstheme="minorEastAsia"/>
          <w:sz w:val="28"/>
          <w:szCs w:val="28"/>
          <w:lang w:eastAsia="zh-CN"/>
        </w:rPr>
        <w:t>：</w:t>
      </w:r>
    </w:p>
    <w:p>
      <w:pPr>
        <w:pStyle w:val="10"/>
        <w:rPr>
          <w:rFonts w:ascii="仿宋_GB2312" w:hAnsi="黑体" w:eastAsia="仿宋_GB2312"/>
          <w:sz w:val="32"/>
          <w:szCs w:val="32"/>
        </w:rPr>
      </w:pPr>
    </w:p>
    <w:p>
      <w:pPr>
        <w:pStyle w:val="27"/>
        <w:widowControl/>
        <w:numPr>
          <w:ilvl w:val="0"/>
          <w:numId w:val="1"/>
        </w:numPr>
        <w:spacing w:line="600" w:lineRule="exact"/>
        <w:ind w:firstLineChars="0"/>
        <w:rPr>
          <w:rFonts w:hint="eastAsia" w:ascii="黑体" w:hAnsi="黑体" w:eastAsia="黑体"/>
          <w:sz w:val="32"/>
          <w:szCs w:val="32"/>
          <w:lang w:eastAsia="zh-CN"/>
        </w:rPr>
      </w:pPr>
      <w:r>
        <w:rPr>
          <w:rFonts w:hint="default" w:ascii="黑体" w:hAnsi="黑体" w:eastAsia="黑体"/>
          <w:sz w:val="32"/>
          <w:szCs w:val="32"/>
          <w:lang w:eastAsia="zh-CN"/>
        </w:rPr>
        <w:t>部门、单位基本情况</w:t>
      </w:r>
    </w:p>
    <w:p>
      <w:pPr>
        <w:pStyle w:val="27"/>
        <w:widowControl/>
        <w:numPr>
          <w:ilvl w:val="0"/>
          <w:numId w:val="0"/>
        </w:numPr>
        <w:spacing w:line="600" w:lineRule="exact"/>
        <w:ind w:left="620" w:leftChars="0"/>
        <w:rPr>
          <w:rFonts w:hint="eastAsia" w:ascii="黑体" w:hAnsi="黑体" w:eastAsia="黑体"/>
          <w:sz w:val="32"/>
          <w:szCs w:val="32"/>
          <w:lang w:eastAsia="zh-CN"/>
        </w:rPr>
      </w:pPr>
      <w:r>
        <w:rPr>
          <w:rFonts w:hint="eastAsia" w:ascii="黑体" w:hAnsi="黑体" w:eastAsia="黑体"/>
          <w:sz w:val="32"/>
          <w:szCs w:val="32"/>
          <w:lang w:eastAsia="zh-CN"/>
        </w:rPr>
        <w:t>（一）</w:t>
      </w:r>
      <w:r>
        <w:rPr>
          <w:rFonts w:hint="default" w:ascii="黑体" w:hAnsi="黑体" w:eastAsia="黑体"/>
          <w:sz w:val="32"/>
          <w:szCs w:val="32"/>
          <w:lang w:eastAsia="zh-CN"/>
        </w:rPr>
        <w:t>机构设置情况</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县委巡察机构为正科级全额拨款行政单位，设“一办三组”、巡察信息中心。</w:t>
      </w:r>
    </w:p>
    <w:p>
      <w:pPr>
        <w:pStyle w:val="27"/>
        <w:widowControl/>
        <w:numPr>
          <w:ilvl w:val="0"/>
          <w:numId w:val="0"/>
        </w:numPr>
        <w:spacing w:line="600" w:lineRule="exact"/>
        <w:ind w:left="620" w:leftChars="0"/>
        <w:rPr>
          <w:rFonts w:hint="eastAsia" w:asciiTheme="minorEastAsia" w:hAnsiTheme="minorEastAsia" w:eastAsiaTheme="minorEastAsia" w:cstheme="minorEastAsia"/>
          <w:sz w:val="28"/>
          <w:szCs w:val="28"/>
          <w:lang w:val="en-US" w:eastAsia="zh-CN"/>
        </w:rPr>
      </w:pPr>
      <w:r>
        <w:rPr>
          <w:rFonts w:hint="eastAsia" w:ascii="黑体" w:hAnsi="黑体" w:eastAsia="黑体"/>
          <w:sz w:val="32"/>
          <w:szCs w:val="32"/>
          <w:lang w:val="en-US" w:eastAsia="zh-CN"/>
        </w:rPr>
        <w:t>（二）人员编制情况</w:t>
      </w:r>
    </w:p>
    <w:p>
      <w:pPr>
        <w:spacing w:line="600" w:lineRule="exact"/>
        <w:ind w:firstLine="542" w:firstLineChars="200"/>
        <w:rPr>
          <w:rFonts w:hint="default" w:ascii="仿宋_GB2312" w:hAnsi="黑体" w:eastAsia="仿宋_GB2312"/>
          <w:sz w:val="32"/>
          <w:szCs w:val="32"/>
          <w:lang w:val="en-US" w:eastAsia="zh-CN"/>
        </w:rPr>
      </w:pPr>
      <w:r>
        <w:rPr>
          <w:rFonts w:hint="eastAsia" w:asciiTheme="minorEastAsia" w:hAnsiTheme="minorEastAsia" w:eastAsiaTheme="minorEastAsia" w:cstheme="minorEastAsia"/>
          <w:sz w:val="28"/>
          <w:szCs w:val="28"/>
          <w:lang w:val="en-US" w:eastAsia="zh-CN"/>
        </w:rPr>
        <w:t>现衡南县巡察办共有行政编制人员12名，财政补助4人。</w:t>
      </w:r>
    </w:p>
    <w:p>
      <w:pPr>
        <w:pStyle w:val="27"/>
        <w:widowControl/>
        <w:numPr>
          <w:ilvl w:val="0"/>
          <w:numId w:val="0"/>
        </w:numPr>
        <w:spacing w:line="600" w:lineRule="exact"/>
        <w:ind w:left="620" w:leftChars="0"/>
        <w:rPr>
          <w:rFonts w:ascii="黑体" w:hAnsi="黑体" w:eastAsia="黑体"/>
          <w:sz w:val="32"/>
          <w:szCs w:val="32"/>
        </w:rPr>
      </w:pPr>
      <w:r>
        <w:rPr>
          <w:rFonts w:hint="eastAsia" w:ascii="黑体" w:hAnsi="黑体" w:eastAsia="黑体"/>
          <w:sz w:val="32"/>
          <w:szCs w:val="32"/>
          <w:lang w:eastAsia="zh-CN"/>
        </w:rPr>
        <w:t>（三）主要职能职责</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（1）向县委巡察工作领导小组、市委巡察工作领导小组办公室报告巡察工作情况，传达贯彻中央、省委、市委和县委、县委巡察工作领导小组的决策和部署。</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（2）统筹、协调、指导县委巡察组开展工作，根据县委巡察工作领导小组的统一安排，承担常规巡察、专项巡察、交叉巡察任务，向领导小组负责并报告工作。</w:t>
      </w:r>
    </w:p>
    <w:p>
      <w:pPr>
        <w:pStyle w:val="10"/>
        <w:rPr>
          <w:rFonts w:hint="eastAsia"/>
          <w:lang w:val="en-US" w:eastAsia="zh-CN"/>
        </w:rPr>
      </w:pPr>
    </w:p>
    <w:p>
      <w:pPr>
        <w:pStyle w:val="27"/>
        <w:widowControl/>
        <w:numPr>
          <w:ilvl w:val="0"/>
          <w:numId w:val="0"/>
        </w:numPr>
        <w:spacing w:line="600" w:lineRule="exact"/>
        <w:ind w:left="620" w:leftChars="0"/>
        <w:rPr>
          <w:rFonts w:hint="eastAsia" w:ascii="黑体" w:hAnsi="黑体" w:eastAsia="黑体"/>
          <w:sz w:val="32"/>
          <w:szCs w:val="32"/>
          <w:lang w:val="en-US" w:eastAsia="zh-CN"/>
        </w:rPr>
      </w:pPr>
      <w:r>
        <w:rPr>
          <w:rFonts w:hint="eastAsia" w:ascii="黑体" w:hAnsi="黑体" w:eastAsia="黑体"/>
          <w:sz w:val="32"/>
          <w:szCs w:val="32"/>
          <w:lang w:val="en-US" w:eastAsia="zh-CN"/>
        </w:rPr>
        <w:t>（四）绩效目标设定情况：</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在本年度收支预算内，确保完成以下整体目标：</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目标1：统筹推进县委在一届任期内对所管理的乡镇（街道）、政府派出机构、人民团体、部门、企事业单位党组织全面巡察。</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目标2：研究提出县委巡察工作规划和阶段任务安排。</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目标3：会同有关部门选配县委巡察组干部，协调配合县委巡察组做好巡察准备、进驻、了解、报告、反馈、移交等工作，协调纪检监察、审计、政法等机关和组织、宣传、信访等部门（单位）及有关地方配合县委巡察组开展工作。</w:t>
      </w:r>
    </w:p>
    <w:p>
      <w:pPr>
        <w:spacing w:line="600" w:lineRule="exact"/>
        <w:ind w:firstLine="542" w:firstLineChars="200"/>
        <w:rPr>
          <w:rFonts w:hint="eastAsia"/>
          <w:lang w:val="en-US" w:eastAsia="zh-CN"/>
        </w:rPr>
      </w:pPr>
      <w:r>
        <w:rPr>
          <w:rFonts w:hint="eastAsia" w:asciiTheme="minorEastAsia" w:hAnsiTheme="minorEastAsia" w:eastAsiaTheme="minorEastAsia" w:cstheme="minorEastAsia"/>
          <w:sz w:val="28"/>
          <w:szCs w:val="28"/>
          <w:lang w:val="en-US" w:eastAsia="zh-CN"/>
        </w:rPr>
        <w:t>目标4：推进巡察工作信息化建设，管理巡察工作专项经费和巡察机构固定资产。加强与行政管理、后勤服务等部门的沟通联系，为县委巡察组开展工作提供服务保障。</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目标5：加强巡察工作宣传，会同有关部门建立协作机制，有效应对涉巡舆情；加强巡察队伍建设，配合有关部门对巡察工作人员进行培训、考核、监督和管理，优化干部队伍结构，提高巡察干部的素质和能力。</w:t>
      </w:r>
    </w:p>
    <w:p>
      <w:pPr>
        <w:pStyle w:val="10"/>
        <w:rPr>
          <w:rFonts w:hint="eastAsia" w:asciiTheme="minorEastAsia" w:hAnsiTheme="minorEastAsia" w:eastAsiaTheme="minorEastAsia" w:cstheme="minorEastAsia"/>
          <w:sz w:val="28"/>
          <w:szCs w:val="28"/>
          <w:lang w:val="en-US" w:eastAsia="zh-CN"/>
        </w:rPr>
      </w:pPr>
    </w:p>
    <w:p>
      <w:pPr>
        <w:spacing w:line="600" w:lineRule="exact"/>
        <w:ind w:firstLine="271" w:firstLineChars="100"/>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2022年实际完成情况：</w:t>
      </w:r>
    </w:p>
    <w:p>
      <w:pPr>
        <w:spacing w:line="600" w:lineRule="exact"/>
        <w:ind w:firstLine="542" w:firstLineChars="200"/>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（一）</w:t>
      </w:r>
      <w:r>
        <w:rPr>
          <w:rFonts w:hint="default" w:asciiTheme="minorEastAsia" w:hAnsiTheme="minorEastAsia" w:eastAsiaTheme="minorEastAsia" w:cstheme="minorEastAsia"/>
          <w:b/>
          <w:bCs/>
          <w:sz w:val="28"/>
          <w:szCs w:val="28"/>
          <w:lang w:val="en-US" w:eastAsia="zh-CN"/>
        </w:rPr>
        <w:t>2022年工作开展情况</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1、</w:t>
      </w:r>
      <w:r>
        <w:rPr>
          <w:rFonts w:hint="default" w:asciiTheme="minorEastAsia" w:hAnsiTheme="minorEastAsia" w:eastAsiaTheme="minorEastAsia" w:cstheme="minorEastAsia"/>
          <w:b/>
          <w:bCs/>
          <w:sz w:val="28"/>
          <w:szCs w:val="28"/>
          <w:lang w:val="en-US" w:eastAsia="zh-CN"/>
        </w:rPr>
        <w:t>抓有形覆盖，有序推进巡察工作。</w:t>
      </w:r>
      <w:r>
        <w:rPr>
          <w:rFonts w:hint="default" w:asciiTheme="minorEastAsia" w:hAnsiTheme="minorEastAsia" w:eastAsiaTheme="minorEastAsia" w:cstheme="minorEastAsia"/>
          <w:sz w:val="28"/>
          <w:szCs w:val="28"/>
          <w:lang w:val="en-US" w:eastAsia="zh-CN"/>
        </w:rPr>
        <w:t>紧紧围绕党中央路线方针政策、重大决策部署和省委、市委、县委工作要求，根据县委巡察工作规划，制定《2022年衡南县委巡察工作要点》，并在广泛调研的基础上，制定巡察村（社区）专项工作规划，统筹谋划全年巡察工作任务。一是常规巡察稳中求进。县委高位统筹定向，县委巡察机构圆满完成十三届县委第一轮、第二轮常规巡察，启动十三届县委第三轮常规巡察。组建了9个巡察组，对20个县直单位和乡镇（街道）开展巡察，共反馈问题165个，已完成整改</w:t>
      </w:r>
      <w:r>
        <w:rPr>
          <w:rFonts w:hint="eastAsia" w:asciiTheme="minorEastAsia" w:hAnsiTheme="minorEastAsia" w:eastAsiaTheme="minorEastAsia" w:cstheme="minorEastAsia"/>
          <w:sz w:val="28"/>
          <w:szCs w:val="28"/>
          <w:lang w:val="en-US" w:eastAsia="zh-CN"/>
        </w:rPr>
        <w:t>153</w:t>
      </w:r>
      <w:r>
        <w:rPr>
          <w:rFonts w:hint="default" w:asciiTheme="minorEastAsia" w:hAnsiTheme="minorEastAsia" w:eastAsiaTheme="minorEastAsia" w:cstheme="minorEastAsia"/>
          <w:sz w:val="28"/>
          <w:szCs w:val="28"/>
          <w:lang w:val="en-US" w:eastAsia="zh-CN"/>
        </w:rPr>
        <w:t>个，移交问题线索8条，推动立行立改问题34项，充分发挥了巡察利剑作用。二是专项巡察动真碰硬。根据县委安排，深化专项巡察，完成了学生安全专项巡察、对县财政局、县直（属）涉债单位开展违规举债和虚假化债专项巡察。共反馈问题219个，已完成整改</w:t>
      </w:r>
      <w:r>
        <w:rPr>
          <w:rFonts w:hint="eastAsia" w:asciiTheme="minorEastAsia" w:hAnsiTheme="minorEastAsia" w:eastAsiaTheme="minorEastAsia" w:cstheme="minorEastAsia"/>
          <w:sz w:val="28"/>
          <w:szCs w:val="28"/>
          <w:lang w:val="en-US" w:eastAsia="zh-CN"/>
        </w:rPr>
        <w:t>205</w:t>
      </w:r>
      <w:r>
        <w:rPr>
          <w:rFonts w:hint="default" w:asciiTheme="minorEastAsia" w:hAnsiTheme="minorEastAsia" w:eastAsiaTheme="minorEastAsia" w:cstheme="minorEastAsia"/>
          <w:sz w:val="28"/>
          <w:szCs w:val="28"/>
          <w:lang w:val="en-US" w:eastAsia="zh-CN"/>
        </w:rPr>
        <w:t>个，移交问题线索4条，立案查处2人，推动立行立改问题168项</w:t>
      </w:r>
      <w:r>
        <w:rPr>
          <w:rFonts w:hint="eastAsia" w:asciiTheme="minorEastAsia" w:hAnsiTheme="minorEastAsia" w:eastAsiaTheme="minorEastAsia" w:cstheme="minorEastAsia"/>
          <w:sz w:val="28"/>
          <w:szCs w:val="28"/>
          <w:lang w:val="en-US" w:eastAsia="zh-CN"/>
        </w:rPr>
        <w:t>。</w:t>
      </w:r>
      <w:r>
        <w:rPr>
          <w:rFonts w:hint="default" w:asciiTheme="minorEastAsia" w:hAnsiTheme="minorEastAsia" w:eastAsiaTheme="minorEastAsia" w:cstheme="minorEastAsia"/>
          <w:sz w:val="28"/>
          <w:szCs w:val="28"/>
          <w:lang w:val="en-US" w:eastAsia="zh-CN"/>
        </w:rPr>
        <w:t>三是村(社区）巡察落细落地。十三届县委第一轮、第二轮巡察共组建了5个巡察组，巡察了117个村（社区）党组织，发现问题354个，已完成整改</w:t>
      </w:r>
      <w:r>
        <w:rPr>
          <w:rFonts w:hint="eastAsia" w:asciiTheme="minorEastAsia" w:hAnsiTheme="minorEastAsia" w:eastAsiaTheme="minorEastAsia" w:cstheme="minorEastAsia"/>
          <w:sz w:val="28"/>
          <w:szCs w:val="28"/>
          <w:lang w:val="en-US" w:eastAsia="zh-CN"/>
        </w:rPr>
        <w:t>341</w:t>
      </w:r>
      <w:r>
        <w:rPr>
          <w:rFonts w:hint="default" w:asciiTheme="minorEastAsia" w:hAnsiTheme="minorEastAsia" w:eastAsiaTheme="minorEastAsia" w:cstheme="minorEastAsia"/>
          <w:sz w:val="28"/>
          <w:szCs w:val="28"/>
          <w:lang w:val="en-US" w:eastAsia="zh-CN"/>
        </w:rPr>
        <w:t>个，移交问题线索14条，立案查处4人，推动立行立改问题21个，解决群众急难愁盼问题15个。启动了十三届县委第三轮巡察，组建了3个巡察组，对3个乡镇（街道）73个村（社区）开展巡察。四是配合市委提级巡察村（社区）工作有力有效。严格按照分类标准，根据全县445个村（社区）党组织类型、人口数量、经济总量、资金项目、信访举报等实际情况进行科学分类；组建巡察小组，配合市委巡察村（社区）党组织工作；积极协调周密安排，顺利配合市委第五巡察组完成提级交叉巡察硫市镇贞元村、江口镇杉林村。</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2、</w:t>
      </w:r>
      <w:r>
        <w:rPr>
          <w:rFonts w:hint="default" w:asciiTheme="minorEastAsia" w:hAnsiTheme="minorEastAsia" w:eastAsiaTheme="minorEastAsia" w:cstheme="minorEastAsia"/>
          <w:b/>
          <w:bCs/>
          <w:sz w:val="28"/>
          <w:szCs w:val="28"/>
          <w:lang w:val="en-US" w:eastAsia="zh-CN"/>
        </w:rPr>
        <w:t>抓有效覆盖，推进巡察高质量发展。</w:t>
      </w:r>
      <w:r>
        <w:rPr>
          <w:rFonts w:hint="default" w:asciiTheme="minorEastAsia" w:hAnsiTheme="minorEastAsia" w:eastAsiaTheme="minorEastAsia" w:cstheme="minorEastAsia"/>
          <w:sz w:val="28"/>
          <w:szCs w:val="28"/>
          <w:lang w:val="en-US" w:eastAsia="zh-CN"/>
        </w:rPr>
        <w:t>一是强化理论学习。制定《巡察机构关于认真学习宣传贯彻党的二十大精神工作方案》，开展“六个一”活动，深入学习贯彻党的二十大精神；组织巡察干部开展集中学习与日常学习相结合，学习《党的十九大以来中央巡视工作总结报告》《新时代巡视巡察干部培训系列教材》和上级有关巡视巡察工作精神，提升巡察规范化法治化正规化水平；坚持每轮巡前学习培训，自觉以党的理论武装头脑，进一步把握政治巡察定位，提高巡察人员的政治判断力、政治领悟力、政治执行力。二是深化政治巡察。按照“四个对照”、“四个紧盯”要求，把发现问题作为巡察监督的首要职责。落实市委巡察办领导到衡南县调研巡察村（社区）党组织工作时提出的推进对村（社区）党组织巡察高质量全覆盖的要求；推行“屋场恳谈会+巡察”，巡察干部与村</w:t>
      </w:r>
      <w:bookmarkStart w:id="0" w:name="_GoBack"/>
      <w:bookmarkEnd w:id="0"/>
      <w:r>
        <w:rPr>
          <w:rFonts w:hint="default" w:asciiTheme="minorEastAsia" w:hAnsiTheme="minorEastAsia" w:eastAsiaTheme="minorEastAsia" w:cstheme="minorEastAsia"/>
          <w:sz w:val="28"/>
          <w:szCs w:val="28"/>
          <w:lang w:val="en-US" w:eastAsia="zh-CN"/>
        </w:rPr>
        <w:t>民围坐在一起“话家常”，面对面向群众宣讲政策，倾听群众建议，摸排矛盾纠纷，解决群众“急难愁盼”问题，推进基层党组织建设。巡察办加强到组调研，进行巡中指导、办组会商，坚持定性与定量相结合，用比例说明问题性质，用比较看出问题变化，做到精准发现问题、精准研判问题、精准报告问题。三是做实巡察整改“后半篇文章”。县委巡察机构全面贯彻落实习近平总书记对巡视整改的重要指示</w:t>
      </w:r>
      <w:r>
        <w:rPr>
          <w:rFonts w:hint="eastAsia" w:asciiTheme="minorEastAsia" w:hAnsiTheme="minorEastAsia" w:eastAsiaTheme="minorEastAsia" w:cstheme="minorEastAsia"/>
          <w:sz w:val="28"/>
          <w:szCs w:val="28"/>
          <w:lang w:val="en-US" w:eastAsia="zh-CN"/>
        </w:rPr>
        <w:t>批示</w:t>
      </w:r>
      <w:r>
        <w:rPr>
          <w:rFonts w:hint="default" w:asciiTheme="minorEastAsia" w:hAnsiTheme="minorEastAsia" w:eastAsiaTheme="minorEastAsia" w:cstheme="minorEastAsia"/>
          <w:sz w:val="28"/>
          <w:szCs w:val="28"/>
          <w:lang w:val="en-US" w:eastAsia="zh-CN"/>
        </w:rPr>
        <w:t>精神，贯彻落实</w:t>
      </w:r>
      <w:r>
        <w:rPr>
          <w:rFonts w:hint="eastAsia" w:asciiTheme="minorEastAsia" w:hAnsiTheme="minorEastAsia" w:eastAsiaTheme="minorEastAsia" w:cstheme="minorEastAsia"/>
          <w:sz w:val="28"/>
          <w:szCs w:val="28"/>
          <w:lang w:val="en-US" w:eastAsia="zh-CN"/>
        </w:rPr>
        <w:t>《</w:t>
      </w:r>
      <w:r>
        <w:rPr>
          <w:rFonts w:hint="default" w:asciiTheme="minorEastAsia" w:hAnsiTheme="minorEastAsia" w:eastAsiaTheme="minorEastAsia" w:cstheme="minorEastAsia"/>
          <w:sz w:val="28"/>
          <w:szCs w:val="28"/>
          <w:lang w:val="en-US" w:eastAsia="zh-CN"/>
        </w:rPr>
        <w:t>加强巡察整改和成果运用的意见</w:t>
      </w:r>
      <w:r>
        <w:rPr>
          <w:rFonts w:hint="eastAsia" w:asciiTheme="minorEastAsia" w:hAnsiTheme="minorEastAsia" w:eastAsiaTheme="minorEastAsia" w:cstheme="minorEastAsia"/>
          <w:sz w:val="28"/>
          <w:szCs w:val="28"/>
          <w:lang w:val="en-US" w:eastAsia="zh-CN"/>
        </w:rPr>
        <w:t>》</w:t>
      </w:r>
      <w:r>
        <w:rPr>
          <w:rFonts w:hint="default" w:asciiTheme="minorEastAsia" w:hAnsiTheme="minorEastAsia" w:eastAsiaTheme="minorEastAsia" w:cstheme="minorEastAsia"/>
          <w:sz w:val="28"/>
          <w:szCs w:val="28"/>
          <w:lang w:val="en-US" w:eastAsia="zh-CN"/>
        </w:rPr>
        <w:t>。注重巩固深化整改。在集中抓好3个月集中整改的基础上，定期组织开展整改巡察整改“回头看”，以“交办函”“督办函”的形式对整改不到位的问题进行“再督办”“再震慑”；对十二届县委第九轮巡察以来反馈问题整改落实情况进行实地指导督导，向联点县级领导呈送巡察整改提示函11个，促进100余个问题整改到位，督促被巡单位建立长效机制。注重未巡先改。根据市委“未巡先改”问题清单和县委巡察村（社区）发现的共性问题，指导各乡镇（街道）开展开展问题自查、“未巡先改”工作，全面促进农村基层党组织建设。注重整改实效。县委巡察机构突出边巡边改、联动整改、多管齐下。十三届县委第二轮巡察共移交边巡边改问题35项，巡察期间全部整改到位；巡察9个单位党组织共发现问题212个，其中村（社区）巡察129个问题，按照整改落实“三反馈”“三压实”要求，向被巡察单位、相关职能部门和纪委监委反馈，进一步压实整改责任，推动问题整改；向纪委监委移交问题线索6条。做好市委提级交叉巡察反馈问题整改工作，7月15日至8月15日，市委第五巡察组提级交叉巡察硫市镇贞元村和江口镇杉林村，共反馈问题19个，县委巡察办高度重视，多次召开会议研究，指导硫市镇和江口镇制定整改方案、建立问题清单、责任清单、整改清单，督导硫市镇和江口镇逐项抓好巡察整改落实。</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3、</w:t>
      </w:r>
      <w:r>
        <w:rPr>
          <w:rFonts w:hint="default" w:asciiTheme="minorEastAsia" w:hAnsiTheme="minorEastAsia" w:eastAsiaTheme="minorEastAsia" w:cstheme="minorEastAsia"/>
          <w:b/>
          <w:bCs/>
          <w:sz w:val="28"/>
          <w:szCs w:val="28"/>
          <w:lang w:val="en-US" w:eastAsia="zh-CN"/>
        </w:rPr>
        <w:t>抓有力覆盖，全面推进巡察队伍建设。</w:t>
      </w:r>
      <w:r>
        <w:rPr>
          <w:rFonts w:hint="default" w:asciiTheme="minorEastAsia" w:hAnsiTheme="minorEastAsia" w:eastAsiaTheme="minorEastAsia" w:cstheme="minorEastAsia"/>
          <w:sz w:val="28"/>
          <w:szCs w:val="28"/>
          <w:lang w:val="en-US" w:eastAsia="zh-CN"/>
        </w:rPr>
        <w:t>一是加强政治建设。坚持以政治建设为统领，加强理论武装，深入学习贯彻习近平总书记关于巡视工作重要论述、中央决策部署和省委、市委、县委工作要求，增强“四个意识”、坚定“四个自信”，捍卫“两个确立”，做到“两个维护”。二是发扬斗争精神。始终将发现问题作为巡察监督的首要职责、基本职责，坚定斗争意志，掌握斗争方法，提高斗争本领，敢于斗争、善于斗争，勇当“黑脸包公”，争做“尖兵”“战士”。三是严明纪律规矩。全面落实“两不”要求和“两个”工作负面清单要求，严守巡察权力的边界和红线；遵守党的各项纪律，把依规依纪依法要求落实到每轮巡察工作全过程；开展日常教育，引导干部始终绷紧纪律和规矩这根弦，持之以恒改进工作作风，建设一支县委信赖的“忠诚干净担当、可亲可信可敬”的巡察铁军。</w:t>
      </w:r>
    </w:p>
    <w:p>
      <w:pPr>
        <w:spacing w:line="600" w:lineRule="exact"/>
        <w:ind w:firstLine="542" w:firstLineChars="200"/>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（二）</w:t>
      </w:r>
      <w:r>
        <w:rPr>
          <w:rFonts w:hint="default" w:asciiTheme="minorEastAsia" w:hAnsiTheme="minorEastAsia" w:eastAsiaTheme="minorEastAsia" w:cstheme="minorEastAsia"/>
          <w:b/>
          <w:bCs/>
          <w:sz w:val="28"/>
          <w:szCs w:val="28"/>
          <w:lang w:val="en-US" w:eastAsia="zh-CN"/>
        </w:rPr>
        <w:t>工作特色和亮点</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1、</w:t>
      </w:r>
      <w:r>
        <w:rPr>
          <w:rFonts w:hint="default" w:asciiTheme="minorEastAsia" w:hAnsiTheme="minorEastAsia" w:eastAsiaTheme="minorEastAsia" w:cstheme="minorEastAsia"/>
          <w:b/>
          <w:bCs/>
          <w:sz w:val="28"/>
          <w:szCs w:val="28"/>
          <w:lang w:val="en-US" w:eastAsia="zh-CN"/>
        </w:rPr>
        <w:t>高位推动“带头抓”。</w:t>
      </w:r>
      <w:r>
        <w:rPr>
          <w:rFonts w:hint="default" w:asciiTheme="minorEastAsia" w:hAnsiTheme="minorEastAsia" w:eastAsiaTheme="minorEastAsia" w:cstheme="minorEastAsia"/>
          <w:sz w:val="28"/>
          <w:szCs w:val="28"/>
          <w:lang w:val="en-US" w:eastAsia="zh-CN"/>
        </w:rPr>
        <w:t>县委高度重视巡察工作，县委书记亲自谋划、亲自部署、亲自推动巡察工作，在书记专题会上听取巡察工作情况汇报时，逐一点人点事点问题，研究处理意见；将巡察工作纳入县委理论中心组学习和县委常委会重要内容；实行分管县级领导参加巡察反馈制度，以上率下，带头履责，推动巡察整改工作；巡察整改落实情况纳入全县年度目标绩效考核和党风廉政建设责任制检查考核内容。</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2、</w:t>
      </w:r>
      <w:r>
        <w:rPr>
          <w:rFonts w:hint="default" w:asciiTheme="minorEastAsia" w:hAnsiTheme="minorEastAsia" w:eastAsiaTheme="minorEastAsia" w:cstheme="minorEastAsia"/>
          <w:b/>
          <w:bCs/>
          <w:sz w:val="28"/>
          <w:szCs w:val="28"/>
          <w:lang w:val="en-US" w:eastAsia="zh-CN"/>
        </w:rPr>
        <w:t>压实责任“一起做”。</w:t>
      </w:r>
      <w:r>
        <w:rPr>
          <w:rFonts w:hint="default" w:asciiTheme="minorEastAsia" w:hAnsiTheme="minorEastAsia" w:eastAsiaTheme="minorEastAsia" w:cstheme="minorEastAsia"/>
          <w:sz w:val="28"/>
          <w:szCs w:val="28"/>
          <w:lang w:val="en-US" w:eastAsia="zh-CN"/>
        </w:rPr>
        <w:t>突出巡察“后边篇文章”。巡察整改结果由相关纪检监察组或乡镇（街道）纪（工）委，县委宣传部、县委组织部、县纪委监委相关组室和县委巡察组联合审核的销号制度。为了做细做实巡察村（社区）反馈问题整改，出台了《衡南县委巡察村（社区）整改工作办法（试行）》，实行镇村联改，明确乡镇（街道）党（工）委对所属被巡察村（社区）反馈问题履行整改主体责任，主要负责人履行巡察整改第一责任人责任，对巡察整改负总责，带头领办重点难点问题，督促提醒领导班子其他成员落实整改责任；领导班子其他成员履行“一岗双责”，推动职责范围内巡察整改任务落到实处。村（社区）党组织对巡察反馈问题履行整改直接责任，具体负责落实。</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3、</w:t>
      </w:r>
      <w:r>
        <w:rPr>
          <w:rFonts w:hint="default" w:asciiTheme="minorEastAsia" w:hAnsiTheme="minorEastAsia" w:eastAsiaTheme="minorEastAsia" w:cstheme="minorEastAsia"/>
          <w:b/>
          <w:bCs/>
          <w:sz w:val="28"/>
          <w:szCs w:val="28"/>
          <w:lang w:val="en-US" w:eastAsia="zh-CN"/>
        </w:rPr>
        <w:t>贯通融合“联动奏”。</w:t>
      </w:r>
      <w:r>
        <w:rPr>
          <w:rFonts w:hint="default" w:asciiTheme="minorEastAsia" w:hAnsiTheme="minorEastAsia" w:eastAsiaTheme="minorEastAsia" w:cstheme="minorEastAsia"/>
          <w:sz w:val="28"/>
          <w:szCs w:val="28"/>
          <w:lang w:val="en-US" w:eastAsia="zh-CN"/>
        </w:rPr>
        <w:t>充分运用《关于规范巡察与审计工作协调机制的意见》，加强巡审联动，巡前征询被巡察单位审计情况，巡后函告县审计部门对全县文物保护专项资金开展审计工作；制定《关于推进巡察监督与农村审计监督贯通融合开展重点村集体“三资”监督的工作方案》，推进巡察监督与农村审计监督贯通融合，强化集体“三资”监督，从县农村经营服务中心抽调专业人员参加巡察村（社区）工作，对部分重点村（社区）进行审计，对计划列入下轮巡察的村（社区）进行“未巡先审”，审计报告为巡察工作提供有力支撑。</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4、</w:t>
      </w:r>
      <w:r>
        <w:rPr>
          <w:rFonts w:hint="default" w:asciiTheme="minorEastAsia" w:hAnsiTheme="minorEastAsia" w:eastAsiaTheme="minorEastAsia" w:cstheme="minorEastAsia"/>
          <w:b/>
          <w:bCs/>
          <w:sz w:val="28"/>
          <w:szCs w:val="28"/>
          <w:lang w:val="en-US" w:eastAsia="zh-CN"/>
        </w:rPr>
        <w:t>专项问题“精准改”。</w:t>
      </w:r>
      <w:r>
        <w:rPr>
          <w:rFonts w:hint="default" w:asciiTheme="minorEastAsia" w:hAnsiTheme="minorEastAsia" w:eastAsiaTheme="minorEastAsia" w:cstheme="minorEastAsia"/>
          <w:sz w:val="28"/>
          <w:szCs w:val="28"/>
          <w:lang w:val="en-US" w:eastAsia="zh-CN"/>
        </w:rPr>
        <w:t>针对巡察发现的农村集体“三资”突出问题，及时向县委及县委巡察工作领导小组汇报，提出建议意见，形成专项报告，推动专项治理，整体推进问题整改长效化。</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5、</w:t>
      </w:r>
      <w:r>
        <w:rPr>
          <w:rFonts w:hint="default" w:asciiTheme="minorEastAsia" w:hAnsiTheme="minorEastAsia" w:eastAsiaTheme="minorEastAsia" w:cstheme="minorEastAsia"/>
          <w:b/>
          <w:bCs/>
          <w:sz w:val="28"/>
          <w:szCs w:val="28"/>
          <w:lang w:val="en-US" w:eastAsia="zh-CN"/>
        </w:rPr>
        <w:t>信息宣传“入民心”。</w:t>
      </w:r>
      <w:r>
        <w:rPr>
          <w:rFonts w:hint="default" w:asciiTheme="minorEastAsia" w:hAnsiTheme="minorEastAsia" w:eastAsiaTheme="minorEastAsia" w:cstheme="minorEastAsia"/>
          <w:sz w:val="28"/>
          <w:szCs w:val="28"/>
          <w:lang w:val="en-US" w:eastAsia="zh-CN"/>
        </w:rPr>
        <w:t>县委巡察机构结合巡察实践深入思考，总结提炼工作经验，积极宣传巡察工作成效。《“屋场恳谈+巡察”架起服务群众“连心桥”》在《湖南巡视》、《清风衡阳》等公众号发表，每轮巡察利用“微衡南”“村村响”等宣传媒介，让巡察信息飞入千家万户，有效提升县委巡察工作影响力。</w:t>
      </w:r>
    </w:p>
    <w:p>
      <w:pPr>
        <w:pStyle w:val="2"/>
        <w:rPr>
          <w:rFonts w:hint="default"/>
          <w:lang w:val="en-US" w:eastAsia="zh-CN"/>
        </w:rPr>
      </w:pPr>
    </w:p>
    <w:p>
      <w:pPr>
        <w:pStyle w:val="27"/>
        <w:widowControl/>
        <w:numPr>
          <w:ilvl w:val="0"/>
          <w:numId w:val="1"/>
        </w:numPr>
        <w:spacing w:line="600" w:lineRule="exact"/>
        <w:ind w:firstLineChars="0"/>
        <w:rPr>
          <w:rFonts w:hint="eastAsia" w:ascii="黑体" w:hAnsi="黑体" w:eastAsia="黑体" w:cs="Times New Roman"/>
          <w:sz w:val="32"/>
          <w:szCs w:val="32"/>
          <w:lang w:eastAsia="zh-CN"/>
        </w:rPr>
      </w:pPr>
      <w:r>
        <w:rPr>
          <w:rFonts w:hint="default" w:ascii="Times New Roman" w:hAnsi="Times New Roman" w:eastAsia="黑体" w:cs="Times New Roman"/>
          <w:sz w:val="32"/>
          <w:szCs w:val="32"/>
        </w:rPr>
        <w:t>一般公共预算支出情况</w:t>
      </w:r>
    </w:p>
    <w:p>
      <w:pPr>
        <w:pStyle w:val="27"/>
        <w:widowControl/>
        <w:numPr>
          <w:ilvl w:val="0"/>
          <w:numId w:val="2"/>
        </w:numPr>
        <w:spacing w:line="600" w:lineRule="exact"/>
        <w:ind w:firstLine="933" w:firstLineChars="300"/>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经批复的预、决算情况</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预算情况：2022年度年初部门预算收入为315.68万元，其中公共财政预算拨款315.68万元，政府性基金收入0万元，其他收入0万元，上年结转资金0万元。预算支出315.68万元，其中：基本支出228.68万元，项目支出87万元。</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2、预算调整：年终追加基本支出97.45万元；调减项目支出13.43万元。</w:t>
      </w:r>
    </w:p>
    <w:p>
      <w:pPr>
        <w:spacing w:line="600" w:lineRule="exact"/>
        <w:ind w:firstLine="542" w:firstLineChars="200"/>
        <w:rPr>
          <w:rFonts w:hint="default"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lang w:val="en-US" w:eastAsia="zh-CN"/>
        </w:rPr>
        <w:t>3、决算情况：2022年总收入315.68万元，其中：一般财政拨款收入399.7万元，政府性基金收入0万元，其他收入0万元。总支出399.7万元，其中：基本支出326.13万元，项目支出73.57万元。年底总结余0万元。</w:t>
      </w:r>
    </w:p>
    <w:p>
      <w:pPr>
        <w:pStyle w:val="27"/>
        <w:widowControl/>
        <w:numPr>
          <w:ilvl w:val="0"/>
          <w:numId w:val="2"/>
        </w:numPr>
        <w:spacing w:line="600" w:lineRule="exact"/>
        <w:ind w:firstLine="933" w:firstLineChars="300"/>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部门预算执行情况</w:t>
      </w:r>
      <w:r>
        <w:rPr>
          <w:rFonts w:hint="eastAsia" w:ascii="Times New Roman" w:hAnsi="Times New Roman" w:eastAsia="黑体" w:cs="Times New Roman"/>
          <w:sz w:val="32"/>
          <w:szCs w:val="32"/>
          <w:lang w:eastAsia="zh-CN"/>
        </w:rPr>
        <w:t>。</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基本支出为保障单位机构正常运转、完成日常工作任务而发生的各项支出，包括用于基本工资、津贴补贴等人员经费以及办公费、印刷费、水电费、工会经费等日常公用经费。</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1、基本支出</w:t>
      </w:r>
    </w:p>
    <w:p>
      <w:pPr>
        <w:pStyle w:val="12"/>
        <w:spacing w:line="600" w:lineRule="exact"/>
        <w:ind w:left="0" w:leftChars="0" w:firstLine="64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2022年财政拨款基本支出为326.13万元，具体情况为：（1）工资福利支出295.09万元：基本工资88.84万元，津贴补贴11.3万元，奖金18.26万元，绩效工资57.8元，保险缴费63.54万元，住房公积金51.26万元，医疗费0.96万元，其他工资福利 3.13万元。（2）公用经费支出29.3万元：办公费 11.34 万元，印刷费0.8万元，水电费0.57万元，邮电费0.4万元，差旅费5.4万元，维修（护）费0.97万元，培训费0.12万元，公务接待费0.28万元，劳务费4.54万元，工会经费4.09万元，其他交通费0.13万元，其他商品和服务支出0.62万元。（3）对个人和家庭的补助支出 0万元。（4）资本性支出1.74万元：办公设备购置1.74万元。</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2、项目支出</w:t>
      </w:r>
    </w:p>
    <w:p>
      <w:pPr>
        <w:spacing w:line="560" w:lineRule="exact"/>
        <w:ind w:firstLine="542" w:firstLineChars="200"/>
        <w:rPr>
          <w:rFonts w:hint="default" w:ascii="宋体" w:hAnsi="宋体" w:eastAsia="宋体" w:cs="宋体"/>
          <w:kern w:val="0"/>
          <w:sz w:val="28"/>
          <w:szCs w:val="28"/>
          <w:lang w:val="en-US" w:eastAsia="zh-CN"/>
        </w:rPr>
      </w:pPr>
      <w:r>
        <w:rPr>
          <w:rFonts w:hint="eastAsia" w:asciiTheme="minorEastAsia" w:hAnsiTheme="minorEastAsia" w:eastAsiaTheme="minorEastAsia" w:cstheme="minorEastAsia"/>
          <w:sz w:val="28"/>
          <w:szCs w:val="28"/>
          <w:lang w:val="en-US" w:eastAsia="zh-CN"/>
        </w:rPr>
        <w:t>2022年决算项目支出73.57万元，具体情况为：</w:t>
      </w:r>
      <w:r>
        <w:rPr>
          <w:rFonts w:hint="eastAsia" w:ascii="宋体" w:hAnsi="宋体" w:cs="宋体"/>
          <w:kern w:val="0"/>
          <w:sz w:val="28"/>
          <w:szCs w:val="28"/>
          <w:lang w:val="en-US" w:eastAsia="zh-CN"/>
        </w:rPr>
        <w:t>交叉巡查支出52.39万元，专项巡查</w:t>
      </w:r>
      <w:r>
        <w:rPr>
          <w:rFonts w:hint="eastAsia" w:ascii="宋体" w:hAnsi="宋体" w:eastAsia="宋体" w:cs="宋体"/>
          <w:kern w:val="0"/>
          <w:sz w:val="28"/>
          <w:szCs w:val="28"/>
          <w:lang w:val="en-US" w:eastAsia="zh-CN"/>
        </w:rPr>
        <w:t>支出</w:t>
      </w:r>
      <w:r>
        <w:rPr>
          <w:rFonts w:hint="eastAsia" w:ascii="宋体" w:hAnsi="宋体" w:cs="宋体"/>
          <w:kern w:val="0"/>
          <w:sz w:val="28"/>
          <w:szCs w:val="28"/>
          <w:lang w:val="en-US" w:eastAsia="zh-CN"/>
        </w:rPr>
        <w:t>13.09</w:t>
      </w:r>
      <w:r>
        <w:rPr>
          <w:rFonts w:hint="eastAsia" w:ascii="宋体" w:hAnsi="宋体" w:eastAsia="宋体" w:cs="宋体"/>
          <w:kern w:val="0"/>
          <w:sz w:val="28"/>
          <w:szCs w:val="28"/>
          <w:lang w:val="en-US" w:eastAsia="zh-CN"/>
        </w:rPr>
        <w:t>万元，</w:t>
      </w:r>
      <w:r>
        <w:rPr>
          <w:rFonts w:hint="eastAsia" w:ascii="宋体" w:hAnsi="宋体" w:cs="宋体"/>
          <w:kern w:val="0"/>
          <w:sz w:val="28"/>
          <w:szCs w:val="28"/>
          <w:lang w:val="en-US" w:eastAsia="zh-CN"/>
        </w:rPr>
        <w:t>常规巡查支出8.1万元</w:t>
      </w:r>
      <w:r>
        <w:rPr>
          <w:rFonts w:hint="eastAsia" w:ascii="宋体" w:hAnsi="宋体" w:eastAsia="宋体" w:cs="宋体"/>
          <w:kern w:val="0"/>
          <w:sz w:val="28"/>
          <w:szCs w:val="28"/>
          <w:lang w:val="en-US" w:eastAsia="zh-CN"/>
        </w:rPr>
        <w:t>。</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其中：（1）交叉巡查支出52.39万元：办公费3.6万元，差旅费32.32万元，培训费1.27万元，公务接待费1.19万元，其他交通费4.86万元，其他商品服务支出10.21万元.</w:t>
      </w:r>
    </w:p>
    <w:p>
      <w:pPr>
        <w:spacing w:line="600" w:lineRule="exact"/>
        <w:ind w:firstLine="622" w:firstLineChars="200"/>
        <w:rPr>
          <w:rFonts w:hint="eastAsia" w:asciiTheme="minorEastAsia" w:hAnsiTheme="minorEastAsia" w:eastAsiaTheme="minorEastAsia" w:cstheme="minorEastAsia"/>
          <w:sz w:val="28"/>
          <w:szCs w:val="28"/>
          <w:lang w:val="en-US" w:eastAsia="zh-CN"/>
        </w:rPr>
      </w:pPr>
      <w:r>
        <w:rPr>
          <w:rFonts w:hint="eastAsia" w:eastAsia="黑体" w:cs="Times New Roman"/>
          <w:kern w:val="2"/>
          <w:sz w:val="32"/>
          <w:szCs w:val="32"/>
          <w:lang w:val="en-US" w:eastAsia="zh-CN" w:bidi="ar-SA"/>
        </w:rPr>
        <w:t>（三）“</w:t>
      </w:r>
      <w:r>
        <w:rPr>
          <w:rFonts w:hint="default" w:ascii="Times New Roman" w:hAnsi="Times New Roman" w:eastAsia="黑体" w:cs="Times New Roman"/>
          <w:kern w:val="2"/>
          <w:sz w:val="32"/>
          <w:szCs w:val="32"/>
          <w:lang w:val="en-US" w:eastAsia="zh-CN" w:bidi="ar-SA"/>
        </w:rPr>
        <w:t>三公</w:t>
      </w:r>
      <w:r>
        <w:rPr>
          <w:rFonts w:hint="eastAsia" w:eastAsia="黑体" w:cs="Times New Roman"/>
          <w:kern w:val="2"/>
          <w:sz w:val="32"/>
          <w:szCs w:val="32"/>
          <w:lang w:val="en-US" w:eastAsia="zh-CN" w:bidi="ar-SA"/>
        </w:rPr>
        <w:t>”</w:t>
      </w:r>
      <w:r>
        <w:rPr>
          <w:rFonts w:hint="default" w:ascii="Times New Roman" w:hAnsi="Times New Roman" w:eastAsia="黑体" w:cs="Times New Roman"/>
          <w:kern w:val="2"/>
          <w:sz w:val="32"/>
          <w:szCs w:val="32"/>
          <w:lang w:val="en-US" w:eastAsia="zh-CN" w:bidi="ar-SA"/>
        </w:rPr>
        <w:t>经费使用和管理情况</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2022年初批复预算的“三公”经费为0.6万元，其中公务接待0.6万元，因公出国费用0万元，公务用车0万元。</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全年决算支出“三公”经费0.4万元，其中公务接待0.4万元，因公出国费用0万元，公务用车0万元。</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2022年严格执行上级有关文件精神控制“三公经费”支出三公经费比2021年增加0.4万元，上升20%。主要为2021年无三公经费支出，2022年上级部门单位检查工作，增加公务接待费用。</w:t>
      </w:r>
    </w:p>
    <w:p>
      <w:pPr>
        <w:spacing w:line="600" w:lineRule="exact"/>
        <w:ind w:firstLine="622" w:firstLineChars="200"/>
        <w:rPr>
          <w:rFonts w:hint="default"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（四）</w:t>
      </w:r>
      <w:r>
        <w:rPr>
          <w:rFonts w:hint="default" w:ascii="Times New Roman" w:hAnsi="Times New Roman" w:eastAsia="黑体" w:cs="Times New Roman"/>
          <w:kern w:val="2"/>
          <w:sz w:val="32"/>
          <w:szCs w:val="32"/>
          <w:lang w:val="en-US" w:eastAsia="zh-CN" w:bidi="ar-SA"/>
        </w:rPr>
        <w:t>资金结转和结余情况</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2022</w:t>
      </w:r>
      <w:r>
        <w:rPr>
          <w:rFonts w:hint="eastAsia" w:asciiTheme="minorEastAsia" w:hAnsiTheme="minorEastAsia" w:eastAsiaTheme="minorEastAsia" w:cstheme="minorEastAsia"/>
          <w:sz w:val="28"/>
          <w:szCs w:val="28"/>
          <w:lang w:val="en-US"/>
        </w:rPr>
        <w:t>年，本单位年末结转和结余资金</w:t>
      </w:r>
      <w:r>
        <w:rPr>
          <w:rFonts w:hint="eastAsia" w:asciiTheme="minorEastAsia" w:hAnsiTheme="minorEastAsia" w:eastAsiaTheme="minorEastAsia" w:cstheme="minorEastAsia"/>
          <w:sz w:val="28"/>
          <w:szCs w:val="28"/>
          <w:lang w:val="en-US" w:eastAsia="zh-CN"/>
        </w:rPr>
        <w:t>0万</w:t>
      </w:r>
      <w:r>
        <w:rPr>
          <w:rFonts w:hint="eastAsia" w:asciiTheme="minorEastAsia" w:hAnsiTheme="minorEastAsia" w:eastAsiaTheme="minorEastAsia" w:cstheme="minorEastAsia"/>
          <w:sz w:val="28"/>
          <w:szCs w:val="28"/>
          <w:lang w:val="en-US"/>
        </w:rPr>
        <w:t>元</w:t>
      </w:r>
      <w:r>
        <w:rPr>
          <w:rFonts w:hint="eastAsia" w:asciiTheme="minorEastAsia" w:hAnsiTheme="minorEastAsia" w:eastAsiaTheme="minorEastAsia" w:cstheme="minorEastAsia"/>
          <w:sz w:val="28"/>
          <w:szCs w:val="28"/>
          <w:lang w:val="en-US" w:eastAsia="zh-CN"/>
        </w:rPr>
        <w:t>。</w:t>
      </w:r>
    </w:p>
    <w:p>
      <w:pPr>
        <w:numPr>
          <w:ilvl w:val="0"/>
          <w:numId w:val="3"/>
        </w:numPr>
        <w:spacing w:line="600" w:lineRule="exact"/>
        <w:ind w:firstLine="622" w:firstLineChars="20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部门整体支出管理与制度建设情况</w:t>
      </w:r>
    </w:p>
    <w:p>
      <w:pPr>
        <w:pStyle w:val="8"/>
        <w:widowControl w:val="0"/>
        <w:numPr>
          <w:ilvl w:val="0"/>
          <w:numId w:val="0"/>
        </w:numPr>
        <w:snapToGrid w:val="0"/>
        <w:jc w:val="left"/>
        <w:rPr>
          <w:rFonts w:hint="eastAsia"/>
          <w:lang w:val="en-US" w:eastAsia="zh-CN"/>
        </w:rPr>
      </w:pPr>
    </w:p>
    <w:p>
      <w:pPr>
        <w:keepNext w:val="0"/>
        <w:keepLines w:val="0"/>
        <w:pageBreakBefore w:val="0"/>
        <w:widowControl w:val="0"/>
        <w:kinsoku/>
        <w:wordWrap/>
        <w:overflowPunct/>
        <w:topLinePunct w:val="0"/>
        <w:autoSpaceDE/>
        <w:bidi w:val="0"/>
        <w:adjustRightInd/>
        <w:snapToGrid/>
        <w:spacing w:line="600" w:lineRule="exact"/>
        <w:ind w:left="0" w:leftChars="0" w:firstLine="542" w:firstLineChars="200"/>
        <w:textAlignment w:val="auto"/>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en-US" w:eastAsia="zh-CN"/>
        </w:rPr>
        <w:t>我办高度重视部门预算管理制度建设，按照《中华人民共和国会计法》、《中华人民共和国预算法》、《党政机关厉行节约反对浪费条例》等编制部门预算管理制度。根据上年度收支情况编制本年度部门预算。重点是</w:t>
      </w:r>
      <w:r>
        <w:rPr>
          <w:rFonts w:hint="default" w:asciiTheme="minorEastAsia" w:hAnsiTheme="minorEastAsia" w:eastAsiaTheme="minorEastAsia" w:cstheme="minorEastAsia"/>
          <w:sz w:val="28"/>
          <w:szCs w:val="28"/>
          <w:lang w:val="en-US" w:eastAsia="zh-CN"/>
        </w:rPr>
        <w:t>1、人员编制情况，根据实际人员数量进行人员增减编制；2、人员经费，按照人事部门核对的人数和人员经费标准直接计算编制；3、半供养人员（包含</w:t>
      </w:r>
      <w:r>
        <w:rPr>
          <w:rFonts w:hint="eastAsia" w:asciiTheme="minorEastAsia" w:hAnsiTheme="minorEastAsia" w:eastAsiaTheme="minorEastAsia" w:cstheme="minorEastAsia"/>
          <w:sz w:val="28"/>
          <w:szCs w:val="28"/>
          <w:lang w:val="en-US" w:eastAsia="zh-CN"/>
        </w:rPr>
        <w:t>财政补助</w:t>
      </w:r>
      <w:r>
        <w:rPr>
          <w:rFonts w:hint="default" w:asciiTheme="minorEastAsia" w:hAnsiTheme="minorEastAsia" w:eastAsiaTheme="minorEastAsia" w:cstheme="minorEastAsia"/>
          <w:sz w:val="28"/>
          <w:szCs w:val="28"/>
          <w:lang w:val="en-US" w:eastAsia="zh-CN"/>
        </w:rPr>
        <w:t>等）补助；4、项目预算绩效编制；5、强化厉行节约，加强内部控制，合理控制机关运行成本</w:t>
      </w:r>
      <w:r>
        <w:rPr>
          <w:rFonts w:hint="eastAsia" w:asciiTheme="minorEastAsia" w:hAnsiTheme="minorEastAsia" w:eastAsiaTheme="minorEastAsia" w:cstheme="minorEastAsia"/>
          <w:sz w:val="28"/>
          <w:szCs w:val="28"/>
          <w:lang w:val="en-US" w:eastAsia="zh-CN"/>
        </w:rPr>
        <w:t>。严格按照“八项规定”和《党风廉政建设责任制》要求，制定了财务管理制度、公务用车管理制度、公务接待制度，落实了专职报账人员，确保财务管理制度化、规范化。认真落实固定资产管理办法，对固定资产的保管、使用、账实进行专人管理，确保固定资产安全和完整，并严格按照有关规定执行政府采购。</w:t>
      </w:r>
    </w:p>
    <w:p>
      <w:pPr>
        <w:pStyle w:val="27"/>
        <w:widowControl/>
        <w:numPr>
          <w:ilvl w:val="0"/>
          <w:numId w:val="1"/>
        </w:numPr>
        <w:spacing w:line="600" w:lineRule="exact"/>
        <w:ind w:firstLineChars="0"/>
        <w:rPr>
          <w:rFonts w:hint="default" w:ascii="Times New Roman" w:hAnsi="Times New Roman" w:eastAsia="黑体" w:cs="Times New Roman"/>
          <w:sz w:val="32"/>
          <w:szCs w:val="32"/>
        </w:rPr>
      </w:pPr>
      <w:r>
        <w:rPr>
          <w:rFonts w:hint="eastAsia" w:ascii="Times New Roman" w:hAnsi="Times New Roman" w:eastAsia="黑体" w:cs="Times New Roman"/>
          <w:sz w:val="32"/>
          <w:szCs w:val="32"/>
        </w:rPr>
        <w:t>政府性基金预算支出情况</w:t>
      </w:r>
    </w:p>
    <w:p>
      <w:pPr>
        <w:spacing w:line="600" w:lineRule="exact"/>
        <w:ind w:firstLine="1084" w:firstLineChars="400"/>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无</w:t>
      </w:r>
    </w:p>
    <w:p>
      <w:pPr>
        <w:pStyle w:val="27"/>
        <w:widowControl/>
        <w:numPr>
          <w:ilvl w:val="0"/>
          <w:numId w:val="1"/>
        </w:numPr>
        <w:spacing w:line="600" w:lineRule="exact"/>
        <w:ind w:firstLineChars="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国有资本经营预算支出情况</w:t>
      </w:r>
    </w:p>
    <w:p>
      <w:pPr>
        <w:spacing w:line="600" w:lineRule="exact"/>
        <w:ind w:firstLine="1084" w:firstLineChars="400"/>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无</w:t>
      </w:r>
    </w:p>
    <w:p>
      <w:pPr>
        <w:pStyle w:val="27"/>
        <w:widowControl/>
        <w:spacing w:line="600" w:lineRule="exact"/>
        <w:ind w:firstLine="622" w:firstLineChars="200"/>
        <w:jc w:val="left"/>
        <w:rPr>
          <w:rFonts w:eastAsia="黑体"/>
          <w:sz w:val="32"/>
          <w:szCs w:val="32"/>
        </w:rPr>
      </w:pPr>
      <w:r>
        <w:rPr>
          <w:rFonts w:hint="eastAsia" w:eastAsia="黑体"/>
          <w:sz w:val="32"/>
          <w:szCs w:val="32"/>
        </w:rPr>
        <w:t>五、</w:t>
      </w:r>
      <w:r>
        <w:rPr>
          <w:rFonts w:hint="eastAsia" w:ascii="Times New Roman" w:hAnsi="Times New Roman" w:eastAsia="黑体" w:cs="Times New Roman"/>
          <w:sz w:val="32"/>
          <w:szCs w:val="32"/>
        </w:rPr>
        <w:t>社会保险基金预算支出情况</w:t>
      </w:r>
    </w:p>
    <w:p>
      <w:pPr>
        <w:pStyle w:val="27"/>
        <w:widowControl/>
        <w:spacing w:line="600" w:lineRule="exact"/>
        <w:ind w:firstLine="0" w:firstLineChars="0"/>
        <w:jc w:val="lef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Theme="minorEastAsia" w:hAnsiTheme="minorEastAsia" w:eastAsiaTheme="minorEastAsia" w:cstheme="minorEastAsia"/>
          <w:kern w:val="2"/>
          <w:sz w:val="28"/>
          <w:szCs w:val="28"/>
          <w:lang w:val="en-US" w:eastAsia="zh-CN" w:bidi="ar-SA"/>
        </w:rPr>
        <w:t>无</w:t>
      </w:r>
    </w:p>
    <w:p>
      <w:pPr>
        <w:spacing w:line="360" w:lineRule="auto"/>
        <w:ind w:firstLine="622" w:firstLineChars="200"/>
        <w:rPr>
          <w:rFonts w:hint="eastAsia" w:ascii="黑体" w:eastAsia="黑体"/>
          <w:sz w:val="32"/>
          <w:szCs w:val="32"/>
        </w:rPr>
      </w:pPr>
      <w:r>
        <w:rPr>
          <w:rFonts w:hint="eastAsia" w:ascii="黑体" w:eastAsia="黑体"/>
          <w:sz w:val="32"/>
          <w:szCs w:val="32"/>
        </w:rPr>
        <w:t>六</w:t>
      </w:r>
      <w:r>
        <w:rPr>
          <w:rFonts w:ascii="黑体" w:eastAsia="黑体"/>
          <w:sz w:val="32"/>
          <w:szCs w:val="32"/>
        </w:rPr>
        <w:t>、</w:t>
      </w:r>
      <w:r>
        <w:rPr>
          <w:rFonts w:hint="eastAsia" w:ascii="Times New Roman" w:hAnsi="Times New Roman" w:eastAsia="黑体" w:cs="Times New Roman"/>
          <w:kern w:val="2"/>
          <w:sz w:val="32"/>
          <w:szCs w:val="32"/>
          <w:lang w:val="en-US" w:eastAsia="zh-CN" w:bidi="ar-SA"/>
        </w:rPr>
        <w:t>部门整体支出绩效评价情况</w:t>
      </w:r>
    </w:p>
    <w:p>
      <w:pPr>
        <w:snapToGrid w:val="0"/>
        <w:spacing w:line="520" w:lineRule="exact"/>
        <w:ind w:firstLine="622" w:firstLineChars="200"/>
        <w:rPr>
          <w:rFonts w:hint="eastAsia" w:ascii="仿宋_GB2312" w:hAnsi="Times New Roman" w:eastAsia="仿宋_GB2312"/>
          <w:b/>
          <w:bCs/>
          <w:sz w:val="32"/>
          <w:szCs w:val="32"/>
        </w:rPr>
      </w:pPr>
      <w:r>
        <w:rPr>
          <w:rFonts w:hint="eastAsia" w:ascii="仿宋_GB2312" w:hAnsi="Times New Roman" w:eastAsia="仿宋_GB2312"/>
          <w:b/>
          <w:bCs/>
          <w:sz w:val="32"/>
          <w:szCs w:val="32"/>
          <w:lang w:eastAsia="zh-CN"/>
        </w:rPr>
        <w:t>（一）</w:t>
      </w:r>
      <w:r>
        <w:rPr>
          <w:rFonts w:hint="eastAsia" w:ascii="仿宋_GB2312" w:hAnsi="Times New Roman" w:eastAsia="仿宋_GB2312"/>
          <w:b/>
          <w:bCs/>
          <w:sz w:val="32"/>
          <w:szCs w:val="32"/>
        </w:rPr>
        <w:t>综合评价结论。</w:t>
      </w:r>
    </w:p>
    <w:p>
      <w:pPr>
        <w:spacing w:line="600" w:lineRule="exact"/>
        <w:ind w:firstLine="813" w:firstLineChars="3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2022年，我办积极履职，强化管理，较好的完成了年度工作目标。通过加强预算收支管理，不断建立健全内部管理制度，梳理内部管理流程，整体支出管理水平得到提升</w:t>
      </w:r>
    </w:p>
    <w:p>
      <w:pPr>
        <w:spacing w:line="600" w:lineRule="exact"/>
        <w:ind w:firstLine="813" w:firstLineChars="3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rPr>
        <w:t>2022年部门整体支出绩效评价自查自评结果为优秀。</w:t>
      </w:r>
    </w:p>
    <w:p>
      <w:pPr>
        <w:widowControl/>
        <w:spacing w:line="600" w:lineRule="exact"/>
        <w:ind w:firstLine="645"/>
        <w:jc w:val="left"/>
        <w:rPr>
          <w:rFonts w:hint="eastAsia" w:ascii="Times New Roman" w:hAnsi="Times New Roman" w:eastAsia="仿宋_GB2312"/>
          <w:b/>
          <w:bCs/>
          <w:sz w:val="32"/>
          <w:szCs w:val="32"/>
        </w:rPr>
      </w:pPr>
      <w:r>
        <w:rPr>
          <w:rFonts w:hint="eastAsia" w:ascii="Times New Roman" w:hAnsi="Times New Roman" w:eastAsia="仿宋_GB2312"/>
          <w:b/>
          <w:bCs/>
          <w:sz w:val="32"/>
          <w:szCs w:val="32"/>
          <w:lang w:eastAsia="zh-CN"/>
        </w:rPr>
        <w:t>（二）</w:t>
      </w:r>
      <w:r>
        <w:rPr>
          <w:rFonts w:hint="eastAsia" w:ascii="Times New Roman" w:hAnsi="Times New Roman" w:eastAsia="仿宋_GB2312"/>
          <w:b/>
          <w:bCs/>
          <w:sz w:val="32"/>
          <w:szCs w:val="32"/>
        </w:rPr>
        <w:t>综合评价情况</w:t>
      </w:r>
    </w:p>
    <w:p>
      <w:pPr>
        <w:spacing w:line="600" w:lineRule="exact"/>
        <w:ind w:firstLine="542" w:firstLineChars="200"/>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1.目标设定：①绩效目标合理：目标符合发展总体规划；目标符合部门三定方案确定的职责；目标符合部门制定的中长期实施规划；②绩效指标明确性：目标细化、指标值量化；目标与年度任务或计划数相对应；目标与年度部门预算资金相匹配。</w:t>
      </w:r>
    </w:p>
    <w:p>
      <w:pPr>
        <w:spacing w:line="600" w:lineRule="exact"/>
        <w:ind w:firstLine="542" w:firstLineChars="200"/>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2.预算配置：①财政供养人员控制为</w:t>
      </w:r>
      <w:r>
        <w:rPr>
          <w:rFonts w:hint="eastAsia" w:asciiTheme="minorEastAsia" w:hAnsiTheme="minorEastAsia" w:eastAsiaTheme="minorEastAsia" w:cstheme="minorEastAsia"/>
          <w:sz w:val="28"/>
          <w:szCs w:val="28"/>
          <w:lang w:val="en-US" w:eastAsia="zh-CN"/>
        </w:rPr>
        <w:t>100</w:t>
      </w:r>
      <w:r>
        <w:rPr>
          <w:rFonts w:hint="eastAsia" w:asciiTheme="minorEastAsia" w:hAnsiTheme="minorEastAsia" w:eastAsiaTheme="minorEastAsia" w:cstheme="minorEastAsia"/>
          <w:sz w:val="28"/>
          <w:szCs w:val="28"/>
          <w:lang w:val="en-US"/>
        </w:rPr>
        <w:t>%。②“三公经费”支出总额</w:t>
      </w:r>
      <w:r>
        <w:rPr>
          <w:rFonts w:hint="eastAsia" w:asciiTheme="minorEastAsia" w:hAnsiTheme="minorEastAsia" w:eastAsiaTheme="minorEastAsia" w:cstheme="minorEastAsia"/>
          <w:sz w:val="28"/>
          <w:szCs w:val="28"/>
          <w:lang w:val="en-US" w:eastAsia="zh-CN"/>
        </w:rPr>
        <w:t>较上年增加0.4万元，上升20%</w:t>
      </w:r>
      <w:r>
        <w:rPr>
          <w:rFonts w:hint="eastAsia" w:asciiTheme="minorEastAsia" w:hAnsiTheme="minorEastAsia" w:eastAsiaTheme="minorEastAsia" w:cstheme="minorEastAsia"/>
          <w:sz w:val="28"/>
          <w:szCs w:val="28"/>
          <w:lang w:val="en-US"/>
        </w:rPr>
        <w:t>。</w:t>
      </w:r>
    </w:p>
    <w:p>
      <w:pPr>
        <w:spacing w:line="600" w:lineRule="exact"/>
        <w:ind w:firstLine="542" w:firstLineChars="200"/>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3.预算执行:（1）</w:t>
      </w:r>
      <w:r>
        <w:rPr>
          <w:rFonts w:hint="eastAsia" w:asciiTheme="minorEastAsia" w:hAnsiTheme="minorEastAsia" w:eastAsiaTheme="minorEastAsia" w:cstheme="minorEastAsia"/>
          <w:sz w:val="28"/>
          <w:szCs w:val="28"/>
          <w:lang w:val="en-US" w:eastAsia="zh-CN"/>
        </w:rPr>
        <w:t>2022年</w:t>
      </w:r>
      <w:r>
        <w:rPr>
          <w:rFonts w:hint="eastAsia" w:asciiTheme="minorEastAsia" w:hAnsiTheme="minorEastAsia" w:eastAsiaTheme="minorEastAsia" w:cstheme="minorEastAsia"/>
          <w:sz w:val="28"/>
          <w:szCs w:val="28"/>
          <w:lang w:val="en-US"/>
        </w:rPr>
        <w:t>预算调整额达</w:t>
      </w:r>
      <w:r>
        <w:rPr>
          <w:rFonts w:hint="eastAsia" w:asciiTheme="minorEastAsia" w:hAnsiTheme="minorEastAsia" w:eastAsiaTheme="minorEastAsia" w:cstheme="minorEastAsia"/>
          <w:sz w:val="28"/>
          <w:szCs w:val="28"/>
          <w:lang w:val="en-US" w:eastAsia="zh-CN"/>
        </w:rPr>
        <w:t>26.6</w:t>
      </w:r>
      <w:r>
        <w:rPr>
          <w:rFonts w:hint="eastAsia" w:asciiTheme="minorEastAsia" w:hAnsiTheme="minorEastAsia" w:eastAsiaTheme="minorEastAsia" w:cstheme="minorEastAsia"/>
          <w:sz w:val="28"/>
          <w:szCs w:val="28"/>
          <w:lang w:val="en-US"/>
        </w:rPr>
        <w:t>%。（2）支出进度：按进度要求完成资金下拨.（3）结转结余：本单位年末结转和结余资金</w:t>
      </w:r>
      <w:r>
        <w:rPr>
          <w:rFonts w:hint="eastAsia" w:asciiTheme="minorEastAsia" w:hAnsiTheme="minorEastAsia" w:eastAsiaTheme="minorEastAsia" w:cstheme="minorEastAsia"/>
          <w:sz w:val="28"/>
          <w:szCs w:val="28"/>
          <w:lang w:val="en-US" w:eastAsia="zh-CN"/>
        </w:rPr>
        <w:t>0万元</w:t>
      </w:r>
      <w:r>
        <w:rPr>
          <w:rFonts w:hint="eastAsia" w:asciiTheme="minorEastAsia" w:hAnsiTheme="minorEastAsia" w:eastAsiaTheme="minorEastAsia" w:cstheme="minorEastAsia"/>
          <w:sz w:val="28"/>
          <w:szCs w:val="28"/>
          <w:lang w:val="en-US"/>
        </w:rPr>
        <w:t>.（4）公务卡刷卡率：公务卡刷卡率达98%.（</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lang w:val="en-US"/>
        </w:rPr>
        <w:t>）政府采购执行率：政府采购执行率100%。</w:t>
      </w:r>
    </w:p>
    <w:p>
      <w:pPr>
        <w:spacing w:line="600" w:lineRule="exact"/>
        <w:ind w:firstLine="542" w:firstLineChars="200"/>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 xml:space="preserve">4.预算管理:⑴管理制度健全性：制定了预算资金管理办法，内部财务管理制度、会计核算制度等管理制度；相关管理制度合法、合规、完整；相关管理制度得到有效执行。⑵资金使用合规性：支出符合国家财经法规和财务管理制度规定以及有关专项资金管理办法的规定；没有出现截留、挤占、挪用、虚列支出，大额现金支付、违规借出(占用)、乱发滥补、虚报冒领，转嫁支出、乱开户乱存放、私设小金库等违规行为；资金拨付有完整的审批程序和手续；项目支出按规定经过评估论证；支出符合部门预算批复的用途。 </w:t>
      </w:r>
    </w:p>
    <w:p>
      <w:pPr>
        <w:spacing w:line="600" w:lineRule="exact"/>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⑶预决算和基础信息公开性：预决算信息公开内容合规； 基础数据信息和会计信息资料真实、完整、准确。</w:t>
      </w:r>
    </w:p>
    <w:p>
      <w:pPr>
        <w:spacing w:line="600" w:lineRule="exact"/>
        <w:ind w:firstLine="542" w:firstLineChars="200"/>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5.资产管理</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val="en-US"/>
        </w:rPr>
        <w:t>管理制度健全性：已制定或具有资产管理制度；相关资产管理制度合法合规完整；相关资产管理制度得到有效执行。⑵资产管理安全性：资产保存完整；资产配置合理；资产处置规范；资产账务管理合规，帐实相符；资产有偿使用及处置收入及时足额上缴。⑶固定资产利用率：固定资产利用率为100%。</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54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rPr>
        <w:t>6.产出及效果:</w:t>
      </w:r>
      <w:r>
        <w:rPr>
          <w:rFonts w:hint="eastAsia" w:asciiTheme="minorEastAsia" w:hAnsiTheme="minorEastAsia" w:eastAsiaTheme="minorEastAsia" w:cstheme="minorEastAsia"/>
          <w:sz w:val="28"/>
          <w:szCs w:val="28"/>
          <w:lang w:val="en-US" w:eastAsia="zh-CN"/>
        </w:rPr>
        <w:t>我办较好地完成了2022年初设定的工作任务，各项专项工作得到有序开展，资金拨付报账到位率为95%。</w:t>
      </w:r>
    </w:p>
    <w:p>
      <w:pPr>
        <w:spacing w:line="360" w:lineRule="auto"/>
        <w:ind w:firstLine="622" w:firstLineChars="20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七、存在的问题</w:t>
      </w:r>
      <w:r>
        <w:rPr>
          <w:rFonts w:hint="eastAsia" w:eastAsia="黑体" w:cs="Times New Roman"/>
          <w:kern w:val="2"/>
          <w:sz w:val="32"/>
          <w:szCs w:val="32"/>
          <w:lang w:val="en-US" w:eastAsia="zh-CN" w:bidi="ar-SA"/>
        </w:rPr>
        <w:t>及原因分析</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1、账务处理有待进一步规范，健全财务制度。</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2、预算编制的合理性有待提高。预算编制时的前瞻性不够。预算编制的质量不高，实际资金支出过程中因实际情况发生变化与预算支出经济科目数有时存在偏差，预算编制精准化还有待进一步提高。</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3、资金使用效益有待进一步提高，绩效目标设立不够明确、细化和量化。</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4、固定资产有不少已经损坏、无法使用，暂未做资产处置。</w:t>
      </w:r>
    </w:p>
    <w:p>
      <w:pPr>
        <w:widowControl/>
        <w:spacing w:line="600" w:lineRule="exact"/>
        <w:ind w:firstLine="622"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八、下一步改进措施</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1、抓好财务预算管理，严格执行财务管理制度，充分发挥监督作用。</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2、严格财务支出审批。抓好审核和审批两个环节，在审核审批中严把支出关，切实维护财务纪律的严肃性。</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3、强化经费管理。重点加强招待费和公务用车的管理，严格控制支出，降低经费支出。</w:t>
      </w:r>
    </w:p>
    <w:p>
      <w:pPr>
        <w:widowControl/>
        <w:spacing w:line="600" w:lineRule="exact"/>
        <w:ind w:firstLine="622" w:firstLineChars="200"/>
        <w:jc w:val="lef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九、其他需要说明的情况</w:t>
      </w:r>
    </w:p>
    <w:p>
      <w:pPr>
        <w:spacing w:line="600" w:lineRule="exact"/>
        <w:ind w:firstLine="622" w:firstLineChars="200"/>
        <w:rPr>
          <w:rFonts w:hint="eastAsia" w:asciiTheme="minorEastAsia" w:hAnsiTheme="minorEastAsia" w:eastAsiaTheme="minorEastAsia" w:cstheme="minorEastAsia"/>
          <w:sz w:val="28"/>
          <w:szCs w:val="28"/>
          <w:lang w:val="en-US" w:eastAsia="zh-CN"/>
        </w:rPr>
      </w:pPr>
      <w:r>
        <w:rPr>
          <w:rFonts w:hint="eastAsia" w:ascii="Times New Roman" w:hAnsi="Times New Roman" w:eastAsia="黑体"/>
          <w:sz w:val="32"/>
          <w:szCs w:val="32"/>
        </w:rPr>
        <w:t xml:space="preserve">   </w:t>
      </w:r>
      <w:r>
        <w:rPr>
          <w:rFonts w:hint="eastAsia" w:asciiTheme="minorEastAsia" w:hAnsiTheme="minorEastAsia" w:eastAsiaTheme="minorEastAsia" w:cstheme="minorEastAsia"/>
          <w:sz w:val="28"/>
          <w:szCs w:val="28"/>
          <w:lang w:val="en-US" w:eastAsia="zh-CN"/>
        </w:rPr>
        <w:t>无</w:t>
      </w:r>
    </w:p>
    <w:p>
      <w:pPr>
        <w:pStyle w:val="8"/>
        <w:rPr>
          <w:rFonts w:hint="eastAsia" w:asciiTheme="minorEastAsia" w:hAnsiTheme="minorEastAsia" w:eastAsiaTheme="minorEastAsia" w:cstheme="minorEastAsia"/>
          <w:sz w:val="28"/>
          <w:szCs w:val="28"/>
          <w:lang w:val="en-US" w:eastAsia="zh-CN"/>
        </w:rPr>
      </w:pPr>
    </w:p>
    <w:p>
      <w:pPr>
        <w:pStyle w:val="8"/>
        <w:rPr>
          <w:rFonts w:hint="eastAsia" w:asciiTheme="minorEastAsia" w:hAnsiTheme="minorEastAsia" w:eastAsiaTheme="minorEastAsia" w:cstheme="minorEastAsia"/>
          <w:sz w:val="28"/>
          <w:szCs w:val="28"/>
          <w:lang w:val="en-US" w:eastAsia="zh-CN"/>
        </w:rPr>
      </w:pPr>
    </w:p>
    <w:p>
      <w:pPr>
        <w:pStyle w:val="8"/>
        <w:rPr>
          <w:rFonts w:hint="eastAsia" w:asciiTheme="minorEastAsia" w:hAnsiTheme="minorEastAsia" w:eastAsiaTheme="minorEastAsia" w:cstheme="minorEastAsia"/>
          <w:sz w:val="28"/>
          <w:szCs w:val="28"/>
          <w:lang w:val="en-US" w:eastAsia="zh-CN"/>
        </w:rPr>
      </w:pPr>
    </w:p>
    <w:p>
      <w:pPr>
        <w:pStyle w:val="8"/>
        <w:rPr>
          <w:rFonts w:hint="eastAsia" w:asciiTheme="minorEastAsia" w:hAnsiTheme="minorEastAsia" w:eastAsiaTheme="minorEastAsia" w:cstheme="minorEastAsia"/>
          <w:sz w:val="28"/>
          <w:szCs w:val="28"/>
          <w:lang w:val="en-US" w:eastAsia="zh-CN"/>
        </w:rPr>
      </w:pPr>
    </w:p>
    <w:p>
      <w:pPr>
        <w:pStyle w:val="8"/>
        <w:rPr>
          <w:rFonts w:hint="eastAsia" w:asciiTheme="minorEastAsia" w:hAnsiTheme="minorEastAsia" w:eastAsiaTheme="minorEastAsia" w:cstheme="minorEastAsia"/>
          <w:sz w:val="28"/>
          <w:szCs w:val="28"/>
          <w:lang w:val="en-US" w:eastAsia="zh-CN"/>
        </w:rPr>
      </w:pPr>
    </w:p>
    <w:p>
      <w:pPr>
        <w:pStyle w:val="8"/>
        <w:rPr>
          <w:rFonts w:hint="eastAsia" w:asciiTheme="minorEastAsia" w:hAnsiTheme="minorEastAsia" w:eastAsiaTheme="minorEastAsia" w:cstheme="minorEastAsia"/>
          <w:sz w:val="28"/>
          <w:szCs w:val="28"/>
          <w:lang w:val="en-US" w:eastAsia="zh-CN"/>
        </w:rPr>
      </w:pPr>
    </w:p>
    <w:p>
      <w:pPr>
        <w:pStyle w:val="8"/>
        <w:rPr>
          <w:rFonts w:hint="eastAsia" w:asciiTheme="minorEastAsia" w:hAnsiTheme="minorEastAsia" w:eastAsiaTheme="minorEastAsia" w:cstheme="minorEastAsia"/>
          <w:sz w:val="28"/>
          <w:szCs w:val="28"/>
          <w:lang w:val="en-US" w:eastAsia="zh-CN"/>
        </w:rPr>
      </w:pPr>
    </w:p>
    <w:p>
      <w:pPr>
        <w:pStyle w:val="8"/>
        <w:rPr>
          <w:rFonts w:hint="eastAsia" w:asciiTheme="minorEastAsia" w:hAnsiTheme="minorEastAsia" w:eastAsiaTheme="minorEastAsia" w:cstheme="minorEastAsia"/>
          <w:sz w:val="28"/>
          <w:szCs w:val="28"/>
          <w:lang w:val="en-US" w:eastAsia="zh-CN"/>
        </w:rPr>
      </w:pPr>
    </w:p>
    <w:p>
      <w:pPr>
        <w:pStyle w:val="8"/>
        <w:rPr>
          <w:rFonts w:hint="eastAsia" w:asciiTheme="minorEastAsia" w:hAnsiTheme="minorEastAsia" w:eastAsiaTheme="minorEastAsia" w:cstheme="minorEastAsia"/>
          <w:sz w:val="28"/>
          <w:szCs w:val="28"/>
          <w:lang w:val="en-US" w:eastAsia="zh-CN"/>
        </w:rPr>
      </w:pPr>
    </w:p>
    <w:p>
      <w:pPr>
        <w:pStyle w:val="8"/>
        <w:rPr>
          <w:rFonts w:hint="eastAsia" w:asciiTheme="minorEastAsia" w:hAnsiTheme="minorEastAsia" w:eastAsiaTheme="minorEastAsia" w:cstheme="minorEastAsia"/>
          <w:sz w:val="28"/>
          <w:szCs w:val="28"/>
          <w:lang w:val="en-US" w:eastAsia="zh-CN"/>
        </w:rPr>
      </w:pPr>
    </w:p>
    <w:p>
      <w:pPr>
        <w:spacing w:line="600" w:lineRule="exact"/>
        <w:ind w:firstLine="702" w:firstLineChars="20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部门整体支出绩效评价基础数据表</w:t>
      </w:r>
    </w:p>
    <w:p>
      <w:pPr>
        <w:pStyle w:val="10"/>
        <w:rPr>
          <w:rFonts w:hint="eastAsia"/>
        </w:rPr>
      </w:pPr>
    </w:p>
    <w:p>
      <w:pPr>
        <w:widowControl/>
        <w:jc w:val="both"/>
        <w:rPr>
          <w:rFonts w:hint="default" w:ascii="宋体" w:hAnsi="宋体" w:eastAsia="宋体" w:cs="宋体"/>
          <w:kern w:val="0"/>
          <w:sz w:val="24"/>
          <w:szCs w:val="24"/>
          <w:lang w:val="en-US"/>
        </w:rPr>
      </w:pPr>
      <w:r>
        <w:rPr>
          <w:rFonts w:hint="eastAsia" w:ascii="宋体" w:hAnsi="宋体" w:eastAsia="宋体" w:cs="宋体"/>
          <w:kern w:val="0"/>
          <w:sz w:val="24"/>
          <w:szCs w:val="24"/>
        </w:rPr>
        <w:t>填报单位：</w:t>
      </w:r>
      <w:r>
        <w:rPr>
          <w:rFonts w:hint="eastAsia" w:ascii="宋体" w:hAnsi="宋体" w:eastAsia="宋体" w:cs="宋体"/>
          <w:kern w:val="0"/>
          <w:sz w:val="24"/>
          <w:szCs w:val="24"/>
          <w:lang w:eastAsia="zh-CN"/>
        </w:rPr>
        <w:t>中共衡南县委巡察工作领导小组办公室</w:t>
      </w:r>
      <w:r>
        <w:rPr>
          <w:rFonts w:hint="eastAsia" w:ascii="宋体" w:hAnsi="宋体" w:eastAsia="宋体" w:cs="宋体"/>
          <w:kern w:val="0"/>
          <w:sz w:val="24"/>
          <w:szCs w:val="24"/>
        </w:rPr>
        <w:tab/>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填报时间：</w:t>
      </w:r>
      <w:r>
        <w:rPr>
          <w:rFonts w:hint="eastAsia" w:ascii="宋体" w:hAnsi="宋体" w:eastAsia="宋体" w:cs="宋体"/>
          <w:kern w:val="0"/>
          <w:sz w:val="24"/>
          <w:szCs w:val="24"/>
          <w:lang w:val="en-US" w:eastAsia="zh-CN"/>
        </w:rPr>
        <w:t>2023-4-1</w:t>
      </w:r>
      <w:r>
        <w:rPr>
          <w:rFonts w:hint="eastAsia" w:ascii="宋体" w:hAnsi="宋体" w:cs="宋体"/>
          <w:kern w:val="0"/>
          <w:sz w:val="24"/>
          <w:szCs w:val="24"/>
          <w:lang w:val="en-US" w:eastAsia="zh-CN"/>
        </w:rPr>
        <w:t>7</w:t>
      </w:r>
    </w:p>
    <w:tbl>
      <w:tblPr>
        <w:tblStyle w:val="13"/>
        <w:tblW w:w="9111" w:type="dxa"/>
        <w:jc w:val="center"/>
        <w:tblInd w:w="0" w:type="dxa"/>
        <w:tblLayout w:type="fixed"/>
        <w:tblCellMar>
          <w:top w:w="0" w:type="dxa"/>
          <w:left w:w="108" w:type="dxa"/>
          <w:bottom w:w="0" w:type="dxa"/>
          <w:right w:w="108" w:type="dxa"/>
        </w:tblCellMar>
      </w:tblPr>
      <w:tblGrid>
        <w:gridCol w:w="3354"/>
        <w:gridCol w:w="1991"/>
        <w:gridCol w:w="2057"/>
        <w:gridCol w:w="1709"/>
      </w:tblGrid>
      <w:tr>
        <w:tblPrEx>
          <w:tblLayout w:type="fixed"/>
          <w:tblCellMar>
            <w:top w:w="0" w:type="dxa"/>
            <w:left w:w="108" w:type="dxa"/>
            <w:bottom w:w="0" w:type="dxa"/>
            <w:right w:w="108" w:type="dxa"/>
          </w:tblCellMar>
        </w:tblPrEx>
        <w:trPr>
          <w:trHeight w:val="425"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财政供养人员情况</w:t>
            </w:r>
          </w:p>
        </w:tc>
        <w:tc>
          <w:tcPr>
            <w:tcW w:w="199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编制数</w:t>
            </w:r>
          </w:p>
        </w:tc>
        <w:tc>
          <w:tcPr>
            <w:tcW w:w="205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kern w:val="0"/>
                <w:szCs w:val="21"/>
                <w:lang w:eastAsia="zh-CN"/>
              </w:rPr>
              <w:t>2022</w:t>
            </w:r>
            <w:r>
              <w:rPr>
                <w:rFonts w:hint="eastAsia" w:ascii="Times New Roman" w:hAnsi="Times New Roman"/>
                <w:kern w:val="0"/>
                <w:szCs w:val="21"/>
              </w:rPr>
              <w:t>年实际在职人数</w:t>
            </w:r>
          </w:p>
        </w:tc>
        <w:tc>
          <w:tcPr>
            <w:tcW w:w="17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控制率</w:t>
            </w:r>
          </w:p>
        </w:tc>
      </w:tr>
      <w:tr>
        <w:tblPrEx>
          <w:tblLayout w:type="fixed"/>
          <w:tblCellMar>
            <w:top w:w="0" w:type="dxa"/>
            <w:left w:w="108" w:type="dxa"/>
            <w:bottom w:w="0" w:type="dxa"/>
            <w:right w:w="108" w:type="dxa"/>
          </w:tblCellMar>
        </w:tblPrEx>
        <w:trPr>
          <w:trHeight w:val="425"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p>
        </w:tc>
        <w:tc>
          <w:tcPr>
            <w:tcW w:w="199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rPr>
              <w:t>　</w:t>
            </w:r>
            <w:r>
              <w:rPr>
                <w:rFonts w:hint="eastAsia"/>
                <w:kern w:val="0"/>
                <w:szCs w:val="21"/>
                <w:lang w:val="en-US" w:eastAsia="zh-CN"/>
              </w:rPr>
              <w:t>16</w:t>
            </w:r>
          </w:p>
        </w:tc>
        <w:tc>
          <w:tcPr>
            <w:tcW w:w="205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kern w:val="0"/>
                <w:szCs w:val="21"/>
                <w:lang w:val="en-US" w:eastAsia="zh-CN"/>
              </w:rPr>
              <w:t>16</w:t>
            </w:r>
          </w:p>
        </w:tc>
        <w:tc>
          <w:tcPr>
            <w:tcW w:w="17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lang w:val="en-US" w:eastAsia="zh-CN"/>
              </w:rPr>
              <w:t>100%</w:t>
            </w:r>
            <w:r>
              <w:rPr>
                <w:rFonts w:hint="eastAsia" w:ascii="Times New Roman" w:hAnsi="Times New Roman"/>
                <w:kern w:val="0"/>
                <w:szCs w:val="21"/>
              </w:rPr>
              <w:t>　</w:t>
            </w:r>
          </w:p>
        </w:tc>
      </w:tr>
      <w:tr>
        <w:tblPrEx>
          <w:tblLayout w:type="fixed"/>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经费控制情况</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kern w:val="0"/>
                <w:szCs w:val="21"/>
                <w:lang w:eastAsia="zh-CN"/>
              </w:rPr>
              <w:t>2022</w:t>
            </w:r>
            <w:r>
              <w:rPr>
                <w:rFonts w:hint="eastAsia" w:ascii="Times New Roman" w:hAnsi="Times New Roman"/>
                <w:kern w:val="0"/>
                <w:szCs w:val="21"/>
              </w:rPr>
              <w:t>年决算数</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kern w:val="0"/>
                <w:szCs w:val="21"/>
                <w:lang w:eastAsia="zh-CN"/>
              </w:rPr>
              <w:t>2022</w:t>
            </w:r>
            <w:r>
              <w:rPr>
                <w:rFonts w:hint="eastAsia" w:ascii="Times New Roman" w:hAnsi="Times New Roman"/>
                <w:kern w:val="0"/>
                <w:szCs w:val="21"/>
              </w:rPr>
              <w:t>年预算数</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ascii="Times New Roman" w:hAnsi="Times New Roman"/>
                <w:kern w:val="0"/>
                <w:szCs w:val="21"/>
              </w:rPr>
              <w:t>20</w:t>
            </w:r>
            <w:r>
              <w:rPr>
                <w:rFonts w:hint="eastAsia"/>
                <w:kern w:val="0"/>
                <w:szCs w:val="21"/>
                <w:lang w:val="en-US" w:eastAsia="zh-CN"/>
              </w:rPr>
              <w:t>21</w:t>
            </w:r>
            <w:r>
              <w:rPr>
                <w:rFonts w:hint="eastAsia" w:ascii="Times New Roman" w:hAnsi="Times New Roman"/>
                <w:kern w:val="0"/>
                <w:szCs w:val="21"/>
              </w:rPr>
              <w:t>年决算数</w:t>
            </w:r>
          </w:p>
        </w:tc>
      </w:tr>
      <w:tr>
        <w:tblPrEx>
          <w:tblLayout w:type="fixed"/>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一、部门基本支出</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eastAsia="仿宋_GB2312"/>
                <w:kern w:val="0"/>
                <w:szCs w:val="21"/>
                <w:lang w:val="en-US" w:eastAsia="zh-CN"/>
              </w:rPr>
              <w:t>326.13</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eastAsia="仿宋_GB2312"/>
                <w:kern w:val="0"/>
                <w:szCs w:val="21"/>
                <w:lang w:val="en-US" w:eastAsia="zh-CN"/>
              </w:rPr>
              <w:t>228.68</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eastAsia="仿宋_GB2312"/>
                <w:kern w:val="0"/>
                <w:szCs w:val="21"/>
                <w:lang w:val="en-US" w:eastAsia="zh-CN"/>
              </w:rPr>
              <w:t>226.42</w:t>
            </w:r>
          </w:p>
        </w:tc>
      </w:tr>
      <w:tr>
        <w:tblPrEx>
          <w:tblLayout w:type="fixed"/>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其中：</w:t>
            </w:r>
            <w:r>
              <w:rPr>
                <w:rFonts w:ascii="Times New Roman" w:hAnsi="Times New Roman"/>
                <w:kern w:val="0"/>
                <w:szCs w:val="21"/>
              </w:rPr>
              <w:t xml:space="preserve"> 1</w:t>
            </w:r>
            <w:r>
              <w:rPr>
                <w:rFonts w:hint="eastAsia" w:ascii="Times New Roman" w:hAnsi="Times New Roman"/>
                <w:kern w:val="0"/>
                <w:szCs w:val="21"/>
              </w:rPr>
              <w:t>、压缩一般性支出</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r>
      <w:tr>
        <w:tblPrEx>
          <w:tblLayout w:type="fixed"/>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2、三公经费</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rPr>
            </w:pPr>
            <w:r>
              <w:rPr>
                <w:rFonts w:hint="eastAsia"/>
                <w:kern w:val="0"/>
                <w:szCs w:val="21"/>
                <w:lang w:val="en-US" w:eastAsia="zh-CN"/>
              </w:rPr>
              <w:t>0.4</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rPr>
            </w:pPr>
            <w:r>
              <w:rPr>
                <w:rFonts w:hint="eastAsia"/>
                <w:kern w:val="0"/>
                <w:szCs w:val="21"/>
                <w:lang w:val="en-US" w:eastAsia="zh-CN"/>
              </w:rPr>
              <w:t>0.6</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rPr>
            </w:pPr>
            <w:r>
              <w:rPr>
                <w:rFonts w:hint="eastAsia"/>
                <w:kern w:val="0"/>
                <w:szCs w:val="21"/>
                <w:lang w:val="en-US" w:eastAsia="zh-CN"/>
              </w:rPr>
              <w:t>0</w:t>
            </w:r>
          </w:p>
        </w:tc>
      </w:tr>
      <w:tr>
        <w:tblPrEx>
          <w:tblLayout w:type="fixed"/>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公务用车购置和维护经费</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kern w:val="0"/>
                <w:szCs w:val="21"/>
                <w:lang w:val="en-US" w:eastAsia="zh-CN"/>
              </w:rPr>
            </w:pPr>
          </w:p>
        </w:tc>
      </w:tr>
      <w:tr>
        <w:tblPrEx>
          <w:tblLayout w:type="fixed"/>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其中：公车购置</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kern w:val="0"/>
                <w:szCs w:val="21"/>
                <w:lang w:val="en-US" w:eastAsia="zh-CN"/>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r>
      <w:tr>
        <w:tblPrEx>
          <w:tblLayout w:type="fixed"/>
          <w:tblCellMar>
            <w:top w:w="0" w:type="dxa"/>
            <w:left w:w="108" w:type="dxa"/>
            <w:bottom w:w="0" w:type="dxa"/>
            <w:right w:w="108" w:type="dxa"/>
          </w:tblCellMar>
        </w:tblPrEx>
        <w:trPr>
          <w:trHeight w:val="41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公车运行维护</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r>
      <w:tr>
        <w:tblPrEx>
          <w:tblLayout w:type="fixed"/>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公务接待</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kern w:val="0"/>
                <w:szCs w:val="21"/>
                <w:lang w:val="en-US" w:eastAsia="zh-CN"/>
              </w:rPr>
              <w:t>0.4</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kern w:val="0"/>
                <w:szCs w:val="21"/>
                <w:lang w:val="en-US" w:eastAsia="zh-CN"/>
              </w:rPr>
              <w:t>0.6</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kern w:val="0"/>
                <w:szCs w:val="21"/>
                <w:lang w:val="en-US" w:eastAsia="zh-CN"/>
              </w:rPr>
              <w:t>0</w:t>
            </w:r>
          </w:p>
        </w:tc>
      </w:tr>
      <w:tr>
        <w:tblPrEx>
          <w:tblLayout w:type="fixed"/>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ascii="Times New Roman" w:hAnsi="Times New Roman"/>
                <w:kern w:val="0"/>
                <w:szCs w:val="21"/>
              </w:rPr>
              <w:t xml:space="preserve">   </w:t>
            </w:r>
            <w:r>
              <w:rPr>
                <w:rFonts w:hint="eastAsia" w:ascii="Times New Roman" w:hAnsi="Times New Roman"/>
                <w:kern w:val="0"/>
                <w:szCs w:val="21"/>
              </w:rPr>
              <w:t>出国经费</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kern w:val="0"/>
                <w:szCs w:val="21"/>
                <w:lang w:val="en-US" w:eastAsia="zh-CN"/>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kern w:val="0"/>
                <w:szCs w:val="21"/>
                <w:lang w:val="en-US" w:eastAsia="zh-CN"/>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r>
      <w:tr>
        <w:tblPrEx>
          <w:tblLayout w:type="fixed"/>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二、部门项目支出</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lang w:val="en-US" w:eastAsia="zh-CN"/>
              </w:rPr>
              <w:t>73.57</w:t>
            </w:r>
            <w:r>
              <w:rPr>
                <w:rFonts w:hint="eastAsia" w:ascii="Times New Roman" w:hAnsi="Times New Roman"/>
                <w:kern w:val="0"/>
                <w:szCs w:val="21"/>
              </w:rPr>
              <w:t>　</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lang w:val="en-US" w:eastAsia="zh-CN"/>
              </w:rPr>
              <w:t>87</w:t>
            </w:r>
            <w:r>
              <w:rPr>
                <w:rFonts w:hint="eastAsia" w:ascii="Times New Roman" w:hAnsi="Times New Roman"/>
                <w:kern w:val="0"/>
                <w:szCs w:val="21"/>
              </w:rPr>
              <w:t>　</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lang w:val="en-US" w:eastAsia="zh-CN"/>
              </w:rPr>
              <w:t>79.3</w:t>
            </w:r>
            <w:r>
              <w:rPr>
                <w:rFonts w:hint="eastAsia" w:ascii="Times New Roman" w:hAnsi="Times New Roman"/>
                <w:kern w:val="0"/>
                <w:szCs w:val="21"/>
              </w:rPr>
              <w:t>　</w:t>
            </w:r>
          </w:p>
        </w:tc>
      </w:tr>
      <w:tr>
        <w:tblPrEx>
          <w:tblLayout w:type="fixed"/>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ascii="Times New Roman" w:hAnsi="Times New Roman"/>
                <w:kern w:val="0"/>
                <w:szCs w:val="21"/>
              </w:rPr>
              <w:t xml:space="preserve">  1</w:t>
            </w:r>
            <w:r>
              <w:rPr>
                <w:rFonts w:hint="eastAsia" w:ascii="Times New Roman" w:hAnsi="Times New Roman"/>
                <w:kern w:val="0"/>
                <w:szCs w:val="21"/>
              </w:rPr>
              <w:t>、业务工作专项</w:t>
            </w:r>
            <w:r>
              <w:rPr>
                <w:rFonts w:ascii="Times New Roman" w:hAnsi="Times New Roman"/>
                <w:kern w:val="0"/>
                <w:szCs w:val="21"/>
              </w:rPr>
              <w:t>(</w:t>
            </w:r>
            <w:r>
              <w:rPr>
                <w:rFonts w:hint="eastAsia" w:ascii="Times New Roman" w:hAnsi="Times New Roman"/>
                <w:kern w:val="0"/>
                <w:szCs w:val="21"/>
              </w:rPr>
              <w:t>一个项目一行</w:t>
            </w:r>
            <w:r>
              <w:rPr>
                <w:rFonts w:ascii="Times New Roman" w:hAnsi="Times New Roman"/>
                <w:kern w:val="0"/>
                <w:szCs w:val="21"/>
              </w:rPr>
              <w:t>)</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r>
      <w:tr>
        <w:tblPrEx>
          <w:tblLayout w:type="fixed"/>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Times New Roman" w:hAnsi="Times New Roman" w:eastAsia="仿宋_GB2312"/>
                <w:kern w:val="0"/>
                <w:szCs w:val="21"/>
                <w:lang w:eastAsia="zh-CN"/>
              </w:rPr>
            </w:pP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p>
        </w:tc>
      </w:tr>
      <w:tr>
        <w:tblPrEx>
          <w:tblLayout w:type="fixed"/>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Times New Roman" w:hAnsi="Times New Roman" w:eastAsia="宋体"/>
                <w:kern w:val="0"/>
                <w:szCs w:val="21"/>
                <w:lang w:eastAsia="zh-CN"/>
              </w:rPr>
            </w:pPr>
            <w:r>
              <w:rPr>
                <w:rFonts w:ascii="Times New Roman" w:hAnsi="Times New Roman"/>
                <w:kern w:val="0"/>
                <w:szCs w:val="21"/>
              </w:rPr>
              <w:t>……</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p>
        </w:tc>
      </w:tr>
      <w:tr>
        <w:tblPrEx>
          <w:tblLayout w:type="fixed"/>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ascii="Times New Roman" w:hAnsi="Times New Roman"/>
                <w:kern w:val="0"/>
                <w:szCs w:val="21"/>
              </w:rPr>
              <w:t xml:space="preserve">  2</w:t>
            </w:r>
            <w:r>
              <w:rPr>
                <w:rFonts w:hint="eastAsia" w:ascii="Times New Roman" w:hAnsi="Times New Roman"/>
                <w:kern w:val="0"/>
                <w:szCs w:val="21"/>
              </w:rPr>
              <w:t>、运行维护专项</w:t>
            </w:r>
            <w:r>
              <w:rPr>
                <w:rFonts w:ascii="Times New Roman" w:hAnsi="Times New Roman"/>
                <w:kern w:val="0"/>
                <w:szCs w:val="21"/>
              </w:rPr>
              <w:t>(</w:t>
            </w:r>
            <w:r>
              <w:rPr>
                <w:rFonts w:hint="eastAsia" w:ascii="Times New Roman" w:hAnsi="Times New Roman"/>
                <w:kern w:val="0"/>
                <w:szCs w:val="21"/>
              </w:rPr>
              <w:t>一个项目一行</w:t>
            </w:r>
            <w:r>
              <w:rPr>
                <w:rFonts w:ascii="Times New Roman" w:hAnsi="Times New Roman"/>
                <w:kern w:val="0"/>
                <w:szCs w:val="21"/>
              </w:rPr>
              <w:t>)</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p>
        </w:tc>
      </w:tr>
      <w:tr>
        <w:tblPrEx>
          <w:tblLayout w:type="fixed"/>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Times New Roman" w:hAnsi="Times New Roman" w:eastAsia="仿宋_GB2312" w:cs="Times New Roman"/>
                <w:kern w:val="0"/>
                <w:sz w:val="21"/>
                <w:szCs w:val="21"/>
                <w:lang w:val="en-US" w:eastAsia="zh-CN" w:bidi="ar-SA"/>
              </w:rPr>
            </w:pP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r>
      <w:tr>
        <w:tblPrEx>
          <w:tblLayout w:type="fixed"/>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Times New Roman" w:hAnsi="Times New Roman" w:eastAsia="宋体" w:cs="Times New Roman"/>
                <w:kern w:val="0"/>
                <w:sz w:val="21"/>
                <w:szCs w:val="21"/>
                <w:lang w:val="en-US" w:eastAsia="zh-CN" w:bidi="ar-SA"/>
              </w:rPr>
            </w:pPr>
            <w:r>
              <w:rPr>
                <w:rFonts w:ascii="Times New Roman" w:hAnsi="Times New Roman"/>
                <w:kern w:val="0"/>
                <w:szCs w:val="21"/>
              </w:rPr>
              <w:t>……</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r>
      <w:tr>
        <w:tblPrEx>
          <w:tblLayout w:type="fixed"/>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1"/>
                <w:szCs w:val="21"/>
                <w:lang w:val="en-US" w:eastAsia="zh-CN" w:bidi="ar-SA"/>
              </w:rPr>
            </w:pPr>
            <w:r>
              <w:rPr>
                <w:rFonts w:ascii="Times New Roman" w:hAnsi="Times New Roman"/>
                <w:kern w:val="0"/>
                <w:szCs w:val="21"/>
              </w:rPr>
              <w:t>3</w:t>
            </w:r>
            <w:r>
              <w:rPr>
                <w:rFonts w:hint="eastAsia" w:ascii="Times New Roman" w:hAnsi="Times New Roman"/>
                <w:kern w:val="0"/>
                <w:szCs w:val="21"/>
              </w:rPr>
              <w:t>、县级专项资金（一个专项一行）</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73.57</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87</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r>
      <w:tr>
        <w:tblPrEx>
          <w:tblLayout w:type="fixed"/>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Times New Roman" w:hAnsi="Times New Roman" w:eastAsia="宋体" w:cs="Times New Roman"/>
                <w:kern w:val="0"/>
                <w:sz w:val="21"/>
                <w:szCs w:val="21"/>
                <w:lang w:val="en-US" w:eastAsia="zh-CN" w:bidi="ar-SA"/>
              </w:rPr>
            </w:pPr>
            <w:r>
              <w:rPr>
                <w:rFonts w:hint="eastAsia" w:ascii="宋体" w:hAnsi="宋体" w:eastAsia="宋体" w:cs="宋体"/>
                <w:kern w:val="0"/>
                <w:szCs w:val="21"/>
                <w:lang w:eastAsia="zh-CN"/>
              </w:rPr>
              <w:t>交叉巡察</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52.39</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14</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r>
      <w:tr>
        <w:tblPrEx>
          <w:tblLayout w:type="fixed"/>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ascii="Times New Roman" w:hAnsi="Times New Roman"/>
                <w:kern w:val="0"/>
                <w:szCs w:val="21"/>
              </w:rPr>
            </w:pPr>
            <w:r>
              <w:rPr>
                <w:rFonts w:hint="eastAsia"/>
                <w:kern w:val="0"/>
                <w:szCs w:val="21"/>
                <w:lang w:eastAsia="zh-CN"/>
              </w:rPr>
              <w:t>专项巡查</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13.09</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p>
        </w:tc>
      </w:tr>
      <w:tr>
        <w:tblPrEx>
          <w:tblLayout w:type="fixed"/>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常规巡查</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8.1</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63</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p>
        </w:tc>
      </w:tr>
      <w:tr>
        <w:tblPrEx>
          <w:tblLayout w:type="fixed"/>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both"/>
              <w:rPr>
                <w:rFonts w:ascii="Times New Roman" w:hAnsi="Times New Roman" w:eastAsia="仿宋_GB2312"/>
                <w:kern w:val="0"/>
                <w:szCs w:val="21"/>
              </w:rPr>
            </w:pPr>
            <w:r>
              <w:rPr>
                <w:rFonts w:hint="eastAsia" w:ascii="Times New Roman" w:hAnsi="Times New Roman"/>
                <w:kern w:val="0"/>
                <w:szCs w:val="21"/>
              </w:rPr>
              <w:t>其他纪检监察事务专项支出</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79.3</w:t>
            </w:r>
          </w:p>
        </w:tc>
      </w:tr>
      <w:tr>
        <w:tblPrEx>
          <w:tblLayout w:type="fixed"/>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kern w:val="0"/>
                <w:szCs w:val="21"/>
              </w:rPr>
              <w:t>政府采购金额</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rPr>
              <w:t>　</w:t>
            </w:r>
            <w:r>
              <w:rPr>
                <w:rFonts w:hint="eastAsia" w:ascii="Times New Roman" w:hAnsi="Times New Roman"/>
                <w:kern w:val="0"/>
                <w:szCs w:val="21"/>
                <w:lang w:val="en-US" w:eastAsia="zh-CN"/>
              </w:rPr>
              <w:t>14</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kern w:val="0"/>
                <w:szCs w:val="21"/>
                <w:lang w:val="en-US" w:eastAsia="zh-CN"/>
              </w:rPr>
              <w:t>15</w:t>
            </w:r>
            <w:r>
              <w:rPr>
                <w:rFonts w:hint="eastAsia" w:ascii="Times New Roman" w:hAnsi="Times New Roman"/>
                <w:kern w:val="0"/>
                <w:szCs w:val="21"/>
              </w:rPr>
              <w:t>　</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kern w:val="0"/>
                <w:szCs w:val="21"/>
              </w:rPr>
              <w:t>　</w:t>
            </w:r>
          </w:p>
        </w:tc>
      </w:tr>
      <w:tr>
        <w:tblPrEx>
          <w:tblLayout w:type="fixed"/>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rPr>
              <w:t>厉行节约保障措施</w:t>
            </w:r>
          </w:p>
        </w:tc>
        <w:tc>
          <w:tcPr>
            <w:tcW w:w="1991" w:type="dxa"/>
            <w:tcBorders>
              <w:top w:val="single" w:color="auto" w:sz="4" w:space="0"/>
              <w:left w:val="nil"/>
              <w:bottom w:val="single" w:color="auto" w:sz="4" w:space="0"/>
              <w:right w:val="single" w:color="000000" w:sz="4" w:space="0"/>
            </w:tcBorders>
            <w:noWrap w:val="0"/>
            <w:vAlign w:val="center"/>
          </w:tcPr>
          <w:p>
            <w:pPr>
              <w:widowControl/>
              <w:numPr>
                <w:ilvl w:val="0"/>
                <w:numId w:val="4"/>
              </w:numPr>
              <w:jc w:val="both"/>
              <w:rPr>
                <w:rFonts w:hint="eastAsia"/>
                <w:kern w:val="0"/>
                <w:szCs w:val="21"/>
                <w:lang w:val="en-US" w:eastAsia="zh-CN"/>
              </w:rPr>
            </w:pPr>
            <w:r>
              <w:rPr>
                <w:rFonts w:hint="eastAsia"/>
                <w:kern w:val="0"/>
                <w:szCs w:val="21"/>
                <w:lang w:val="en-US" w:eastAsia="zh-CN"/>
              </w:rPr>
              <w:t>加强领导，确保节约落到实处。</w:t>
            </w:r>
          </w:p>
          <w:p>
            <w:pPr>
              <w:widowControl/>
              <w:numPr>
                <w:ilvl w:val="0"/>
                <w:numId w:val="4"/>
              </w:numPr>
              <w:jc w:val="both"/>
              <w:rPr>
                <w:rFonts w:ascii="Times New Roman" w:hAnsi="Times New Roman" w:eastAsia="仿宋_GB2312"/>
                <w:kern w:val="0"/>
                <w:szCs w:val="21"/>
              </w:rPr>
            </w:pPr>
            <w:r>
              <w:rPr>
                <w:rFonts w:hint="eastAsia"/>
                <w:kern w:val="0"/>
                <w:szCs w:val="21"/>
                <w:lang w:eastAsia="zh-CN"/>
              </w:rPr>
              <w:t>加强宣传，促进正确观念的树立。</w:t>
            </w:r>
          </w:p>
          <w:p>
            <w:pPr>
              <w:widowControl/>
              <w:numPr>
                <w:ilvl w:val="0"/>
                <w:numId w:val="4"/>
              </w:numPr>
              <w:jc w:val="both"/>
              <w:rPr>
                <w:rFonts w:hint="eastAsia" w:ascii="宋体" w:hAnsi="宋体" w:eastAsia="宋体" w:cs="宋体"/>
                <w:kern w:val="0"/>
                <w:szCs w:val="21"/>
              </w:rPr>
            </w:pPr>
            <w:r>
              <w:rPr>
                <w:rFonts w:hint="eastAsia" w:ascii="宋体" w:hAnsi="宋体" w:eastAsia="宋体" w:cs="宋体"/>
                <w:kern w:val="0"/>
                <w:szCs w:val="21"/>
                <w:lang w:eastAsia="zh-CN"/>
              </w:rPr>
              <w:t>完善机制，确保节约措施的落实。</w:t>
            </w:r>
          </w:p>
          <w:p>
            <w:pPr>
              <w:widowControl/>
              <w:numPr>
                <w:ilvl w:val="0"/>
                <w:numId w:val="4"/>
              </w:numPr>
              <w:jc w:val="both"/>
              <w:rPr>
                <w:rFonts w:hint="default" w:ascii="Times New Roman" w:hAnsi="Times New Roman" w:eastAsia="仿宋_GB2312" w:cs="Times New Roman"/>
                <w:kern w:val="0"/>
                <w:sz w:val="21"/>
                <w:szCs w:val="21"/>
                <w:lang w:val="en-US" w:eastAsia="zh-CN" w:bidi="ar-SA"/>
              </w:rPr>
            </w:pPr>
            <w:r>
              <w:rPr>
                <w:rFonts w:hint="eastAsia" w:ascii="宋体" w:hAnsi="宋体" w:eastAsia="宋体" w:cs="宋体"/>
                <w:kern w:val="0"/>
                <w:szCs w:val="21"/>
                <w:lang w:eastAsia="zh-CN"/>
              </w:rPr>
              <w:t>开展节约的活动，制订节约的具体规定。</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r>
      <w:tr>
        <w:tblPrEx>
          <w:tblLayout w:type="fixed"/>
          <w:tblCellMar>
            <w:top w:w="0" w:type="dxa"/>
            <w:left w:w="108" w:type="dxa"/>
            <w:bottom w:w="0" w:type="dxa"/>
            <w:right w:w="108" w:type="dxa"/>
          </w:tblCellMar>
        </w:tblPrEx>
        <w:trPr>
          <w:trHeight w:val="929"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p>
        </w:tc>
        <w:tc>
          <w:tcPr>
            <w:tcW w:w="5757" w:type="dxa"/>
            <w:gridSpan w:val="3"/>
            <w:tcBorders>
              <w:top w:val="single" w:color="auto" w:sz="4" w:space="0"/>
              <w:left w:val="nil"/>
              <w:bottom w:val="single" w:color="auto" w:sz="4" w:space="0"/>
              <w:right w:val="single" w:color="000000" w:sz="4" w:space="0"/>
            </w:tcBorders>
            <w:noWrap w:val="0"/>
            <w:vAlign w:val="center"/>
          </w:tcPr>
          <w:p>
            <w:pPr>
              <w:widowControl/>
              <w:numPr>
                <w:ilvl w:val="0"/>
                <w:numId w:val="0"/>
              </w:numPr>
              <w:jc w:val="both"/>
              <w:rPr>
                <w:rFonts w:ascii="Times New Roman" w:hAnsi="Times New Roman" w:eastAsia="仿宋_GB2312"/>
                <w:kern w:val="0"/>
                <w:szCs w:val="21"/>
              </w:rPr>
            </w:pPr>
          </w:p>
        </w:tc>
      </w:tr>
    </w:tbl>
    <w:p>
      <w:pPr>
        <w:spacing w:before="62" w:beforeLines="20"/>
        <w:rPr>
          <w:rFonts w:hint="eastAsia" w:ascii="Times New Roman" w:hAnsi="Times New Roman"/>
          <w:kern w:val="0"/>
          <w:szCs w:val="22"/>
        </w:rPr>
      </w:pPr>
      <w:r>
        <w:rPr>
          <w:rFonts w:hint="eastAsia" w:ascii="Times New Roman" w:hAnsi="Times New Roman"/>
          <w:kern w:val="0"/>
          <w:szCs w:val="22"/>
        </w:rPr>
        <w:t>说明：</w:t>
      </w:r>
      <w:r>
        <w:rPr>
          <w:rFonts w:ascii="Times New Roman" w:hAnsi="Times New Roman"/>
          <w:kern w:val="0"/>
          <w:szCs w:val="22"/>
        </w:rPr>
        <w:t>“</w:t>
      </w:r>
      <w:r>
        <w:rPr>
          <w:rFonts w:hint="eastAsia" w:ascii="Times New Roman" w:hAnsi="Times New Roman"/>
          <w:kern w:val="0"/>
          <w:szCs w:val="22"/>
        </w:rPr>
        <w:t>公用经费</w:t>
      </w:r>
      <w:r>
        <w:rPr>
          <w:rFonts w:ascii="Times New Roman" w:hAnsi="Times New Roman"/>
          <w:kern w:val="0"/>
          <w:szCs w:val="22"/>
        </w:rPr>
        <w:t>”</w:t>
      </w:r>
      <w:r>
        <w:rPr>
          <w:rFonts w:hint="eastAsia" w:ascii="Times New Roman" w:hAnsi="Times New Roman"/>
          <w:kern w:val="0"/>
          <w:szCs w:val="22"/>
        </w:rPr>
        <w:t>填报基本支出中的一般商品和服务支出；</w:t>
      </w:r>
      <w:r>
        <w:rPr>
          <w:rFonts w:ascii="Times New Roman" w:hAnsi="Times New Roman"/>
          <w:kern w:val="0"/>
          <w:szCs w:val="22"/>
        </w:rPr>
        <w:t>“</w:t>
      </w:r>
      <w:r>
        <w:rPr>
          <w:rFonts w:hint="eastAsia" w:ascii="Times New Roman" w:hAnsi="Times New Roman"/>
          <w:kern w:val="0"/>
          <w:szCs w:val="22"/>
        </w:rPr>
        <w:t>项目支出</w:t>
      </w:r>
      <w:r>
        <w:rPr>
          <w:rFonts w:ascii="Times New Roman" w:hAnsi="Times New Roman"/>
          <w:kern w:val="0"/>
          <w:szCs w:val="22"/>
        </w:rPr>
        <w:t>”</w:t>
      </w:r>
      <w:r>
        <w:rPr>
          <w:rFonts w:hint="eastAsia" w:ascii="Times New Roman" w:hAnsi="Times New Roman"/>
          <w:kern w:val="0"/>
          <w:szCs w:val="22"/>
        </w:rPr>
        <w:t>需要填报基本支出以外的所有项目支出情况，包括业务工作项目、运行维护项目和县级专项资金等。</w:t>
      </w:r>
    </w:p>
    <w:p>
      <w:pPr>
        <w:spacing w:before="156" w:beforeLines="50" w:line="300" w:lineRule="exact"/>
        <w:rPr>
          <w:rFonts w:hint="eastAsia" w:ascii="宋体" w:hAnsi="宋体" w:cs="宋体"/>
          <w:sz w:val="24"/>
        </w:rPr>
      </w:pPr>
      <w:r>
        <w:rPr>
          <w:rFonts w:hint="eastAsia" w:ascii="宋体" w:hAnsi="宋体" w:cs="宋体"/>
          <w:sz w:val="24"/>
        </w:rPr>
        <w:t>填表人：            联系电话：               单位负责人签字：</w:t>
      </w:r>
    </w:p>
    <w:p>
      <w:pPr>
        <w:spacing w:before="62" w:beforeLines="20"/>
        <w:rPr>
          <w:rFonts w:hint="eastAsia" w:ascii="仿宋_GB2312" w:eastAsia="仿宋_GB2312"/>
          <w:sz w:val="32"/>
          <w:szCs w:val="32"/>
        </w:rPr>
      </w:pPr>
    </w:p>
    <w:p>
      <w:pPr>
        <w:pStyle w:val="8"/>
        <w:rPr>
          <w:rFonts w:hint="eastAsia" w:asciiTheme="minorEastAsia" w:hAnsiTheme="minorEastAsia" w:eastAsiaTheme="minorEastAsia" w:cstheme="minorEastAsia"/>
          <w:sz w:val="28"/>
          <w:szCs w:val="28"/>
          <w:lang w:val="en-US" w:eastAsia="zh-CN"/>
        </w:rPr>
      </w:pPr>
    </w:p>
    <w:sectPr>
      <w:footerReference r:id="rId3" w:type="default"/>
      <w:footerReference r:id="rId4" w:type="even"/>
      <w:pgSz w:w="11906" w:h="16838"/>
      <w:pgMar w:top="1559" w:right="1287" w:bottom="1440" w:left="1622" w:header="851" w:footer="1021" w:gutter="0"/>
      <w:cols w:space="720"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18</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694E74"/>
    <w:multiLevelType w:val="singleLevel"/>
    <w:tmpl w:val="97694E74"/>
    <w:lvl w:ilvl="0" w:tentative="0">
      <w:start w:val="1"/>
      <w:numFmt w:val="chineseCounting"/>
      <w:suff w:val="nothing"/>
      <w:lvlText w:val="（%1）"/>
      <w:lvlJc w:val="left"/>
      <w:rPr>
        <w:rFonts w:hint="eastAsia"/>
      </w:rPr>
    </w:lvl>
  </w:abstractNum>
  <w:abstractNum w:abstractNumId="1">
    <w:nsid w:val="D0EC07E9"/>
    <w:multiLevelType w:val="singleLevel"/>
    <w:tmpl w:val="D0EC07E9"/>
    <w:lvl w:ilvl="0" w:tentative="0">
      <w:start w:val="1"/>
      <w:numFmt w:val="decimal"/>
      <w:suff w:val="nothing"/>
      <w:lvlText w:val="%1、"/>
      <w:lvlJc w:val="left"/>
    </w:lvl>
  </w:abstractNum>
  <w:abstractNum w:abstractNumId="2">
    <w:nsid w:val="24080A0A"/>
    <w:multiLevelType w:val="multilevel"/>
    <w:tmpl w:val="24080A0A"/>
    <w:lvl w:ilvl="0" w:tentative="0">
      <w:start w:val="1"/>
      <w:numFmt w:val="japaneseCounting"/>
      <w:lvlText w:val="%1、"/>
      <w:lvlJc w:val="left"/>
      <w:pPr>
        <w:ind w:left="1340" w:hanging="720"/>
      </w:pPr>
      <w:rPr>
        <w:rFonts w:hint="default"/>
      </w:rPr>
    </w:lvl>
    <w:lvl w:ilvl="1" w:tentative="0">
      <w:start w:val="1"/>
      <w:numFmt w:val="lowerLetter"/>
      <w:lvlText w:val="%2)"/>
      <w:lvlJc w:val="left"/>
      <w:pPr>
        <w:ind w:left="1460" w:hanging="420"/>
      </w:pPr>
    </w:lvl>
    <w:lvl w:ilvl="2" w:tentative="0">
      <w:start w:val="1"/>
      <w:numFmt w:val="lowerRoman"/>
      <w:lvlText w:val="%3."/>
      <w:lvlJc w:val="right"/>
      <w:pPr>
        <w:ind w:left="1880" w:hanging="420"/>
      </w:pPr>
    </w:lvl>
    <w:lvl w:ilvl="3" w:tentative="0">
      <w:start w:val="1"/>
      <w:numFmt w:val="decimal"/>
      <w:lvlText w:val="%4."/>
      <w:lvlJc w:val="left"/>
      <w:pPr>
        <w:ind w:left="2300" w:hanging="420"/>
      </w:pPr>
    </w:lvl>
    <w:lvl w:ilvl="4" w:tentative="0">
      <w:start w:val="1"/>
      <w:numFmt w:val="lowerLetter"/>
      <w:lvlText w:val="%5)"/>
      <w:lvlJc w:val="left"/>
      <w:pPr>
        <w:ind w:left="2720" w:hanging="420"/>
      </w:pPr>
    </w:lvl>
    <w:lvl w:ilvl="5" w:tentative="0">
      <w:start w:val="1"/>
      <w:numFmt w:val="lowerRoman"/>
      <w:lvlText w:val="%6."/>
      <w:lvlJc w:val="right"/>
      <w:pPr>
        <w:ind w:left="3140" w:hanging="420"/>
      </w:pPr>
    </w:lvl>
    <w:lvl w:ilvl="6" w:tentative="0">
      <w:start w:val="1"/>
      <w:numFmt w:val="decimal"/>
      <w:lvlText w:val="%7."/>
      <w:lvlJc w:val="left"/>
      <w:pPr>
        <w:ind w:left="3560" w:hanging="420"/>
      </w:pPr>
    </w:lvl>
    <w:lvl w:ilvl="7" w:tentative="0">
      <w:start w:val="1"/>
      <w:numFmt w:val="lowerLetter"/>
      <w:lvlText w:val="%8)"/>
      <w:lvlJc w:val="left"/>
      <w:pPr>
        <w:ind w:left="3980" w:hanging="420"/>
      </w:pPr>
    </w:lvl>
    <w:lvl w:ilvl="8" w:tentative="0">
      <w:start w:val="1"/>
      <w:numFmt w:val="lowerRoman"/>
      <w:lvlText w:val="%9."/>
      <w:lvlJc w:val="right"/>
      <w:pPr>
        <w:ind w:left="4400" w:hanging="420"/>
      </w:pPr>
    </w:lvl>
  </w:abstractNum>
  <w:abstractNum w:abstractNumId="3">
    <w:nsid w:val="63008AD5"/>
    <w:multiLevelType w:val="singleLevel"/>
    <w:tmpl w:val="63008AD5"/>
    <w:lvl w:ilvl="0" w:tentative="0">
      <w:start w:val="5"/>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kMWExN2RlZjJmOWM5MTJhZjEwYjlkMzcxMzU5MWEifQ=="/>
  </w:docVars>
  <w:rsids>
    <w:rsidRoot w:val="00B843C7"/>
    <w:rsid w:val="00014E6E"/>
    <w:rsid w:val="00050D1D"/>
    <w:rsid w:val="00073D55"/>
    <w:rsid w:val="000C0358"/>
    <w:rsid w:val="000D369C"/>
    <w:rsid w:val="000D6FF6"/>
    <w:rsid w:val="00144823"/>
    <w:rsid w:val="0014763C"/>
    <w:rsid w:val="001C6A45"/>
    <w:rsid w:val="001D0712"/>
    <w:rsid w:val="00201244"/>
    <w:rsid w:val="00201531"/>
    <w:rsid w:val="0022488F"/>
    <w:rsid w:val="002328D0"/>
    <w:rsid w:val="002363C3"/>
    <w:rsid w:val="00255F32"/>
    <w:rsid w:val="002615B4"/>
    <w:rsid w:val="002668AA"/>
    <w:rsid w:val="00283BBB"/>
    <w:rsid w:val="002A5B65"/>
    <w:rsid w:val="002C3F4C"/>
    <w:rsid w:val="002C670C"/>
    <w:rsid w:val="002D50A5"/>
    <w:rsid w:val="002D577F"/>
    <w:rsid w:val="002E0BD9"/>
    <w:rsid w:val="002E0C96"/>
    <w:rsid w:val="002F0A30"/>
    <w:rsid w:val="003067DC"/>
    <w:rsid w:val="003143C5"/>
    <w:rsid w:val="00356230"/>
    <w:rsid w:val="00361B4E"/>
    <w:rsid w:val="003B6FC5"/>
    <w:rsid w:val="003D2B7D"/>
    <w:rsid w:val="003D4EA3"/>
    <w:rsid w:val="00406C45"/>
    <w:rsid w:val="00441580"/>
    <w:rsid w:val="004530A5"/>
    <w:rsid w:val="00460B27"/>
    <w:rsid w:val="004807E9"/>
    <w:rsid w:val="004F19B8"/>
    <w:rsid w:val="005129BF"/>
    <w:rsid w:val="00523D2A"/>
    <w:rsid w:val="00524457"/>
    <w:rsid w:val="0053174A"/>
    <w:rsid w:val="0055792B"/>
    <w:rsid w:val="005B343B"/>
    <w:rsid w:val="005D0F55"/>
    <w:rsid w:val="005E5320"/>
    <w:rsid w:val="00603C1B"/>
    <w:rsid w:val="00604693"/>
    <w:rsid w:val="00635442"/>
    <w:rsid w:val="00666085"/>
    <w:rsid w:val="00673270"/>
    <w:rsid w:val="00680E6F"/>
    <w:rsid w:val="0068448B"/>
    <w:rsid w:val="006C1FD1"/>
    <w:rsid w:val="006C2306"/>
    <w:rsid w:val="006E55AC"/>
    <w:rsid w:val="0070610E"/>
    <w:rsid w:val="00722E44"/>
    <w:rsid w:val="00730832"/>
    <w:rsid w:val="007416F1"/>
    <w:rsid w:val="00760862"/>
    <w:rsid w:val="00774704"/>
    <w:rsid w:val="007F2790"/>
    <w:rsid w:val="008A740B"/>
    <w:rsid w:val="00975263"/>
    <w:rsid w:val="00985826"/>
    <w:rsid w:val="009B3FCE"/>
    <w:rsid w:val="009B5053"/>
    <w:rsid w:val="009D72BC"/>
    <w:rsid w:val="009F3291"/>
    <w:rsid w:val="00A026CB"/>
    <w:rsid w:val="00A34793"/>
    <w:rsid w:val="00A4488B"/>
    <w:rsid w:val="00A5434A"/>
    <w:rsid w:val="00A71002"/>
    <w:rsid w:val="00A76F36"/>
    <w:rsid w:val="00A839FB"/>
    <w:rsid w:val="00AD27F1"/>
    <w:rsid w:val="00B4596F"/>
    <w:rsid w:val="00B8341F"/>
    <w:rsid w:val="00B843C7"/>
    <w:rsid w:val="00C03295"/>
    <w:rsid w:val="00C3144D"/>
    <w:rsid w:val="00C41DC4"/>
    <w:rsid w:val="00C476AF"/>
    <w:rsid w:val="00C55887"/>
    <w:rsid w:val="00C65C25"/>
    <w:rsid w:val="00C755C6"/>
    <w:rsid w:val="00C94CE2"/>
    <w:rsid w:val="00CD568F"/>
    <w:rsid w:val="00CD72BC"/>
    <w:rsid w:val="00CE1683"/>
    <w:rsid w:val="00D31D11"/>
    <w:rsid w:val="00DA3C02"/>
    <w:rsid w:val="00DB4976"/>
    <w:rsid w:val="00DB52C0"/>
    <w:rsid w:val="00DC2177"/>
    <w:rsid w:val="00E069E5"/>
    <w:rsid w:val="00E2418F"/>
    <w:rsid w:val="00E42011"/>
    <w:rsid w:val="00E728E2"/>
    <w:rsid w:val="00EA046D"/>
    <w:rsid w:val="00F03755"/>
    <w:rsid w:val="00F31FD4"/>
    <w:rsid w:val="00F43D48"/>
    <w:rsid w:val="00F47795"/>
    <w:rsid w:val="00F6233F"/>
    <w:rsid w:val="00F97A85"/>
    <w:rsid w:val="00FD5133"/>
    <w:rsid w:val="00FE49EB"/>
    <w:rsid w:val="00FF1A55"/>
    <w:rsid w:val="00FF7B91"/>
    <w:rsid w:val="011B1138"/>
    <w:rsid w:val="016D47C9"/>
    <w:rsid w:val="01734162"/>
    <w:rsid w:val="0182165A"/>
    <w:rsid w:val="018F288D"/>
    <w:rsid w:val="01900359"/>
    <w:rsid w:val="01932756"/>
    <w:rsid w:val="0194248D"/>
    <w:rsid w:val="019D1DB1"/>
    <w:rsid w:val="01AA435B"/>
    <w:rsid w:val="01DA290A"/>
    <w:rsid w:val="021872CE"/>
    <w:rsid w:val="021F4265"/>
    <w:rsid w:val="02686B2D"/>
    <w:rsid w:val="026F3E10"/>
    <w:rsid w:val="02781EBE"/>
    <w:rsid w:val="02952E03"/>
    <w:rsid w:val="02B36958"/>
    <w:rsid w:val="02B4367D"/>
    <w:rsid w:val="02BE0B3D"/>
    <w:rsid w:val="02C01B9F"/>
    <w:rsid w:val="030C4EDD"/>
    <w:rsid w:val="035C4D5F"/>
    <w:rsid w:val="036255A5"/>
    <w:rsid w:val="038B058F"/>
    <w:rsid w:val="03F35D1F"/>
    <w:rsid w:val="03F471AB"/>
    <w:rsid w:val="03FD14BE"/>
    <w:rsid w:val="040626E8"/>
    <w:rsid w:val="04095165"/>
    <w:rsid w:val="040A27EA"/>
    <w:rsid w:val="041F7BF5"/>
    <w:rsid w:val="0440360D"/>
    <w:rsid w:val="045E2EDB"/>
    <w:rsid w:val="04657D52"/>
    <w:rsid w:val="04671F17"/>
    <w:rsid w:val="047E65A4"/>
    <w:rsid w:val="048A6E37"/>
    <w:rsid w:val="04D3335E"/>
    <w:rsid w:val="04E62E18"/>
    <w:rsid w:val="05034D5D"/>
    <w:rsid w:val="050701AB"/>
    <w:rsid w:val="05767D3B"/>
    <w:rsid w:val="05DA2490"/>
    <w:rsid w:val="060275FD"/>
    <w:rsid w:val="060F6E75"/>
    <w:rsid w:val="06C32529"/>
    <w:rsid w:val="07095BF8"/>
    <w:rsid w:val="073D0E36"/>
    <w:rsid w:val="074A2DEA"/>
    <w:rsid w:val="075B43C1"/>
    <w:rsid w:val="08434F52"/>
    <w:rsid w:val="087717B0"/>
    <w:rsid w:val="087D1E0A"/>
    <w:rsid w:val="08A729AF"/>
    <w:rsid w:val="08AA1CC0"/>
    <w:rsid w:val="08AB6F20"/>
    <w:rsid w:val="09043FC1"/>
    <w:rsid w:val="09173578"/>
    <w:rsid w:val="092051BC"/>
    <w:rsid w:val="095E2CD1"/>
    <w:rsid w:val="09F16EA8"/>
    <w:rsid w:val="0A3C40D6"/>
    <w:rsid w:val="0A462A4D"/>
    <w:rsid w:val="0A912DAF"/>
    <w:rsid w:val="0AD72AF7"/>
    <w:rsid w:val="0B1408C1"/>
    <w:rsid w:val="0B6E5911"/>
    <w:rsid w:val="0B8A0F1D"/>
    <w:rsid w:val="0BA00BD8"/>
    <w:rsid w:val="0BB00AFE"/>
    <w:rsid w:val="0BB87D06"/>
    <w:rsid w:val="0BE11B92"/>
    <w:rsid w:val="0BE51572"/>
    <w:rsid w:val="0C050478"/>
    <w:rsid w:val="0C0D0ED1"/>
    <w:rsid w:val="0C103EDA"/>
    <w:rsid w:val="0C2159CB"/>
    <w:rsid w:val="0C517911"/>
    <w:rsid w:val="0C52219D"/>
    <w:rsid w:val="0CA6599C"/>
    <w:rsid w:val="0CFB518F"/>
    <w:rsid w:val="0D04341C"/>
    <w:rsid w:val="0D0F1CBB"/>
    <w:rsid w:val="0D5D17CB"/>
    <w:rsid w:val="0D7254BF"/>
    <w:rsid w:val="0DCD0581"/>
    <w:rsid w:val="0DDE4FD5"/>
    <w:rsid w:val="0DFF2C91"/>
    <w:rsid w:val="0E3057C1"/>
    <w:rsid w:val="0F635E61"/>
    <w:rsid w:val="0FC62AE9"/>
    <w:rsid w:val="0FD415FA"/>
    <w:rsid w:val="102B26DC"/>
    <w:rsid w:val="106F0E5F"/>
    <w:rsid w:val="1077625D"/>
    <w:rsid w:val="109B53FF"/>
    <w:rsid w:val="10AE4901"/>
    <w:rsid w:val="11107C6D"/>
    <w:rsid w:val="111F088F"/>
    <w:rsid w:val="1122248D"/>
    <w:rsid w:val="11476806"/>
    <w:rsid w:val="11E1762C"/>
    <w:rsid w:val="124F10CE"/>
    <w:rsid w:val="12753A2E"/>
    <w:rsid w:val="128B5D17"/>
    <w:rsid w:val="128D23DE"/>
    <w:rsid w:val="12902616"/>
    <w:rsid w:val="12902DDA"/>
    <w:rsid w:val="129A3494"/>
    <w:rsid w:val="13472D07"/>
    <w:rsid w:val="1370286E"/>
    <w:rsid w:val="13814B96"/>
    <w:rsid w:val="13B247C1"/>
    <w:rsid w:val="13B7762A"/>
    <w:rsid w:val="14226537"/>
    <w:rsid w:val="14524530"/>
    <w:rsid w:val="14791385"/>
    <w:rsid w:val="147C10A3"/>
    <w:rsid w:val="14B71108"/>
    <w:rsid w:val="14CD7B51"/>
    <w:rsid w:val="14FF058F"/>
    <w:rsid w:val="1503001E"/>
    <w:rsid w:val="150F3CA7"/>
    <w:rsid w:val="154A27CA"/>
    <w:rsid w:val="15780735"/>
    <w:rsid w:val="15891CCA"/>
    <w:rsid w:val="159308FB"/>
    <w:rsid w:val="159E2D1B"/>
    <w:rsid w:val="15DB6F44"/>
    <w:rsid w:val="15FE136C"/>
    <w:rsid w:val="16097C3A"/>
    <w:rsid w:val="16230541"/>
    <w:rsid w:val="164A7C92"/>
    <w:rsid w:val="164D68EE"/>
    <w:rsid w:val="16A609CB"/>
    <w:rsid w:val="16B47B76"/>
    <w:rsid w:val="16B50174"/>
    <w:rsid w:val="16B569A4"/>
    <w:rsid w:val="16CB72FE"/>
    <w:rsid w:val="171B0B8E"/>
    <w:rsid w:val="17B9304C"/>
    <w:rsid w:val="181C3419"/>
    <w:rsid w:val="183304F5"/>
    <w:rsid w:val="183C74C7"/>
    <w:rsid w:val="185E1AC5"/>
    <w:rsid w:val="18604080"/>
    <w:rsid w:val="18DE745D"/>
    <w:rsid w:val="19032410"/>
    <w:rsid w:val="19063B32"/>
    <w:rsid w:val="19115E65"/>
    <w:rsid w:val="19124356"/>
    <w:rsid w:val="19216C57"/>
    <w:rsid w:val="19572795"/>
    <w:rsid w:val="19702021"/>
    <w:rsid w:val="19B20ADD"/>
    <w:rsid w:val="19BC55BD"/>
    <w:rsid w:val="19F26A0B"/>
    <w:rsid w:val="1AB5556E"/>
    <w:rsid w:val="1ABC5844"/>
    <w:rsid w:val="1AD60514"/>
    <w:rsid w:val="1AEF6A73"/>
    <w:rsid w:val="1B965F4E"/>
    <w:rsid w:val="1BB53C13"/>
    <w:rsid w:val="1BB630ED"/>
    <w:rsid w:val="1BDC3D23"/>
    <w:rsid w:val="1C253E50"/>
    <w:rsid w:val="1C551466"/>
    <w:rsid w:val="1CC60963"/>
    <w:rsid w:val="1CF64B09"/>
    <w:rsid w:val="1CFA6E48"/>
    <w:rsid w:val="1CFE7ACD"/>
    <w:rsid w:val="1D440587"/>
    <w:rsid w:val="1D954F84"/>
    <w:rsid w:val="1DEC60F3"/>
    <w:rsid w:val="1E29579F"/>
    <w:rsid w:val="1E7A3316"/>
    <w:rsid w:val="1EC56A78"/>
    <w:rsid w:val="1EEC40F1"/>
    <w:rsid w:val="1F087BEB"/>
    <w:rsid w:val="1F2C09AC"/>
    <w:rsid w:val="1F896D6A"/>
    <w:rsid w:val="1FDD65A2"/>
    <w:rsid w:val="1FF24652"/>
    <w:rsid w:val="1FF757EC"/>
    <w:rsid w:val="20235F80"/>
    <w:rsid w:val="203120D9"/>
    <w:rsid w:val="203F1257"/>
    <w:rsid w:val="204C0723"/>
    <w:rsid w:val="205B2C83"/>
    <w:rsid w:val="2081662F"/>
    <w:rsid w:val="209F3794"/>
    <w:rsid w:val="20C65D37"/>
    <w:rsid w:val="20D748F4"/>
    <w:rsid w:val="21043305"/>
    <w:rsid w:val="210F5AE3"/>
    <w:rsid w:val="21417B2B"/>
    <w:rsid w:val="216D2575"/>
    <w:rsid w:val="21B26026"/>
    <w:rsid w:val="21C055A7"/>
    <w:rsid w:val="21C24DF5"/>
    <w:rsid w:val="21C97858"/>
    <w:rsid w:val="21DD2C53"/>
    <w:rsid w:val="21ED4025"/>
    <w:rsid w:val="22356B22"/>
    <w:rsid w:val="2268469D"/>
    <w:rsid w:val="22893B7C"/>
    <w:rsid w:val="22916662"/>
    <w:rsid w:val="22D77F2D"/>
    <w:rsid w:val="22EA50F3"/>
    <w:rsid w:val="236C2C8F"/>
    <w:rsid w:val="23784FA1"/>
    <w:rsid w:val="237B40AF"/>
    <w:rsid w:val="23CF073A"/>
    <w:rsid w:val="23E05115"/>
    <w:rsid w:val="23E05ADF"/>
    <w:rsid w:val="23E80BCD"/>
    <w:rsid w:val="240C2C2D"/>
    <w:rsid w:val="24216770"/>
    <w:rsid w:val="2429670D"/>
    <w:rsid w:val="242E7BCF"/>
    <w:rsid w:val="24432C28"/>
    <w:rsid w:val="24822706"/>
    <w:rsid w:val="248D27F1"/>
    <w:rsid w:val="24E56458"/>
    <w:rsid w:val="24E95010"/>
    <w:rsid w:val="25524889"/>
    <w:rsid w:val="255511FD"/>
    <w:rsid w:val="25D17A6D"/>
    <w:rsid w:val="25F74447"/>
    <w:rsid w:val="26105170"/>
    <w:rsid w:val="263952BC"/>
    <w:rsid w:val="269909FD"/>
    <w:rsid w:val="279E03A9"/>
    <w:rsid w:val="27BE69B4"/>
    <w:rsid w:val="27C85858"/>
    <w:rsid w:val="27D635F6"/>
    <w:rsid w:val="281C0E4C"/>
    <w:rsid w:val="282C384C"/>
    <w:rsid w:val="283820C1"/>
    <w:rsid w:val="28494B67"/>
    <w:rsid w:val="286B29C0"/>
    <w:rsid w:val="287005CD"/>
    <w:rsid w:val="2876773A"/>
    <w:rsid w:val="289A7777"/>
    <w:rsid w:val="28B167FE"/>
    <w:rsid w:val="28BD6F54"/>
    <w:rsid w:val="28DF57AF"/>
    <w:rsid w:val="28EF0649"/>
    <w:rsid w:val="291235BE"/>
    <w:rsid w:val="291F0508"/>
    <w:rsid w:val="29480176"/>
    <w:rsid w:val="29602183"/>
    <w:rsid w:val="29A47436"/>
    <w:rsid w:val="2A070FB7"/>
    <w:rsid w:val="2A2E3E15"/>
    <w:rsid w:val="2A2F5948"/>
    <w:rsid w:val="2A850EF0"/>
    <w:rsid w:val="2AA35184"/>
    <w:rsid w:val="2B9E7FC8"/>
    <w:rsid w:val="2BA00B21"/>
    <w:rsid w:val="2BBB3A07"/>
    <w:rsid w:val="2BBC32E1"/>
    <w:rsid w:val="2C3768EE"/>
    <w:rsid w:val="2C491F06"/>
    <w:rsid w:val="2C794298"/>
    <w:rsid w:val="2CD954D3"/>
    <w:rsid w:val="2D435597"/>
    <w:rsid w:val="2D651ABE"/>
    <w:rsid w:val="2DAB2B85"/>
    <w:rsid w:val="2DBA67A6"/>
    <w:rsid w:val="2DD03564"/>
    <w:rsid w:val="2DF9330D"/>
    <w:rsid w:val="2E2418FE"/>
    <w:rsid w:val="2E4200BD"/>
    <w:rsid w:val="2E7F7FCF"/>
    <w:rsid w:val="2F1720D2"/>
    <w:rsid w:val="2F697751"/>
    <w:rsid w:val="2F7306AC"/>
    <w:rsid w:val="2F8B3642"/>
    <w:rsid w:val="2FA76993"/>
    <w:rsid w:val="2FAF1F37"/>
    <w:rsid w:val="2FF8219F"/>
    <w:rsid w:val="2FFA3109"/>
    <w:rsid w:val="301B3A0F"/>
    <w:rsid w:val="302A68EC"/>
    <w:rsid w:val="308E5F44"/>
    <w:rsid w:val="30B0385E"/>
    <w:rsid w:val="30C21F50"/>
    <w:rsid w:val="31172473"/>
    <w:rsid w:val="311F021B"/>
    <w:rsid w:val="31412A24"/>
    <w:rsid w:val="31596978"/>
    <w:rsid w:val="316D1AE5"/>
    <w:rsid w:val="319E392E"/>
    <w:rsid w:val="31A462B5"/>
    <w:rsid w:val="31BD5071"/>
    <w:rsid w:val="32653F0C"/>
    <w:rsid w:val="32953785"/>
    <w:rsid w:val="32BF59DF"/>
    <w:rsid w:val="32DA47D2"/>
    <w:rsid w:val="32FF69F4"/>
    <w:rsid w:val="330C4EAE"/>
    <w:rsid w:val="33601B46"/>
    <w:rsid w:val="33714570"/>
    <w:rsid w:val="338342C7"/>
    <w:rsid w:val="33D02E66"/>
    <w:rsid w:val="34165864"/>
    <w:rsid w:val="34233967"/>
    <w:rsid w:val="3434035E"/>
    <w:rsid w:val="347E6F9C"/>
    <w:rsid w:val="34917010"/>
    <w:rsid w:val="349C4BC4"/>
    <w:rsid w:val="34D616D8"/>
    <w:rsid w:val="34E06479"/>
    <w:rsid w:val="350651EE"/>
    <w:rsid w:val="35103416"/>
    <w:rsid w:val="351574A3"/>
    <w:rsid w:val="354B3F67"/>
    <w:rsid w:val="355D4D38"/>
    <w:rsid w:val="3592207D"/>
    <w:rsid w:val="360A2F78"/>
    <w:rsid w:val="36355906"/>
    <w:rsid w:val="36723C5D"/>
    <w:rsid w:val="368C008F"/>
    <w:rsid w:val="368E6CD2"/>
    <w:rsid w:val="36A55DE0"/>
    <w:rsid w:val="36F64E2B"/>
    <w:rsid w:val="37001BE1"/>
    <w:rsid w:val="371B5060"/>
    <w:rsid w:val="374D7F37"/>
    <w:rsid w:val="3772655E"/>
    <w:rsid w:val="377A31AA"/>
    <w:rsid w:val="37834FBC"/>
    <w:rsid w:val="37DE0AE7"/>
    <w:rsid w:val="38194E53"/>
    <w:rsid w:val="3820629B"/>
    <w:rsid w:val="382A0FC4"/>
    <w:rsid w:val="382B498B"/>
    <w:rsid w:val="38AD4365"/>
    <w:rsid w:val="3907572F"/>
    <w:rsid w:val="397A0196"/>
    <w:rsid w:val="39CE3F5A"/>
    <w:rsid w:val="39DC305B"/>
    <w:rsid w:val="39DC420F"/>
    <w:rsid w:val="39FC40D1"/>
    <w:rsid w:val="3A45399A"/>
    <w:rsid w:val="3A991F2C"/>
    <w:rsid w:val="3ABE4A8F"/>
    <w:rsid w:val="3AC069B8"/>
    <w:rsid w:val="3B3B5506"/>
    <w:rsid w:val="3BBF4EFF"/>
    <w:rsid w:val="3C1B08A2"/>
    <w:rsid w:val="3C414629"/>
    <w:rsid w:val="3C681C18"/>
    <w:rsid w:val="3D4640F9"/>
    <w:rsid w:val="3D50788D"/>
    <w:rsid w:val="3DB559E9"/>
    <w:rsid w:val="3DCA6C39"/>
    <w:rsid w:val="3DE03BA2"/>
    <w:rsid w:val="3E06414B"/>
    <w:rsid w:val="3E502AD5"/>
    <w:rsid w:val="3E655720"/>
    <w:rsid w:val="3E8B1FB2"/>
    <w:rsid w:val="3ECA434E"/>
    <w:rsid w:val="3ED46E35"/>
    <w:rsid w:val="3F3F49F4"/>
    <w:rsid w:val="3FAA7701"/>
    <w:rsid w:val="40B03CFF"/>
    <w:rsid w:val="40D1448E"/>
    <w:rsid w:val="40DE6ABE"/>
    <w:rsid w:val="40E37392"/>
    <w:rsid w:val="412B5AE1"/>
    <w:rsid w:val="419C3990"/>
    <w:rsid w:val="41B425DB"/>
    <w:rsid w:val="41CC12CD"/>
    <w:rsid w:val="41E952A1"/>
    <w:rsid w:val="41E9698F"/>
    <w:rsid w:val="41FD496E"/>
    <w:rsid w:val="41FD6B3B"/>
    <w:rsid w:val="41FF2D77"/>
    <w:rsid w:val="42211C4D"/>
    <w:rsid w:val="42465772"/>
    <w:rsid w:val="42781C36"/>
    <w:rsid w:val="428B37A5"/>
    <w:rsid w:val="42AA1E8B"/>
    <w:rsid w:val="42E36CCB"/>
    <w:rsid w:val="43037EF5"/>
    <w:rsid w:val="431B4E6A"/>
    <w:rsid w:val="4331610D"/>
    <w:rsid w:val="43724DEA"/>
    <w:rsid w:val="43822EC7"/>
    <w:rsid w:val="439107FF"/>
    <w:rsid w:val="43B6162D"/>
    <w:rsid w:val="43E63353"/>
    <w:rsid w:val="44402940"/>
    <w:rsid w:val="44513178"/>
    <w:rsid w:val="448371E1"/>
    <w:rsid w:val="449648D1"/>
    <w:rsid w:val="44DB1D66"/>
    <w:rsid w:val="450D4587"/>
    <w:rsid w:val="4565696F"/>
    <w:rsid w:val="456B517C"/>
    <w:rsid w:val="45D10BB0"/>
    <w:rsid w:val="45D347BC"/>
    <w:rsid w:val="46853E3A"/>
    <w:rsid w:val="468A7ACF"/>
    <w:rsid w:val="469A65B3"/>
    <w:rsid w:val="469D4663"/>
    <w:rsid w:val="469E66AC"/>
    <w:rsid w:val="46D46743"/>
    <w:rsid w:val="46EB3CE3"/>
    <w:rsid w:val="47680E90"/>
    <w:rsid w:val="47E14B18"/>
    <w:rsid w:val="481A5446"/>
    <w:rsid w:val="484F30E6"/>
    <w:rsid w:val="489408B0"/>
    <w:rsid w:val="493019D7"/>
    <w:rsid w:val="493D00FA"/>
    <w:rsid w:val="49772965"/>
    <w:rsid w:val="49FC4875"/>
    <w:rsid w:val="4A6E5C87"/>
    <w:rsid w:val="4AA069D5"/>
    <w:rsid w:val="4AA20A4B"/>
    <w:rsid w:val="4ABA6F52"/>
    <w:rsid w:val="4ADC1AE3"/>
    <w:rsid w:val="4AF8025B"/>
    <w:rsid w:val="4B7B7DAF"/>
    <w:rsid w:val="4B9D29BD"/>
    <w:rsid w:val="4BCC79C4"/>
    <w:rsid w:val="4BD07EA3"/>
    <w:rsid w:val="4CAD7BFD"/>
    <w:rsid w:val="4CEE387C"/>
    <w:rsid w:val="4D1D2D31"/>
    <w:rsid w:val="4D2E2B7B"/>
    <w:rsid w:val="4D5D054B"/>
    <w:rsid w:val="4D746C37"/>
    <w:rsid w:val="4D811AE8"/>
    <w:rsid w:val="4D8504C0"/>
    <w:rsid w:val="4D88228C"/>
    <w:rsid w:val="4DA07EEF"/>
    <w:rsid w:val="4E0847DF"/>
    <w:rsid w:val="4E2B69D4"/>
    <w:rsid w:val="4E451F2B"/>
    <w:rsid w:val="4E491EA4"/>
    <w:rsid w:val="4E5A3E96"/>
    <w:rsid w:val="4E716A1B"/>
    <w:rsid w:val="4E8A64EF"/>
    <w:rsid w:val="4E90480D"/>
    <w:rsid w:val="4ED44F9C"/>
    <w:rsid w:val="4F172792"/>
    <w:rsid w:val="4F3A2A60"/>
    <w:rsid w:val="4F620B20"/>
    <w:rsid w:val="4F8F6445"/>
    <w:rsid w:val="50210D71"/>
    <w:rsid w:val="50676F1C"/>
    <w:rsid w:val="50A875E4"/>
    <w:rsid w:val="50D55950"/>
    <w:rsid w:val="50F26E4A"/>
    <w:rsid w:val="5173128A"/>
    <w:rsid w:val="51731B5E"/>
    <w:rsid w:val="517D5E7F"/>
    <w:rsid w:val="51D04CBB"/>
    <w:rsid w:val="52154D19"/>
    <w:rsid w:val="521A547C"/>
    <w:rsid w:val="522E140F"/>
    <w:rsid w:val="52416EAD"/>
    <w:rsid w:val="524C793A"/>
    <w:rsid w:val="52522E68"/>
    <w:rsid w:val="528024FB"/>
    <w:rsid w:val="52C601B8"/>
    <w:rsid w:val="52D516EA"/>
    <w:rsid w:val="52D82E91"/>
    <w:rsid w:val="52FC08F2"/>
    <w:rsid w:val="53391695"/>
    <w:rsid w:val="53475734"/>
    <w:rsid w:val="53554C77"/>
    <w:rsid w:val="539107AA"/>
    <w:rsid w:val="53CA55B8"/>
    <w:rsid w:val="53F6196D"/>
    <w:rsid w:val="546E7189"/>
    <w:rsid w:val="54B54D6E"/>
    <w:rsid w:val="550F7D3E"/>
    <w:rsid w:val="55292492"/>
    <w:rsid w:val="5545785A"/>
    <w:rsid w:val="555408A9"/>
    <w:rsid w:val="5556655C"/>
    <w:rsid w:val="55790F8F"/>
    <w:rsid w:val="558942E1"/>
    <w:rsid w:val="55A16646"/>
    <w:rsid w:val="55AC0926"/>
    <w:rsid w:val="55B633D5"/>
    <w:rsid w:val="56855C04"/>
    <w:rsid w:val="56943826"/>
    <w:rsid w:val="5698059B"/>
    <w:rsid w:val="575A7A25"/>
    <w:rsid w:val="577B0FE1"/>
    <w:rsid w:val="577B69BD"/>
    <w:rsid w:val="579951E3"/>
    <w:rsid w:val="57D13DA7"/>
    <w:rsid w:val="580132D4"/>
    <w:rsid w:val="585C48B5"/>
    <w:rsid w:val="586B6A32"/>
    <w:rsid w:val="587742C9"/>
    <w:rsid w:val="594A300B"/>
    <w:rsid w:val="594F1868"/>
    <w:rsid w:val="594F1B2D"/>
    <w:rsid w:val="599C01FB"/>
    <w:rsid w:val="59C56616"/>
    <w:rsid w:val="59CA63B4"/>
    <w:rsid w:val="5A4A002B"/>
    <w:rsid w:val="5A973B2D"/>
    <w:rsid w:val="5AC16FAC"/>
    <w:rsid w:val="5AD30440"/>
    <w:rsid w:val="5AD92379"/>
    <w:rsid w:val="5AFB7C62"/>
    <w:rsid w:val="5AFD51A0"/>
    <w:rsid w:val="5B3122F6"/>
    <w:rsid w:val="5B57329D"/>
    <w:rsid w:val="5B6A17F7"/>
    <w:rsid w:val="5BE544C8"/>
    <w:rsid w:val="5C0631BB"/>
    <w:rsid w:val="5C2F7698"/>
    <w:rsid w:val="5C491ADD"/>
    <w:rsid w:val="5CA44735"/>
    <w:rsid w:val="5CB564CD"/>
    <w:rsid w:val="5CF827DC"/>
    <w:rsid w:val="5D446A6E"/>
    <w:rsid w:val="5DB3182C"/>
    <w:rsid w:val="5DB52CAF"/>
    <w:rsid w:val="5DB949BF"/>
    <w:rsid w:val="5DD20FA9"/>
    <w:rsid w:val="5DD24E5D"/>
    <w:rsid w:val="5DFB347F"/>
    <w:rsid w:val="5E232516"/>
    <w:rsid w:val="5E427AE5"/>
    <w:rsid w:val="5E5105E9"/>
    <w:rsid w:val="5E6455DA"/>
    <w:rsid w:val="5EE749B5"/>
    <w:rsid w:val="5F137B38"/>
    <w:rsid w:val="5F775FC8"/>
    <w:rsid w:val="5F942FDA"/>
    <w:rsid w:val="5FA32F55"/>
    <w:rsid w:val="5FC15FDD"/>
    <w:rsid w:val="5FD1017A"/>
    <w:rsid w:val="602C37E0"/>
    <w:rsid w:val="60517F12"/>
    <w:rsid w:val="605C4699"/>
    <w:rsid w:val="60B50314"/>
    <w:rsid w:val="60EC7DBC"/>
    <w:rsid w:val="617373C8"/>
    <w:rsid w:val="6199344A"/>
    <w:rsid w:val="619F0DCC"/>
    <w:rsid w:val="61A10BB9"/>
    <w:rsid w:val="61DD0548"/>
    <w:rsid w:val="62C366A0"/>
    <w:rsid w:val="62D817AF"/>
    <w:rsid w:val="63291AF7"/>
    <w:rsid w:val="63406DDA"/>
    <w:rsid w:val="638E0D2E"/>
    <w:rsid w:val="63BD2235"/>
    <w:rsid w:val="63C86B61"/>
    <w:rsid w:val="64104F27"/>
    <w:rsid w:val="6418534C"/>
    <w:rsid w:val="643B19AE"/>
    <w:rsid w:val="64403E42"/>
    <w:rsid w:val="64405E1A"/>
    <w:rsid w:val="6466112E"/>
    <w:rsid w:val="64897A55"/>
    <w:rsid w:val="64A07F8B"/>
    <w:rsid w:val="64A15C74"/>
    <w:rsid w:val="64A27C08"/>
    <w:rsid w:val="64CC201F"/>
    <w:rsid w:val="64DA7699"/>
    <w:rsid w:val="64E046DE"/>
    <w:rsid w:val="65127F2D"/>
    <w:rsid w:val="659F3559"/>
    <w:rsid w:val="65FD1943"/>
    <w:rsid w:val="66435A22"/>
    <w:rsid w:val="66452B66"/>
    <w:rsid w:val="667B7134"/>
    <w:rsid w:val="66830175"/>
    <w:rsid w:val="66AE5D2F"/>
    <w:rsid w:val="671874F1"/>
    <w:rsid w:val="67363BB0"/>
    <w:rsid w:val="673E5EF5"/>
    <w:rsid w:val="67B478B7"/>
    <w:rsid w:val="67B52E73"/>
    <w:rsid w:val="67BF250C"/>
    <w:rsid w:val="680B4A81"/>
    <w:rsid w:val="68764CAD"/>
    <w:rsid w:val="687C65CA"/>
    <w:rsid w:val="68DB6590"/>
    <w:rsid w:val="694E5D13"/>
    <w:rsid w:val="69D01A82"/>
    <w:rsid w:val="6A6E1F8C"/>
    <w:rsid w:val="6A9A68A9"/>
    <w:rsid w:val="6B1102D6"/>
    <w:rsid w:val="6B5F13AB"/>
    <w:rsid w:val="6B64183C"/>
    <w:rsid w:val="6BAD2468"/>
    <w:rsid w:val="6C0646E9"/>
    <w:rsid w:val="6C4A5890"/>
    <w:rsid w:val="6C4E1F68"/>
    <w:rsid w:val="6C5123D4"/>
    <w:rsid w:val="6CEC0CBD"/>
    <w:rsid w:val="6D1E00BF"/>
    <w:rsid w:val="6DBF3A91"/>
    <w:rsid w:val="6DF64569"/>
    <w:rsid w:val="6E245261"/>
    <w:rsid w:val="6E354D6A"/>
    <w:rsid w:val="6E5451BE"/>
    <w:rsid w:val="6ECD0EE2"/>
    <w:rsid w:val="6ECE37AB"/>
    <w:rsid w:val="6EFB7F68"/>
    <w:rsid w:val="6F27511E"/>
    <w:rsid w:val="6F346B32"/>
    <w:rsid w:val="6F8C03BF"/>
    <w:rsid w:val="6FAE1B92"/>
    <w:rsid w:val="6FB0287D"/>
    <w:rsid w:val="6FB26B7C"/>
    <w:rsid w:val="6FC24A2C"/>
    <w:rsid w:val="6FED2124"/>
    <w:rsid w:val="6FFD6FCF"/>
    <w:rsid w:val="70094669"/>
    <w:rsid w:val="70137C0F"/>
    <w:rsid w:val="705B5FDB"/>
    <w:rsid w:val="70906E2E"/>
    <w:rsid w:val="709E433C"/>
    <w:rsid w:val="70DA4A8B"/>
    <w:rsid w:val="70EB7CB3"/>
    <w:rsid w:val="712958B8"/>
    <w:rsid w:val="717B4FE0"/>
    <w:rsid w:val="71B077E3"/>
    <w:rsid w:val="71BD011D"/>
    <w:rsid w:val="71C65D1B"/>
    <w:rsid w:val="71CA611F"/>
    <w:rsid w:val="7200639E"/>
    <w:rsid w:val="723E7E31"/>
    <w:rsid w:val="7274142B"/>
    <w:rsid w:val="72863049"/>
    <w:rsid w:val="72874010"/>
    <w:rsid w:val="728E2856"/>
    <w:rsid w:val="72B104CE"/>
    <w:rsid w:val="72CC0DA8"/>
    <w:rsid w:val="72D47780"/>
    <w:rsid w:val="733F4028"/>
    <w:rsid w:val="73507E23"/>
    <w:rsid w:val="737C578B"/>
    <w:rsid w:val="74466692"/>
    <w:rsid w:val="74473272"/>
    <w:rsid w:val="74A55D48"/>
    <w:rsid w:val="74C70755"/>
    <w:rsid w:val="74DF6386"/>
    <w:rsid w:val="75146BA9"/>
    <w:rsid w:val="751766E8"/>
    <w:rsid w:val="75895260"/>
    <w:rsid w:val="76275B71"/>
    <w:rsid w:val="76334EBF"/>
    <w:rsid w:val="763C5112"/>
    <w:rsid w:val="76433C09"/>
    <w:rsid w:val="768838EB"/>
    <w:rsid w:val="76913DE0"/>
    <w:rsid w:val="76A370E6"/>
    <w:rsid w:val="76D05F52"/>
    <w:rsid w:val="76DE7DF1"/>
    <w:rsid w:val="770E0780"/>
    <w:rsid w:val="77437C26"/>
    <w:rsid w:val="77457AF1"/>
    <w:rsid w:val="77741FFB"/>
    <w:rsid w:val="77A86F6D"/>
    <w:rsid w:val="77BD0544"/>
    <w:rsid w:val="77D311C4"/>
    <w:rsid w:val="77E25534"/>
    <w:rsid w:val="77FE4BF8"/>
    <w:rsid w:val="780D0478"/>
    <w:rsid w:val="788C41F3"/>
    <w:rsid w:val="78DB2711"/>
    <w:rsid w:val="78EB6D4A"/>
    <w:rsid w:val="7904476E"/>
    <w:rsid w:val="79136370"/>
    <w:rsid w:val="79416086"/>
    <w:rsid w:val="79422037"/>
    <w:rsid w:val="795551C5"/>
    <w:rsid w:val="796F62A7"/>
    <w:rsid w:val="79751067"/>
    <w:rsid w:val="79A74F60"/>
    <w:rsid w:val="79BB10CB"/>
    <w:rsid w:val="7A560C0A"/>
    <w:rsid w:val="7A9748A9"/>
    <w:rsid w:val="7AA93CE3"/>
    <w:rsid w:val="7AED122F"/>
    <w:rsid w:val="7B3867F0"/>
    <w:rsid w:val="7B5873A5"/>
    <w:rsid w:val="7B6A5130"/>
    <w:rsid w:val="7B7A71C1"/>
    <w:rsid w:val="7B7C16FF"/>
    <w:rsid w:val="7BD0195D"/>
    <w:rsid w:val="7C0E5F66"/>
    <w:rsid w:val="7C380996"/>
    <w:rsid w:val="7C500572"/>
    <w:rsid w:val="7C9C6094"/>
    <w:rsid w:val="7CC17A3E"/>
    <w:rsid w:val="7D254F0A"/>
    <w:rsid w:val="7D422777"/>
    <w:rsid w:val="7D7062C0"/>
    <w:rsid w:val="7D782718"/>
    <w:rsid w:val="7D9F3364"/>
    <w:rsid w:val="7DA1776C"/>
    <w:rsid w:val="7DB56B06"/>
    <w:rsid w:val="7DC71FDC"/>
    <w:rsid w:val="7DD34175"/>
    <w:rsid w:val="7E4F5AC0"/>
    <w:rsid w:val="7E555498"/>
    <w:rsid w:val="7E65175D"/>
    <w:rsid w:val="7E7A049B"/>
    <w:rsid w:val="7E891395"/>
    <w:rsid w:val="7E933D3D"/>
    <w:rsid w:val="7EDA1DAE"/>
    <w:rsid w:val="7F3379FA"/>
    <w:rsid w:val="7F62208D"/>
    <w:rsid w:val="7F6F2B1D"/>
    <w:rsid w:val="7FF154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4"/>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TextIndent2"/>
    <w:basedOn w:val="1"/>
    <w:qFormat/>
    <w:uiPriority w:val="0"/>
    <w:pPr>
      <w:spacing w:after="120" w:line="480" w:lineRule="auto"/>
      <w:ind w:left="420" w:leftChars="200"/>
      <w:jc w:val="both"/>
      <w:textAlignment w:val="baseline"/>
    </w:pPr>
  </w:style>
  <w:style w:type="paragraph" w:styleId="3">
    <w:name w:val="annotation text"/>
    <w:basedOn w:val="1"/>
    <w:link w:val="21"/>
    <w:qFormat/>
    <w:uiPriority w:val="99"/>
    <w:pPr>
      <w:jc w:val="left"/>
    </w:pPr>
    <w:rPr>
      <w:rFonts w:asciiTheme="minorHAnsi" w:hAnsiTheme="minorHAnsi" w:eastAsiaTheme="minorEastAsia"/>
      <w:sz w:val="24"/>
    </w:rPr>
  </w:style>
  <w:style w:type="paragraph" w:styleId="4">
    <w:name w:val="Body Text"/>
    <w:basedOn w:val="1"/>
    <w:link w:val="22"/>
    <w:qFormat/>
    <w:uiPriority w:val="99"/>
    <w:rPr>
      <w:rFonts w:asciiTheme="minorHAnsi" w:hAnsiTheme="minorHAnsi" w:eastAsiaTheme="minorEastAsia"/>
      <w:sz w:val="24"/>
    </w:rPr>
  </w:style>
  <w:style w:type="paragraph" w:styleId="5">
    <w:name w:val="Body Text Indent"/>
    <w:basedOn w:val="1"/>
    <w:semiHidden/>
    <w:unhideWhenUsed/>
    <w:qFormat/>
    <w:uiPriority w:val="99"/>
    <w:pPr>
      <w:spacing w:after="120"/>
      <w:ind w:left="420" w:leftChars="200"/>
    </w:pPr>
  </w:style>
  <w:style w:type="paragraph" w:styleId="6">
    <w:name w:val="Plain Text"/>
    <w:basedOn w:val="1"/>
    <w:qFormat/>
    <w:uiPriority w:val="0"/>
    <w:rPr>
      <w:rFonts w:ascii="宋体" w:hAnsi="Courier New" w:cs="Courier New"/>
      <w:szCs w:val="21"/>
    </w:rPr>
  </w:style>
  <w:style w:type="paragraph" w:styleId="7">
    <w:name w:val="Balloon Text"/>
    <w:basedOn w:val="1"/>
    <w:link w:val="23"/>
    <w:semiHidden/>
    <w:qFormat/>
    <w:uiPriority w:val="99"/>
    <w:rPr>
      <w:rFonts w:asciiTheme="minorHAnsi" w:hAnsiTheme="minorHAnsi" w:eastAsiaTheme="minorEastAsia" w:cstheme="minorBidi"/>
      <w:sz w:val="16"/>
      <w:szCs w:val="16"/>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semiHidden/>
    <w:qFormat/>
    <w:uiPriority w:val="99"/>
    <w:pPr>
      <w:snapToGrid w:val="0"/>
      <w:jc w:val="left"/>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Body Text First Indent 2"/>
    <w:basedOn w:val="5"/>
    <w:unhideWhenUsed/>
    <w:qFormat/>
    <w:uiPriority w:val="99"/>
    <w:pPr>
      <w:ind w:firstLine="420" w:firstLineChars="200"/>
    </w:pPr>
    <w:rPr>
      <w:rFonts w:ascii="Times New Roman" w:hAnsi="Times New Roman"/>
    </w:rPr>
  </w:style>
  <w:style w:type="character" w:styleId="15">
    <w:name w:val="Strong"/>
    <w:basedOn w:val="14"/>
    <w:qFormat/>
    <w:uiPriority w:val="0"/>
    <w:rPr>
      <w:b/>
    </w:rPr>
  </w:style>
  <w:style w:type="character" w:styleId="16">
    <w:name w:val="page number"/>
    <w:basedOn w:val="14"/>
    <w:qFormat/>
    <w:uiPriority w:val="99"/>
    <w:rPr>
      <w:rFonts w:cs="Times New Roman"/>
    </w:rPr>
  </w:style>
  <w:style w:type="character" w:styleId="17">
    <w:name w:val="Emphasis"/>
    <w:basedOn w:val="14"/>
    <w:qFormat/>
    <w:uiPriority w:val="0"/>
    <w:rPr>
      <w:i/>
      <w:iCs/>
    </w:rPr>
  </w:style>
  <w:style w:type="character" w:styleId="18">
    <w:name w:val="annotation reference"/>
    <w:basedOn w:val="14"/>
    <w:qFormat/>
    <w:uiPriority w:val="99"/>
    <w:rPr>
      <w:rFonts w:cs="Times New Roman"/>
      <w:sz w:val="21"/>
      <w:szCs w:val="21"/>
    </w:rPr>
  </w:style>
  <w:style w:type="character" w:customStyle="1" w:styleId="19">
    <w:name w:val="页眉 Char"/>
    <w:basedOn w:val="14"/>
    <w:link w:val="9"/>
    <w:qFormat/>
    <w:uiPriority w:val="99"/>
    <w:rPr>
      <w:sz w:val="18"/>
      <w:szCs w:val="18"/>
    </w:rPr>
  </w:style>
  <w:style w:type="character" w:customStyle="1" w:styleId="20">
    <w:name w:val="页脚 Char"/>
    <w:basedOn w:val="14"/>
    <w:link w:val="8"/>
    <w:qFormat/>
    <w:uiPriority w:val="99"/>
    <w:rPr>
      <w:sz w:val="18"/>
      <w:szCs w:val="18"/>
    </w:rPr>
  </w:style>
  <w:style w:type="character" w:customStyle="1" w:styleId="21">
    <w:name w:val="批注文字 Char"/>
    <w:basedOn w:val="14"/>
    <w:link w:val="3"/>
    <w:qFormat/>
    <w:locked/>
    <w:uiPriority w:val="99"/>
    <w:rPr>
      <w:rFonts w:cs="Times New Roman"/>
      <w:sz w:val="24"/>
      <w:szCs w:val="24"/>
    </w:rPr>
  </w:style>
  <w:style w:type="character" w:customStyle="1" w:styleId="22">
    <w:name w:val="正文文本 Char"/>
    <w:basedOn w:val="14"/>
    <w:link w:val="4"/>
    <w:qFormat/>
    <w:locked/>
    <w:uiPriority w:val="99"/>
    <w:rPr>
      <w:rFonts w:cs="Times New Roman"/>
      <w:sz w:val="24"/>
      <w:szCs w:val="24"/>
    </w:rPr>
  </w:style>
  <w:style w:type="character" w:customStyle="1" w:styleId="23">
    <w:name w:val="批注框文本 Char"/>
    <w:basedOn w:val="14"/>
    <w:link w:val="7"/>
    <w:semiHidden/>
    <w:qFormat/>
    <w:uiPriority w:val="99"/>
    <w:rPr>
      <w:sz w:val="16"/>
      <w:szCs w:val="16"/>
    </w:rPr>
  </w:style>
  <w:style w:type="character" w:customStyle="1" w:styleId="24">
    <w:name w:val="正文文本 Char1"/>
    <w:basedOn w:val="14"/>
    <w:semiHidden/>
    <w:qFormat/>
    <w:uiPriority w:val="99"/>
    <w:rPr>
      <w:rFonts w:ascii="Times New Roman" w:hAnsi="Times New Roman" w:eastAsia="宋体" w:cs="Times New Roman"/>
      <w:szCs w:val="24"/>
    </w:rPr>
  </w:style>
  <w:style w:type="character" w:customStyle="1" w:styleId="25">
    <w:name w:val="批注文字 Char1"/>
    <w:basedOn w:val="14"/>
    <w:semiHidden/>
    <w:qFormat/>
    <w:uiPriority w:val="99"/>
    <w:rPr>
      <w:rFonts w:ascii="Times New Roman" w:hAnsi="Times New Roman" w:eastAsia="宋体" w:cs="Times New Roman"/>
      <w:szCs w:val="24"/>
    </w:rPr>
  </w:style>
  <w:style w:type="character" w:customStyle="1" w:styleId="26">
    <w:name w:val="批注框文本 Char1"/>
    <w:basedOn w:val="14"/>
    <w:semiHidden/>
    <w:qFormat/>
    <w:uiPriority w:val="99"/>
    <w:rPr>
      <w:rFonts w:ascii="Times New Roman" w:hAnsi="Times New Roman" w:eastAsia="宋体" w:cs="Times New Roman"/>
      <w:sz w:val="18"/>
      <w:szCs w:val="18"/>
    </w:rPr>
  </w:style>
  <w:style w:type="paragraph" w:styleId="27">
    <w:name w:val="List Paragraph"/>
    <w:basedOn w:val="1"/>
    <w:qFormat/>
    <w:uiPriority w:val="99"/>
    <w:pPr>
      <w:ind w:firstLine="420" w:firstLineChars="200"/>
    </w:pPr>
  </w:style>
  <w:style w:type="paragraph" w:customStyle="1" w:styleId="28">
    <w:name w:val="列出段落1"/>
    <w:basedOn w:val="1"/>
    <w:qFormat/>
    <w:uiPriority w:val="99"/>
    <w:pPr>
      <w:ind w:firstLine="420" w:firstLineChars="200"/>
    </w:pPr>
  </w:style>
  <w:style w:type="character" w:customStyle="1" w:styleId="29">
    <w:name w:val="font51"/>
    <w:qFormat/>
    <w:uiPriority w:val="99"/>
    <w:rPr>
      <w:rFonts w:ascii="宋体" w:hAnsi="宋体" w:eastAsia="宋体"/>
      <w:color w:val="000000"/>
      <w:sz w:val="20"/>
      <w:u w:val="none"/>
    </w:rPr>
  </w:style>
  <w:style w:type="character" w:customStyle="1" w:styleId="30">
    <w:name w:val="font101"/>
    <w:qFormat/>
    <w:uiPriority w:val="99"/>
    <w:rPr>
      <w:rFonts w:ascii="仿宋_GB2312" w:eastAsia="仿宋_GB2312"/>
      <w:color w:val="000000"/>
      <w:sz w:val="20"/>
      <w:u w:val="none"/>
    </w:rPr>
  </w:style>
  <w:style w:type="character" w:customStyle="1" w:styleId="31">
    <w:name w:val="font31"/>
    <w:qFormat/>
    <w:uiPriority w:val="99"/>
    <w:rPr>
      <w:rFonts w:ascii="Times New Roman" w:hAnsi="Times New Roman"/>
      <w:color w:val="000000"/>
      <w:sz w:val="20"/>
      <w:u w:val="none"/>
    </w:rPr>
  </w:style>
  <w:style w:type="character" w:customStyle="1" w:styleId="32">
    <w:name w:val="font01"/>
    <w:qFormat/>
    <w:uiPriority w:val="99"/>
    <w:rPr>
      <w:rFonts w:ascii="Times New Roman" w:hAnsi="Times New Roman"/>
      <w:color w:val="000000"/>
      <w:sz w:val="20"/>
      <w:u w:val="none"/>
    </w:rPr>
  </w:style>
  <w:style w:type="paragraph" w:customStyle="1" w:styleId="33">
    <w:name w:val="PlainText"/>
    <w:basedOn w:val="1"/>
    <w:qFormat/>
    <w:uiPriority w:val="0"/>
    <w:pPr>
      <w:spacing w:line="240" w:lineRule="auto"/>
      <w:jc w:val="both"/>
      <w:textAlignment w:val="baseline"/>
    </w:pPr>
    <w:rPr>
      <w:rFonts w:ascii="宋体" w:hAnsi="Courier New"/>
      <w:kern w:val="2"/>
      <w:sz w:val="21"/>
      <w:szCs w:val="21"/>
      <w:lang w:val="en-US" w:eastAsia="zh-CN" w:bidi="ar-SA"/>
    </w:rPr>
  </w:style>
  <w:style w:type="character" w:customStyle="1" w:styleId="34">
    <w:name w:val="NormalCharacter"/>
    <w:link w:val="1"/>
    <w:semiHidden/>
    <w:qFormat/>
    <w:uiPriority w:val="0"/>
    <w:rPr>
      <w:rFonts w:ascii="Times New Roman" w:hAnsi="Times New Roman" w:eastAsia="宋体" w:cs="Times New Roman"/>
      <w:kern w:val="2"/>
      <w:sz w:val="21"/>
      <w:szCs w:val="24"/>
      <w:lang w:val="en-US" w:eastAsia="zh-CN" w:bidi="ar-SA"/>
    </w:rPr>
  </w:style>
  <w:style w:type="character" w:customStyle="1" w:styleId="35">
    <w:name w:val="15"/>
    <w:basedOn w:val="14"/>
    <w:qFormat/>
    <w:uiPriority w:val="0"/>
    <w:rPr>
      <w:rFonts w:hint="default" w:ascii="Times New Roman" w:hAnsi="Times New Roman" w:eastAsia="宋体" w:cs="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211246-EB58-4AC5-A2B6-960889E0ADF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6866</Words>
  <Characters>7263</Characters>
  <Lines>78</Lines>
  <Paragraphs>22</Paragraphs>
  <TotalTime>4</TotalTime>
  <ScaleCrop>false</ScaleCrop>
  <LinksUpToDate>false</LinksUpToDate>
  <CharactersWithSpaces>7408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2020-10-10T00:47:00Z</dcterms:created>
  <dc:creator>Lenovo</dc:creator>
  <cp:lastModifiedBy>茜茜</cp:lastModifiedBy>
  <dcterms:modified xsi:type="dcterms:W3CDTF">2023-10-13T03:38:47Z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7D5BD9ACFBA14D7DA98A8B29140DBF09_13</vt:lpwstr>
  </property>
</Properties>
</file>