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0" w:name="_GoBack"/>
      <w:bookmarkEnd w:id="0"/>
    </w:p>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泉湖</w:t>
      </w:r>
      <w:r>
        <w:rPr>
          <w:rFonts w:hint="eastAsia" w:ascii="仿宋_GB2312" w:eastAsia="仿宋_GB2312"/>
          <w:sz w:val="32"/>
          <w:szCs w:val="32"/>
        </w:rPr>
        <w:t xml:space="preserve">镇人民政府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916001</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17</w:t>
      </w:r>
      <w:r>
        <w:rPr>
          <w:rFonts w:hint="eastAsia" w:ascii="仿宋_GB2312" w:eastAsia="仿宋_GB2312"/>
          <w:sz w:val="32"/>
          <w:szCs w:val="32"/>
        </w:rPr>
        <w:t xml:space="preserve"> 日</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0"/>
        <w:jc w:val="both"/>
        <w:rPr>
          <w:rFonts w:hint="eastAsia" w:ascii="宋体" w:hAnsi="宋体" w:eastAsia="宋体" w:cs="宋体"/>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center"/>
        <w:rPr>
          <w:rFonts w:hint="eastAsia" w:ascii="仿宋" w:hAnsi="仿宋" w:eastAsia="仿宋" w:cs="仿宋"/>
          <w:b/>
          <w:bCs/>
          <w:sz w:val="36"/>
          <w:szCs w:val="36"/>
        </w:rPr>
      </w:pPr>
      <w:r>
        <w:rPr>
          <w:rFonts w:hint="eastAsia" w:ascii="仿宋" w:hAnsi="仿宋" w:eastAsia="仿宋" w:cs="仿宋"/>
          <w:b/>
          <w:bCs/>
          <w:i w:val="0"/>
          <w:caps w:val="0"/>
          <w:color w:val="000000"/>
          <w:spacing w:val="0"/>
          <w:kern w:val="0"/>
          <w:sz w:val="36"/>
          <w:szCs w:val="36"/>
          <w:lang w:val="en-US" w:eastAsia="zh-CN"/>
        </w:rPr>
        <w:t>泉湖镇2022年部门整体支出绩效自评报告</w:t>
      </w:r>
    </w:p>
    <w:p>
      <w:pPr>
        <w:keepNext w:val="0"/>
        <w:keepLines w:val="0"/>
        <w:pageBreakBefore w:val="0"/>
        <w:widowControl w:val="0"/>
        <w:kinsoku/>
        <w:wordWrap/>
        <w:overflowPunct/>
        <w:topLinePunct w:val="0"/>
        <w:autoSpaceDE/>
        <w:autoSpaceDN/>
        <w:bidi w:val="0"/>
        <w:adjustRightInd/>
        <w:snapToGrid/>
        <w:ind w:firstLine="560" w:firstLineChars="200"/>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cs="仿宋"/>
          <w:b w:val="0"/>
          <w:i w:val="0"/>
          <w:caps w:val="0"/>
          <w:color w:val="000000"/>
          <w:spacing w:val="0"/>
          <w:kern w:val="0"/>
          <w:sz w:val="28"/>
          <w:szCs w:val="28"/>
          <w:lang w:val="en-US" w:eastAsia="zh-CN"/>
        </w:rPr>
        <w:t> </w:t>
      </w:r>
      <w:r>
        <w:rPr>
          <w:rFonts w:hint="eastAsia" w:ascii="仿宋" w:hAnsi="仿宋" w:eastAsia="仿宋"/>
          <w:b w:val="0"/>
          <w:bCs/>
          <w:color w:val="383838"/>
          <w:sz w:val="32"/>
          <w:shd w:val="clear" w:color="auto" w:fill="FFFFFF"/>
          <w:lang w:val="en-US" w:eastAsia="zh-CN"/>
        </w:rPr>
        <w:t>为进一步规范财政资金管理，强化部门责任意识，切实提高财政资金使用效益，根据《衡南县财政局关于开展2022年度财政资金绩效自评工作的通知》（清财绩[2023]53号）</w:t>
      </w:r>
    </w:p>
    <w:p>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要求，我镇对2022年度本单位财政性资金整体使用情况进行了绩效自评，现将具体绩效评价情况报告如下：</w:t>
      </w:r>
    </w:p>
    <w:p>
      <w:pPr>
        <w:keepNext w:val="0"/>
        <w:keepLines w:val="0"/>
        <w:pageBreakBefore w:val="0"/>
        <w:widowControl w:val="0"/>
        <w:numPr>
          <w:ilvl w:val="0"/>
          <w:numId w:val="1"/>
        </w:numPr>
        <w:kinsoku/>
        <w:wordWrap/>
        <w:overflowPunct/>
        <w:topLinePunct w:val="0"/>
        <w:autoSpaceDE/>
        <w:bidi w:val="0"/>
        <w:adjustRightInd/>
        <w:snapToGrid/>
        <w:spacing w:line="600" w:lineRule="exact"/>
        <w:ind w:left="0" w:leftChars="0" w:firstLine="640" w:firstLineChars="200"/>
        <w:textAlignment w:val="auto"/>
        <w:rPr>
          <w:rFonts w:hint="eastAsia" w:ascii="黑体" w:eastAsia="黑体"/>
          <w:sz w:val="32"/>
          <w:szCs w:val="32"/>
        </w:rPr>
      </w:pPr>
      <w:r>
        <w:rPr>
          <w:rFonts w:hint="eastAsia" w:ascii="黑体" w:eastAsia="黑体"/>
          <w:sz w:val="32"/>
          <w:szCs w:val="32"/>
          <w:lang w:val="en-US" w:eastAsia="zh-CN"/>
        </w:rPr>
        <w:t>单位</w:t>
      </w:r>
      <w:r>
        <w:rPr>
          <w:rFonts w:hint="eastAsia" w:ascii="黑体" w:eastAsia="黑体"/>
          <w:sz w:val="32"/>
          <w:szCs w:val="32"/>
        </w:rPr>
        <w:t>基本情况</w:t>
      </w:r>
    </w:p>
    <w:p>
      <w:pPr>
        <w:keepNext w:val="0"/>
        <w:keepLines w:val="0"/>
        <w:pageBreakBefore w:val="0"/>
        <w:widowControl w:val="0"/>
        <w:numPr>
          <w:ilvl w:val="0"/>
          <w:numId w:val="0"/>
        </w:numPr>
        <w:shd w:val="solid" w:color="FFFFFF" w:fill="auto"/>
        <w:kinsoku/>
        <w:wordWrap/>
        <w:overflowPunct/>
        <w:topLinePunct w:val="0"/>
        <w:autoSpaceDE/>
        <w:autoSpaceDN w:val="0"/>
        <w:bidi w:val="0"/>
        <w:adjustRightInd/>
        <w:snapToGrid/>
        <w:spacing w:line="240" w:lineRule="auto"/>
        <w:ind w:left="0" w:leftChars="0" w:firstLine="640" w:firstLineChars="200"/>
        <w:textAlignment w:val="auto"/>
        <w:rPr>
          <w:rFonts w:hint="eastAsia" w:ascii="仿宋" w:hAnsi="仿宋" w:eastAsia="仿宋"/>
          <w:b w:val="0"/>
          <w:bCs/>
          <w:color w:val="383838"/>
          <w:sz w:val="32"/>
          <w:shd w:val="clear" w:color="auto" w:fill="FFFFFF"/>
          <w:lang w:eastAsia="zh-CN"/>
        </w:rPr>
      </w:pPr>
      <w:r>
        <w:rPr>
          <w:rFonts w:hint="eastAsia" w:ascii="仿宋" w:hAnsi="仿宋" w:eastAsia="仿宋"/>
          <w:b w:val="0"/>
          <w:bCs/>
          <w:color w:val="383838"/>
          <w:sz w:val="32"/>
          <w:shd w:val="clear" w:color="auto" w:fill="FFFFFF"/>
          <w:lang w:val="en-US" w:eastAsia="zh-CN"/>
        </w:rPr>
        <w:t>泉湖镇人民政府</w:t>
      </w:r>
      <w:r>
        <w:rPr>
          <w:rFonts w:hint="eastAsia" w:ascii="仿宋" w:hAnsi="仿宋" w:eastAsia="仿宋"/>
          <w:b w:val="0"/>
          <w:bCs/>
          <w:color w:val="383838"/>
          <w:sz w:val="32"/>
          <w:shd w:val="clear" w:color="auto" w:fill="FFFFFF"/>
          <w:lang w:eastAsia="zh-CN"/>
        </w:rPr>
        <w:t>为全额财政拨款单位，纳入财政会计集中核算和国库集中支付体系，财务制度执行《预算法》、《行政单位会计制度》。</w:t>
      </w:r>
    </w:p>
    <w:p>
      <w:pPr>
        <w:keepNext w:val="0"/>
        <w:keepLines w:val="0"/>
        <w:pageBreakBefore w:val="0"/>
        <w:widowControl w:val="0"/>
        <w:numPr>
          <w:ilvl w:val="0"/>
          <w:numId w:val="2"/>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部门职能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 xml:space="preserve"> 1.执行上级国家行政机关的决定、命令和国家制定的法令、法规，接受同级党委的领导，执行本级人民代表大会的各项决议，并报告执行决议、决定和命令的情况</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2.制定并落实本行政区域的经济计划和措施，促进产业结构调整及其他经济保持平衡协调发展，全面提高人民群众的生活水平和生活质量</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3.承担国有资产、集体资产管理、监督及增值保值责任；保护公民私人所有合法财产，保障集体经济组织应有的自主权；监督企业和各种经济凉亭、个体户认真执行国家的法律、法令和政策，履行经济合同</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4. 开展社会主义民主和法制的宣传教育，保障公民的权利；制定社会治安综合治理工作规划并组织实施；处理人民来信来访，调解民间纠纷，打击违法犯罪，维护社会稳定</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rPr>
      </w:pPr>
      <w:r>
        <w:rPr>
          <w:rFonts w:hint="eastAsia" w:ascii="仿宋" w:hAnsi="仿宋" w:eastAsia="仿宋"/>
          <w:b w:val="0"/>
          <w:bCs/>
          <w:color w:val="383838"/>
          <w:sz w:val="32"/>
          <w:shd w:val="clear" w:color="auto" w:fill="FFFFFF"/>
          <w:lang w:val="en-US"/>
        </w:rPr>
        <w:t>5. 制定社会各项事业发展计划，发展教育、卫生、科技、民政、广播电视、文化事业；组织实施义务教育和其他各类教育；加强计划生育工作；推进社会保障、社会福利事业和养老保险工作；做好劳动管理、科普、老龄等工作</w:t>
      </w:r>
      <w:r>
        <w:rPr>
          <w:rFonts w:hint="eastAsia" w:ascii="仿宋" w:hAnsi="仿宋" w:eastAsia="仿宋"/>
          <w:b w:val="0"/>
          <w:bCs/>
          <w:color w:val="383838"/>
          <w:sz w:val="32"/>
          <w:shd w:val="clear" w:color="auto" w:fill="FFFFFF"/>
          <w:lang w:val="en-US" w:eastAsia="zh-CN"/>
        </w:rPr>
        <w:t>。</w:t>
      </w:r>
      <w:r>
        <w:rPr>
          <w:rFonts w:hint="eastAsia" w:ascii="仿宋" w:hAnsi="仿宋" w:eastAsia="仿宋"/>
          <w:b w:val="0"/>
          <w:bCs/>
          <w:color w:val="383838"/>
          <w:sz w:val="32"/>
          <w:shd w:val="clear" w:color="auto" w:fill="FFFFFF"/>
          <w:lang w:val="en-US"/>
        </w:rPr>
        <w:t xml:space="preserve">   </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6.加强镇级财政的监督和管理，按计划组织、管理财政收入和支出，执行国家有关财经纪律和政策，保证国家财政收入的完成；做好统计工作</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7.指导、支持、帮助村民委员会的组织建设和业务建设，促进村民委员会自治</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8.制定和组织实施镇村建设规划；加强公用设施、水利建设和管理以及房屋土地管理和环境综合整治工作、保护和改善生活环境、生态环境</w:t>
      </w:r>
      <w:r>
        <w:rPr>
          <w:rFonts w:hint="eastAsia" w:ascii="仿宋" w:hAnsi="仿宋" w:eastAsia="仿宋"/>
          <w:b w:val="0"/>
          <w:bCs/>
          <w:color w:val="383838"/>
          <w:sz w:val="32"/>
          <w:shd w:val="clear" w:color="auto" w:fill="FFFFFF"/>
          <w:lang w:val="en-US" w:eastAsia="zh-CN"/>
        </w:rPr>
        <w:t>。</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0" w:firstLineChars="200"/>
        <w:textAlignment w:val="auto"/>
        <w:rPr>
          <w:rFonts w:hint="default" w:ascii="仿宋" w:hAnsi="仿宋" w:eastAsia="仿宋"/>
          <w:b/>
          <w:bCs w:val="0"/>
          <w:color w:val="383838"/>
          <w:sz w:val="32"/>
          <w:shd w:val="clear" w:color="auto" w:fill="FFFFFF"/>
          <w:lang w:val="en-US" w:eastAsia="zh-CN"/>
        </w:rPr>
      </w:pPr>
      <w:r>
        <w:rPr>
          <w:rFonts w:hint="eastAsia" w:ascii="仿宋" w:hAnsi="仿宋" w:eastAsia="仿宋"/>
          <w:b w:val="0"/>
          <w:bCs/>
          <w:color w:val="383838"/>
          <w:sz w:val="32"/>
          <w:shd w:val="clear" w:color="auto" w:fill="FFFFFF"/>
          <w:lang w:val="en-US"/>
        </w:rPr>
        <w:t>9.承办上级人民政府交办的其他事项。</w:t>
      </w:r>
    </w:p>
    <w:p>
      <w:pPr>
        <w:keepNext w:val="0"/>
        <w:keepLines w:val="0"/>
        <w:pageBreakBefore w:val="0"/>
        <w:widowControl w:val="0"/>
        <w:numPr>
          <w:ilvl w:val="0"/>
          <w:numId w:val="0"/>
        </w:numPr>
        <w:kinsoku/>
        <w:wordWrap/>
        <w:overflowPunct/>
        <w:topLinePunct w:val="0"/>
        <w:autoSpaceDE/>
        <w:bidi w:val="0"/>
        <w:adjustRightInd/>
        <w:snapToGrid/>
        <w:spacing w:line="600" w:lineRule="exact"/>
        <w:ind w:left="0" w:leftChars="0" w:firstLine="643" w:firstLineChars="200"/>
        <w:textAlignment w:val="auto"/>
        <w:rPr>
          <w:rFonts w:hint="eastAsia" w:ascii="仿宋" w:hAnsi="仿宋" w:eastAsia="仿宋"/>
          <w:b/>
          <w:bCs w:val="0"/>
          <w:color w:val="383838"/>
          <w:sz w:val="32"/>
          <w:shd w:val="clear" w:color="auto" w:fill="FFFFFF"/>
          <w:lang w:val="en-US" w:eastAsia="zh-CN"/>
        </w:rPr>
      </w:pPr>
      <w:r>
        <w:rPr>
          <w:rFonts w:hint="eastAsia" w:ascii="仿宋" w:hAnsi="仿宋" w:eastAsia="仿宋"/>
          <w:b/>
          <w:bCs w:val="0"/>
          <w:color w:val="383838"/>
          <w:sz w:val="32"/>
          <w:shd w:val="clear" w:color="auto" w:fill="FFFFFF"/>
          <w:lang w:val="en-US" w:eastAsia="zh-CN"/>
        </w:rPr>
        <w:t>（二）基本情况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本镇</w:t>
      </w:r>
      <w:r>
        <w:rPr>
          <w:rFonts w:hint="eastAsia" w:ascii="仿宋" w:hAnsi="仿宋" w:eastAsia="仿宋"/>
          <w:b w:val="0"/>
          <w:bCs/>
          <w:color w:val="383838"/>
          <w:sz w:val="32"/>
          <w:shd w:val="clear" w:color="auto" w:fill="FFFFFF"/>
          <w:lang w:eastAsia="zh-CN"/>
        </w:rPr>
        <w:t>总面积96平方公里，辖有16个村，2个居委会，372个村民小组，共计121</w:t>
      </w:r>
      <w:r>
        <w:rPr>
          <w:rFonts w:hint="eastAsia" w:ascii="仿宋" w:hAnsi="仿宋" w:eastAsia="仿宋"/>
          <w:b w:val="0"/>
          <w:bCs/>
          <w:color w:val="383838"/>
          <w:sz w:val="32"/>
          <w:shd w:val="clear" w:color="auto" w:fill="FFFFFF"/>
          <w:lang w:val="en-US" w:eastAsia="zh-CN"/>
        </w:rPr>
        <w:t>35</w:t>
      </w:r>
      <w:r>
        <w:rPr>
          <w:rFonts w:hint="eastAsia" w:ascii="仿宋" w:hAnsi="仿宋" w:eastAsia="仿宋"/>
          <w:b w:val="0"/>
          <w:bCs/>
          <w:color w:val="383838"/>
          <w:sz w:val="32"/>
          <w:shd w:val="clear" w:color="auto" w:fill="FFFFFF"/>
          <w:lang w:eastAsia="zh-CN"/>
        </w:rPr>
        <w:t>户，</w:t>
      </w:r>
      <w:r>
        <w:rPr>
          <w:rFonts w:hint="eastAsia" w:ascii="仿宋" w:hAnsi="仿宋" w:eastAsia="仿宋"/>
          <w:b w:val="0"/>
          <w:bCs/>
          <w:color w:val="383838"/>
          <w:sz w:val="32"/>
          <w:shd w:val="clear" w:color="auto" w:fill="FFFFFF"/>
          <w:lang w:val="en-US" w:eastAsia="zh-CN"/>
        </w:rPr>
        <w:t>总人口</w:t>
      </w:r>
      <w:r>
        <w:rPr>
          <w:rFonts w:hint="eastAsia" w:ascii="仿宋" w:hAnsi="仿宋" w:eastAsia="仿宋"/>
          <w:b w:val="0"/>
          <w:bCs/>
          <w:color w:val="383838"/>
          <w:sz w:val="32"/>
          <w:shd w:val="clear" w:color="auto" w:fill="FFFFFF"/>
          <w:lang w:eastAsia="zh-CN"/>
        </w:rPr>
        <w:t>45</w:t>
      </w:r>
      <w:r>
        <w:rPr>
          <w:rFonts w:hint="eastAsia" w:ascii="仿宋" w:hAnsi="仿宋" w:eastAsia="仿宋"/>
          <w:b w:val="0"/>
          <w:bCs/>
          <w:color w:val="383838"/>
          <w:sz w:val="32"/>
          <w:shd w:val="clear" w:color="auto" w:fill="FFFFFF"/>
          <w:lang w:val="en-US" w:eastAsia="zh-CN"/>
        </w:rPr>
        <w:t>719</w:t>
      </w:r>
      <w:r>
        <w:rPr>
          <w:rFonts w:hint="eastAsia" w:ascii="仿宋" w:hAnsi="仿宋" w:eastAsia="仿宋"/>
          <w:b w:val="0"/>
          <w:bCs/>
          <w:color w:val="383838"/>
          <w:sz w:val="32"/>
          <w:shd w:val="clear" w:color="auto" w:fill="FFFFFF"/>
          <w:lang w:eastAsia="zh-CN"/>
        </w:rPr>
        <w:t>人。政府机关现有在编财政供养人员</w:t>
      </w:r>
      <w:r>
        <w:rPr>
          <w:rFonts w:hint="eastAsia" w:ascii="仿宋" w:hAnsi="仿宋" w:eastAsia="仿宋"/>
          <w:b w:val="0"/>
          <w:bCs/>
          <w:color w:val="383838"/>
          <w:sz w:val="32"/>
          <w:shd w:val="clear" w:color="auto" w:fill="FFFFFF"/>
          <w:lang w:val="en-US" w:eastAsia="zh-CN"/>
        </w:rPr>
        <w:t>85</w:t>
      </w:r>
      <w:r>
        <w:rPr>
          <w:rFonts w:hint="eastAsia" w:ascii="仿宋" w:hAnsi="仿宋" w:eastAsia="仿宋"/>
          <w:b w:val="0"/>
          <w:bCs/>
          <w:color w:val="383838"/>
          <w:sz w:val="32"/>
          <w:shd w:val="clear" w:color="auto" w:fill="FFFFFF"/>
          <w:lang w:eastAsia="zh-CN"/>
        </w:rPr>
        <w:t>人（</w:t>
      </w:r>
      <w:r>
        <w:rPr>
          <w:rFonts w:hint="eastAsia" w:ascii="仿宋" w:hAnsi="仿宋" w:eastAsia="仿宋"/>
          <w:b w:val="0"/>
          <w:bCs/>
          <w:color w:val="383838"/>
          <w:sz w:val="32"/>
          <w:shd w:val="clear" w:color="auto" w:fill="FFFFFF"/>
          <w:lang w:val="en-US" w:eastAsia="zh-CN"/>
        </w:rPr>
        <w:t>在职编制人员83人，临骋人员2人）</w:t>
      </w:r>
      <w:r>
        <w:rPr>
          <w:rFonts w:hint="eastAsia" w:ascii="仿宋" w:hAnsi="仿宋" w:eastAsia="仿宋"/>
          <w:b w:val="0"/>
          <w:bCs/>
          <w:color w:val="383838"/>
          <w:sz w:val="32"/>
          <w:shd w:val="clear" w:color="auto" w:fill="FFFFFF"/>
          <w:lang w:eastAsia="zh-CN"/>
        </w:rPr>
        <w:t>。政府公务用车1辆。</w:t>
      </w:r>
      <w:r>
        <w:rPr>
          <w:rFonts w:hint="eastAsia" w:ascii="仿宋" w:hAnsi="仿宋" w:eastAsia="仿宋"/>
          <w:b w:val="0"/>
          <w:bCs/>
          <w:color w:val="383838"/>
          <w:sz w:val="32"/>
          <w:shd w:val="clear" w:color="auto" w:fill="FFFFFF"/>
          <w:lang w:val="en-US" w:eastAsia="zh-CN"/>
        </w:rPr>
        <w:t>本单位分政府机关及三中心一大队一站。</w:t>
      </w:r>
    </w:p>
    <w:p>
      <w:pPr>
        <w:numPr>
          <w:ilvl w:val="0"/>
          <w:numId w:val="0"/>
        </w:numPr>
        <w:spacing w:line="600" w:lineRule="exact"/>
        <w:ind w:left="0" w:leftChars="0" w:firstLine="643" w:firstLineChars="200"/>
        <w:rPr>
          <w:rFonts w:hint="eastAsia" w:ascii="仿宋" w:hAnsi="仿宋" w:eastAsia="仿宋" w:cs="Times New Roman"/>
          <w:b/>
          <w:bCs w:val="0"/>
          <w:color w:val="383838"/>
          <w:sz w:val="32"/>
          <w:shd w:val="clear" w:color="auto" w:fill="FFFFFF"/>
          <w:lang w:eastAsia="zh-CN"/>
        </w:rPr>
      </w:pPr>
      <w:r>
        <w:rPr>
          <w:rFonts w:hint="eastAsia" w:ascii="仿宋" w:hAnsi="仿宋" w:eastAsia="仿宋" w:cs="Times New Roman"/>
          <w:b/>
          <w:bCs w:val="0"/>
          <w:color w:val="383838"/>
          <w:sz w:val="32"/>
          <w:shd w:val="clear" w:color="auto" w:fill="FFFFFF"/>
          <w:lang w:eastAsia="zh-CN"/>
        </w:rPr>
        <w:t>（</w:t>
      </w:r>
      <w:r>
        <w:rPr>
          <w:rFonts w:hint="eastAsia" w:ascii="仿宋" w:hAnsi="仿宋" w:eastAsia="仿宋" w:cs="Times New Roman"/>
          <w:b/>
          <w:bCs w:val="0"/>
          <w:color w:val="383838"/>
          <w:sz w:val="32"/>
          <w:shd w:val="clear" w:color="auto" w:fill="FFFFFF"/>
          <w:lang w:val="en-US" w:eastAsia="zh-CN"/>
        </w:rPr>
        <w:t>三）</w:t>
      </w:r>
      <w:r>
        <w:rPr>
          <w:rFonts w:hint="eastAsia" w:ascii="仿宋" w:hAnsi="仿宋" w:eastAsia="仿宋" w:cs="Times New Roman"/>
          <w:b/>
          <w:bCs w:val="0"/>
          <w:color w:val="383838"/>
          <w:sz w:val="32"/>
          <w:shd w:val="clear" w:color="auto" w:fill="FFFFFF"/>
          <w:lang w:eastAsia="zh-CN"/>
        </w:rPr>
        <w:t>部门主要工作任务及实施情况。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b w:val="0"/>
          <w:bCs/>
          <w:color w:val="383838"/>
          <w:sz w:val="32"/>
          <w:shd w:val="clear" w:color="auto" w:fill="FFFFFF"/>
          <w:lang w:val="en-US" w:eastAsia="zh-CN"/>
        </w:rPr>
      </w:pPr>
      <w:r>
        <w:rPr>
          <w:rFonts w:hint="eastAsia" w:ascii="仿宋" w:hAnsi="仿宋" w:eastAsia="仿宋"/>
          <w:b w:val="0"/>
          <w:bCs/>
          <w:color w:val="383838"/>
          <w:sz w:val="32"/>
          <w:shd w:val="clear" w:color="auto" w:fill="FFFFFF"/>
          <w:lang w:val="en-US" w:eastAsia="zh-CN"/>
        </w:rPr>
        <w:t>全镇较好地完成了2022年初设定的工作任务，各项专项项目得到有序开展。到年底项目实施已完成100%，资金拨付报账到位率为90%，项目验收完成率为100%。</w:t>
      </w:r>
    </w:p>
    <w:p>
      <w:pPr>
        <w:spacing w:line="600" w:lineRule="exact"/>
        <w:ind w:firstLine="640" w:firstLineChars="200"/>
        <w:rPr>
          <w:rFonts w:hint="eastAsia" w:ascii="黑体" w:eastAsia="黑体"/>
          <w:sz w:val="32"/>
          <w:szCs w:val="32"/>
        </w:rPr>
      </w:pPr>
      <w:r>
        <w:rPr>
          <w:rFonts w:hint="eastAsia" w:ascii="黑体" w:eastAsia="黑体"/>
          <w:sz w:val="32"/>
          <w:szCs w:val="32"/>
        </w:rPr>
        <w:t>二、部门整体支出管理及使用情况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（一）部门预算决算收支情况</w:t>
      </w:r>
    </w:p>
    <w:p>
      <w:pPr>
        <w:spacing w:line="600" w:lineRule="exact"/>
        <w:ind w:firstLine="640" w:firstLineChars="200"/>
        <w:rPr>
          <w:rFonts w:ascii="仿宋" w:hAnsi="仿宋" w:eastAsia="仿宋" w:cs="仿宋"/>
          <w:color w:val="333333"/>
          <w:sz w:val="32"/>
          <w:szCs w:val="32"/>
        </w:rPr>
      </w:pPr>
      <w:r>
        <w:rPr>
          <w:rFonts w:hint="eastAsia" w:ascii="仿宋" w:hAnsi="仿宋" w:eastAsia="仿宋" w:cs="仿宋"/>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22</w:t>
      </w:r>
      <w:r>
        <w:rPr>
          <w:rFonts w:hint="eastAsia" w:ascii="仿宋" w:hAnsi="仿宋" w:eastAsia="仿宋" w:cs="Times New Roman"/>
          <w:b w:val="0"/>
          <w:bCs/>
          <w:color w:val="383838"/>
          <w:sz w:val="32"/>
          <w:shd w:val="clear" w:color="auto" w:fill="FFFFFF"/>
          <w:lang w:val="en-US" w:eastAsia="zh-CN"/>
        </w:rPr>
        <w:t>年年初预算收入1301.96万元，</w:t>
      </w:r>
      <w:r>
        <w:rPr>
          <w:rFonts w:hint="eastAsia" w:ascii="仿宋" w:hAnsi="仿宋" w:eastAsia="仿宋" w:cs="仿宋"/>
          <w:color w:val="333333"/>
          <w:sz w:val="32"/>
          <w:szCs w:val="32"/>
        </w:rPr>
        <w:t>其中：工资福利支出</w:t>
      </w:r>
      <w:r>
        <w:rPr>
          <w:rFonts w:hint="eastAsia" w:ascii="仿宋" w:hAnsi="仿宋" w:eastAsia="仿宋" w:cs="仿宋"/>
          <w:color w:val="333333"/>
          <w:sz w:val="32"/>
          <w:szCs w:val="32"/>
          <w:lang w:val="en-US" w:eastAsia="zh-CN"/>
        </w:rPr>
        <w:t>784.18</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36.6</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21.89万元，</w:t>
      </w:r>
      <w:r>
        <w:rPr>
          <w:rFonts w:hint="eastAsia" w:ascii="仿宋" w:hAnsi="仿宋" w:eastAsia="仿宋" w:cs="仿宋"/>
          <w:color w:val="333333"/>
          <w:sz w:val="32"/>
          <w:szCs w:val="32"/>
        </w:rPr>
        <w:t>项目支出</w:t>
      </w:r>
      <w:r>
        <w:rPr>
          <w:rFonts w:hint="eastAsia" w:ascii="仿宋" w:hAnsi="仿宋" w:eastAsia="仿宋" w:cs="仿宋"/>
          <w:color w:val="333333"/>
          <w:sz w:val="32"/>
          <w:szCs w:val="32"/>
          <w:lang w:val="en-US" w:eastAsia="zh-CN"/>
        </w:rPr>
        <w:t>459.29</w:t>
      </w:r>
      <w:r>
        <w:rPr>
          <w:rFonts w:hint="eastAsia" w:ascii="仿宋" w:hAnsi="仿宋" w:eastAsia="仿宋" w:cs="仿宋"/>
          <w:color w:val="333333"/>
          <w:sz w:val="32"/>
          <w:szCs w:val="32"/>
        </w:rPr>
        <w:t>万元。</w:t>
      </w:r>
    </w:p>
    <w:p>
      <w:pPr>
        <w:spacing w:line="600" w:lineRule="exact"/>
        <w:ind w:firstLine="640" w:firstLineChars="200"/>
        <w:rPr>
          <w:rFonts w:hint="eastAsia" w:ascii="仿宋" w:hAnsi="仿宋" w:eastAsia="仿宋" w:cs="仿宋"/>
          <w:b w:val="0"/>
          <w:bCs/>
          <w:color w:val="383838"/>
          <w:sz w:val="32"/>
          <w:szCs w:val="32"/>
          <w:shd w:val="clear" w:color="auto" w:fill="FFFFFF"/>
          <w:lang w:val="en-US" w:eastAsia="zh-CN"/>
        </w:rPr>
      </w:pPr>
      <w:r>
        <w:rPr>
          <w:rFonts w:hint="eastAsia" w:ascii="仿宋" w:hAnsi="仿宋" w:eastAsia="仿宋" w:cs="仿宋"/>
          <w:b w:val="0"/>
          <w:bCs/>
          <w:color w:val="383838"/>
          <w:sz w:val="32"/>
          <w:szCs w:val="32"/>
          <w:shd w:val="clear" w:color="auto" w:fill="FFFFFF"/>
          <w:lang w:val="en-US" w:eastAsia="zh-CN"/>
        </w:rPr>
        <w:t>2022年决算收入3539.33万元，比年初预算增加2237.37万元。本年度总支出3539.33万元，其中：工资福利支出744.68万元，一般商品和服务支出436.22万元，对个人和家庭的补助452.04万元，资本性支出1906.39万元。</w:t>
      </w:r>
    </w:p>
    <w:p>
      <w:pPr>
        <w:spacing w:line="60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b w:val="0"/>
          <w:bCs/>
          <w:color w:val="383838"/>
          <w:sz w:val="32"/>
          <w:szCs w:val="32"/>
          <w:shd w:val="clear" w:color="auto" w:fill="FFFFFF"/>
          <w:lang w:val="en-US" w:eastAsia="zh-CN"/>
        </w:rPr>
        <w:t>2022年本单位无</w:t>
      </w:r>
      <w:r>
        <w:rPr>
          <w:rFonts w:hint="eastAsia" w:ascii="仿宋" w:hAnsi="仿宋" w:eastAsia="仿宋" w:cs="仿宋"/>
          <w:sz w:val="32"/>
          <w:szCs w:val="32"/>
          <w:lang w:val="en-US" w:eastAsia="zh-CN"/>
        </w:rPr>
        <w:t>政府性基金预算财政拨款收支。</w:t>
      </w:r>
    </w:p>
    <w:p>
      <w:pPr>
        <w:pStyle w:val="2"/>
        <w:rPr>
          <w:rFonts w:hint="default"/>
          <w:lang w:val="en-US" w:eastAsia="zh-CN"/>
        </w:rPr>
      </w:pP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（二）支出分类情况。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1.基本支出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基本支出为保障单位机构正常运转、完成日常工作任务而发生的各项支出，包括用于基本工资、津贴补贴等人员经费以及办公费、印刷费、水电费等日常公用经费。</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2022年年初预算批复的基本支出为842.67万元，2022年决算基本支出672.86万元，其中：</w:t>
      </w:r>
      <w:r>
        <w:rPr>
          <w:rFonts w:hint="eastAsia" w:ascii="仿宋" w:hAnsi="仿宋" w:eastAsia="仿宋" w:cs="仿宋"/>
          <w:color w:val="333333"/>
          <w:sz w:val="32"/>
          <w:szCs w:val="32"/>
        </w:rPr>
        <w:t>工资福利支出</w:t>
      </w:r>
      <w:r>
        <w:rPr>
          <w:rFonts w:hint="eastAsia" w:ascii="仿宋" w:hAnsi="仿宋" w:eastAsia="仿宋" w:cs="仿宋"/>
          <w:color w:val="333333"/>
          <w:sz w:val="32"/>
          <w:szCs w:val="32"/>
          <w:lang w:val="en-US" w:eastAsia="zh-CN"/>
        </w:rPr>
        <w:t>634.94</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val="en-US" w:eastAsia="zh-CN"/>
        </w:rPr>
        <w:t>一般商品和服务</w:t>
      </w:r>
      <w:r>
        <w:rPr>
          <w:rFonts w:hint="eastAsia" w:ascii="仿宋" w:hAnsi="仿宋" w:eastAsia="仿宋" w:cs="仿宋"/>
          <w:color w:val="333333"/>
          <w:sz w:val="32"/>
          <w:szCs w:val="32"/>
        </w:rPr>
        <w:t>支出</w:t>
      </w:r>
      <w:r>
        <w:rPr>
          <w:rFonts w:hint="eastAsia" w:ascii="仿宋" w:hAnsi="仿宋" w:eastAsia="仿宋" w:cs="仿宋"/>
          <w:color w:val="333333"/>
          <w:sz w:val="32"/>
          <w:szCs w:val="32"/>
          <w:lang w:val="en-US" w:eastAsia="zh-CN"/>
        </w:rPr>
        <w:t>36.27</w:t>
      </w:r>
      <w:r>
        <w:rPr>
          <w:rFonts w:hint="eastAsia" w:ascii="仿宋" w:hAnsi="仿宋" w:eastAsia="仿宋" w:cs="仿宋"/>
          <w:color w:val="333333"/>
          <w:sz w:val="32"/>
          <w:szCs w:val="32"/>
        </w:rPr>
        <w:t>万元，</w:t>
      </w:r>
      <w:r>
        <w:rPr>
          <w:rFonts w:hint="eastAsia" w:ascii="仿宋" w:hAnsi="仿宋" w:eastAsia="仿宋" w:cs="仿宋"/>
          <w:color w:val="333333"/>
          <w:sz w:val="32"/>
          <w:szCs w:val="32"/>
          <w:lang w:eastAsia="zh-CN"/>
        </w:rPr>
        <w:t>对个人和家庭的补助</w:t>
      </w:r>
      <w:r>
        <w:rPr>
          <w:rFonts w:hint="eastAsia" w:ascii="仿宋" w:hAnsi="仿宋" w:eastAsia="仿宋" w:cs="仿宋"/>
          <w:color w:val="333333"/>
          <w:sz w:val="32"/>
          <w:szCs w:val="32"/>
          <w:lang w:val="en-US" w:eastAsia="zh-CN"/>
        </w:rPr>
        <w:t>1.65万元</w:t>
      </w:r>
      <w:r>
        <w:rPr>
          <w:rFonts w:hint="eastAsia" w:ascii="仿宋" w:hAnsi="仿宋" w:eastAsia="仿宋" w:cs="Times New Roman"/>
          <w:b w:val="0"/>
          <w:bCs/>
          <w:color w:val="383838"/>
          <w:sz w:val="32"/>
          <w:shd w:val="clear" w:color="auto" w:fill="FFFFFF"/>
          <w:lang w:val="en-US" w:eastAsia="zh-CN"/>
        </w:rPr>
        <w:t>。</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2.“三公”经费情况</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22</w:t>
      </w:r>
      <w:r>
        <w:rPr>
          <w:rFonts w:hint="eastAsia" w:ascii="仿宋" w:hAnsi="仿宋" w:eastAsia="仿宋" w:cs="Times New Roman"/>
          <w:b w:val="0"/>
          <w:bCs/>
          <w:color w:val="383838"/>
          <w:sz w:val="32"/>
          <w:shd w:val="clear" w:color="auto" w:fill="FFFFFF"/>
          <w:lang w:val="en-US" w:eastAsia="zh-CN"/>
        </w:rPr>
        <w:t>年“三公”经费实际支出4.25万元，其中公务接待3.15万元，公务用车1.1万元，2022年“三公”经费比上年增加0.55万元，原因是2021年部分公务接待费记入了会议费中。</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 xml:space="preserve">我镇三公经费严格按照年初预算以及各级部门相关要求，严把支出关，强化制度执行。切实做好厉行节约工作，全面落实各项管理制度要求，努力降低行政成本。严格公务接待费、差旅费、会议费和培训费审核审批程序，加强对公务用车的管理，实行限额把关、一支笔审批制度，做到一事一公函、一事一审批、一事一结账，会议费和培训费严格按年初计划和制度规定的标准执行。各项费用报账支出严格履行报账单“一单五签”程序，重大事项严格遵守：“三重一大”制度，“三公”经费较好地控制在预算范围之内。。                                                                                                                                                                                                                                                                                                                                                                                                                                                                                                                                                                     </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3" w:firstLineChars="200"/>
        <w:textAlignment w:val="auto"/>
        <w:rPr>
          <w:rFonts w:hint="eastAsia" w:ascii="仿宋" w:hAnsi="仿宋" w:eastAsia="仿宋" w:cs="Times New Roman"/>
          <w:b/>
          <w:bCs w:val="0"/>
          <w:color w:val="383838"/>
          <w:sz w:val="32"/>
          <w:shd w:val="clear" w:color="auto" w:fill="FFFFFF"/>
          <w:lang w:val="en-US" w:eastAsia="zh-CN"/>
        </w:rPr>
      </w:pPr>
      <w:r>
        <w:rPr>
          <w:rFonts w:hint="eastAsia" w:ascii="仿宋" w:hAnsi="仿宋" w:eastAsia="仿宋" w:cs="Times New Roman"/>
          <w:b/>
          <w:bCs w:val="0"/>
          <w:color w:val="383838"/>
          <w:sz w:val="32"/>
          <w:shd w:val="clear" w:color="auto" w:fill="FFFFFF"/>
          <w:lang w:val="en-US" w:eastAsia="zh-CN"/>
        </w:rPr>
        <w:t>3.项目支出</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_GB2312" w:cs="Times New Roman"/>
          <w:b w:val="0"/>
          <w:bCs/>
          <w:color w:val="383838"/>
          <w:sz w:val="32"/>
          <w:shd w:val="clear" w:color="auto" w:fill="FFFFFF"/>
          <w:lang w:val="en-US" w:eastAsia="zh-CN"/>
        </w:rPr>
      </w:pPr>
      <w:r>
        <w:rPr>
          <w:rFonts w:hint="eastAsia" w:ascii="仿宋" w:hAnsi="仿宋" w:eastAsia="仿宋" w:cs="Times New Roman"/>
          <w:b w:val="0"/>
          <w:bCs/>
          <w:color w:val="383838"/>
          <w:sz w:val="32"/>
          <w:szCs w:val="32"/>
          <w:shd w:val="clear" w:color="auto" w:fill="FFFFFF"/>
          <w:lang w:val="en-US" w:eastAsia="zh-CN"/>
        </w:rPr>
        <w:t>20</w:t>
      </w:r>
      <w:r>
        <w:rPr>
          <w:rFonts w:hint="eastAsia" w:ascii="仿宋" w:hAnsi="仿宋" w:eastAsia="仿宋" w:cs="仿宋"/>
          <w:b w:val="0"/>
          <w:i w:val="0"/>
          <w:caps w:val="0"/>
          <w:color w:val="333333"/>
          <w:spacing w:val="-2"/>
          <w:sz w:val="32"/>
          <w:szCs w:val="32"/>
          <w:lang w:val="en-US" w:eastAsia="zh-CN"/>
        </w:rPr>
        <w:t>22</w:t>
      </w:r>
      <w:r>
        <w:rPr>
          <w:rFonts w:hint="eastAsia" w:ascii="仿宋" w:hAnsi="仿宋" w:eastAsia="仿宋" w:cs="Times New Roman"/>
          <w:b w:val="0"/>
          <w:bCs/>
          <w:color w:val="383838"/>
          <w:sz w:val="32"/>
          <w:shd w:val="clear" w:color="auto" w:fill="FFFFFF"/>
          <w:lang w:val="en-US" w:eastAsia="zh-CN"/>
        </w:rPr>
        <w:t>年年初预算批复的项目支出为459.29万元，</w:t>
      </w:r>
      <w:r>
        <w:rPr>
          <w:rFonts w:hint="eastAsia" w:ascii="仿宋_GB2312" w:hAnsi="仿宋_GB2312" w:eastAsia="仿宋_GB2312" w:cs="仿宋_GB2312"/>
          <w:kern w:val="0"/>
          <w:sz w:val="32"/>
          <w:szCs w:val="32"/>
        </w:rPr>
        <w:t>2022年一般公共预算财政拨款决算项目支出</w:t>
      </w:r>
      <w:r>
        <w:rPr>
          <w:rFonts w:hint="eastAsia" w:ascii="仿宋" w:hAnsi="仿宋" w:eastAsia="仿宋" w:cs="仿宋"/>
          <w:color w:val="333333"/>
          <w:sz w:val="32"/>
          <w:szCs w:val="32"/>
          <w:lang w:val="en-US" w:eastAsia="zh-CN"/>
        </w:rPr>
        <w:t>990.73</w:t>
      </w:r>
      <w:r>
        <w:rPr>
          <w:rFonts w:hint="eastAsia" w:ascii="仿宋" w:hAnsi="仿宋" w:eastAsia="仿宋" w:cs="Times New Roman"/>
          <w:b w:val="0"/>
          <w:bCs/>
          <w:color w:val="383838"/>
          <w:sz w:val="32"/>
          <w:shd w:val="clear" w:color="auto" w:fill="FFFFFF"/>
          <w:lang w:val="en-US" w:eastAsia="zh-CN"/>
        </w:rPr>
        <w:t>万元，其中：</w:t>
      </w:r>
      <w:r>
        <w:rPr>
          <w:rFonts w:hint="eastAsia" w:ascii="仿宋_GB2312" w:hAnsi="仿宋_GB2312" w:eastAsia="仿宋_GB2312" w:cs="仿宋_GB2312"/>
          <w:kern w:val="0"/>
          <w:sz w:val="32"/>
          <w:szCs w:val="32"/>
        </w:rPr>
        <w:t>一般公共服务支出</w:t>
      </w:r>
      <w:r>
        <w:rPr>
          <w:rFonts w:hint="eastAsia" w:ascii="仿宋_GB2312" w:hAnsi="仿宋_GB2312" w:eastAsia="仿宋_GB2312" w:cs="仿宋_GB2312"/>
          <w:kern w:val="0"/>
          <w:sz w:val="32"/>
          <w:szCs w:val="32"/>
          <w:lang w:val="en-US" w:eastAsia="zh-CN"/>
        </w:rPr>
        <w:t>417.08</w:t>
      </w:r>
      <w:r>
        <w:rPr>
          <w:rFonts w:hint="eastAsia" w:ascii="仿宋_GB2312" w:hAnsi="仿宋_GB2312" w:eastAsia="仿宋_GB2312" w:cs="仿宋_GB2312"/>
          <w:kern w:val="0"/>
          <w:sz w:val="32"/>
          <w:szCs w:val="32"/>
        </w:rPr>
        <w:t>万元</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lang w:val="en-US" w:eastAsia="zh-CN"/>
        </w:rPr>
        <w:t>对个人和家庭的补助支出272.84万元；资本性支出300.09万元。</w:t>
      </w:r>
    </w:p>
    <w:p>
      <w:pPr>
        <w:keepNext w:val="0"/>
        <w:keepLines w:val="0"/>
        <w:pageBreakBefore w:val="0"/>
        <w:numPr>
          <w:ilvl w:val="0"/>
          <w:numId w:val="0"/>
        </w:numPr>
        <w:shd w:val="solid" w:color="FFFFFF" w:fill="auto"/>
        <w:kinsoku/>
        <w:wordWrap/>
        <w:overflowPunct/>
        <w:topLinePunct w:val="0"/>
        <w:autoSpaceDE/>
        <w:autoSpaceDN w:val="0"/>
        <w:bidi w:val="0"/>
        <w:adjustRightInd/>
        <w:snapToGrid/>
        <w:spacing w:line="240" w:lineRule="auto"/>
        <w:ind w:firstLine="640" w:firstLineChars="200"/>
        <w:textAlignment w:val="auto"/>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项目的开展主要根据县委县政府的安排，绩效总目标和阶段性目标都已按照计划完成，未逾期。所有开支均按照我单位财务管理制度执行，资金的使用严格把关。</w:t>
      </w:r>
    </w:p>
    <w:p>
      <w:pPr>
        <w:spacing w:line="600" w:lineRule="exact"/>
        <w:ind w:firstLine="640" w:firstLineChars="200"/>
        <w:rPr>
          <w:rFonts w:ascii="仿宋_GB2312" w:hAnsi="仿宋_GB2312" w:eastAsia="仿宋_GB2312" w:cs="仿宋_GB2312"/>
          <w:sz w:val="32"/>
          <w:szCs w:val="32"/>
        </w:rPr>
      </w:pPr>
    </w:p>
    <w:p>
      <w:pPr>
        <w:numPr>
          <w:ilvl w:val="0"/>
          <w:numId w:val="0"/>
        </w:numPr>
        <w:spacing w:line="600" w:lineRule="exact"/>
        <w:ind w:left="0" w:leftChars="0" w:firstLine="640" w:firstLineChars="200"/>
        <w:rPr>
          <w:rFonts w:hint="eastAsia" w:ascii="黑体" w:eastAsia="黑体"/>
          <w:sz w:val="32"/>
          <w:szCs w:val="32"/>
        </w:rPr>
      </w:pPr>
      <w:r>
        <w:rPr>
          <w:rFonts w:hint="eastAsia" w:ascii="黑体" w:eastAsia="黑体"/>
          <w:sz w:val="32"/>
          <w:szCs w:val="32"/>
          <w:lang w:val="en-US" w:eastAsia="zh-CN"/>
        </w:rPr>
        <w:t>三、</w:t>
      </w:r>
      <w:r>
        <w:rPr>
          <w:rFonts w:hint="eastAsia" w:ascii="黑体" w:eastAsia="黑体"/>
          <w:sz w:val="32"/>
          <w:szCs w:val="32"/>
        </w:rPr>
        <w:t>绩效评价</w:t>
      </w:r>
      <w:r>
        <w:rPr>
          <w:rFonts w:hint="eastAsia" w:ascii="黑体" w:eastAsia="黑体"/>
          <w:sz w:val="32"/>
          <w:szCs w:val="32"/>
          <w:lang w:val="en-US" w:eastAsia="zh-CN"/>
        </w:rPr>
        <w:t>工作</w:t>
      </w:r>
      <w:r>
        <w:rPr>
          <w:rFonts w:hint="eastAsia" w:ascii="黑体" w:eastAsia="黑体"/>
          <w:sz w:val="32"/>
          <w:szCs w:val="32"/>
        </w:rPr>
        <w:t>情况</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（一）评价目的</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镇的各项指标数据更加清晰明了，有利于我镇2022年各项工作的开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（二）评价方法</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_GB2312" w:hAnsi="仿宋_GB2312" w:eastAsia="仿宋_GB2312" w:cs="仿宋_GB2312"/>
          <w:kern w:val="0"/>
          <w:sz w:val="32"/>
          <w:szCs w:val="32"/>
        </w:rPr>
        <w:t>根据</w:t>
      </w:r>
      <w:r>
        <w:rPr>
          <w:rFonts w:hint="eastAsia" w:ascii="仿宋_GB2312" w:hAnsi="仿宋_GB2312" w:eastAsia="仿宋_GB2312" w:cs="仿宋_GB2312"/>
          <w:sz w:val="32"/>
          <w:szCs w:val="32"/>
        </w:rPr>
        <w:t>衡南县财政局关于开展2022年度财政资金绩效自评工作的通知（清财绩[2023]53号）及衡南县财政局关于做好2023年部门预算绩效目标编审工作的通知（清财绩[2022]207号）等文件精神</w:t>
      </w:r>
      <w:r>
        <w:rPr>
          <w:rFonts w:hint="eastAsia" w:ascii="仿宋_GB2312" w:hAnsi="仿宋_GB2312" w:eastAsia="仿宋_GB2312" w:cs="仿宋_GB2312"/>
          <w:kern w:val="0"/>
          <w:sz w:val="32"/>
          <w:szCs w:val="32"/>
        </w:rPr>
        <w:t>，我镇成立了绩效评价工作组，于2022年3月中旬起开展了部门整体支出绩效评价工作，具体工作方法包括：</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1、查阅资料。查阅2022年度预算安排、预算追加、经费支出、资金管理、资产管理等相关文件资料和财务凭证。</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2、核实数据。对2022年度部门整体支出数据的准确性、真实性进行核实，将2022年度部门整体支出情况与2022年度预算情况、2022年度部门整体支出情况进行比较分析。</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3、实地查看。现场查看各类实物资产。</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4、汇总归纳。根据取得的各项数据及文件资料，结合现场评价情况进行综合分析、归纳汇总，填写基础数据表、评价指标评分表。</w:t>
      </w:r>
    </w:p>
    <w:p>
      <w:pPr>
        <w:spacing w:line="600" w:lineRule="exact"/>
        <w:ind w:firstLine="640" w:firstLineChars="200"/>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5、形成绩效评价报告。</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黑体" w:eastAsia="黑体"/>
          <w:sz w:val="32"/>
          <w:szCs w:val="32"/>
        </w:rPr>
        <w:t>四、</w:t>
      </w:r>
      <w:r>
        <w:rPr>
          <w:rFonts w:hint="eastAsia" w:ascii="黑体" w:eastAsia="黑体"/>
          <w:sz w:val="32"/>
          <w:szCs w:val="32"/>
          <w:lang w:val="en-US" w:eastAsia="zh-CN"/>
        </w:rPr>
        <w:t>部门总体支出</w:t>
      </w:r>
      <w:r>
        <w:rPr>
          <w:rFonts w:hint="eastAsia" w:ascii="黑体" w:eastAsia="黑体"/>
          <w:sz w:val="32"/>
          <w:szCs w:val="32"/>
        </w:rPr>
        <w:t>绩效评价</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kern w:val="2"/>
          <w:sz w:val="32"/>
          <w:szCs w:val="24"/>
          <w:shd w:val="clear" w:color="auto" w:fill="FFFFFF"/>
          <w:lang w:val="en-US" w:eastAsia="zh-CN" w:bidi="ar-SA"/>
        </w:rPr>
        <w:t>2022</w:t>
      </w:r>
      <w:r>
        <w:rPr>
          <w:rFonts w:hint="eastAsia" w:ascii="仿宋" w:hAnsi="仿宋" w:eastAsia="仿宋" w:cs="Times New Roman"/>
          <w:b w:val="0"/>
          <w:bCs/>
          <w:color w:val="383838"/>
          <w:sz w:val="32"/>
          <w:shd w:val="clear" w:color="auto" w:fill="FFFFFF"/>
          <w:lang w:val="en-US" w:eastAsia="zh-CN"/>
        </w:rPr>
        <w:t>年我镇根据年初工作规划及财政预算计划，积极履职、强化管理，较好地完成了年度工作目标。通过加强预算收支管理、不断建立健全内部管理制度、梳理内部管理流程，部门整体支出管理情况得到提升。我镇</w:t>
      </w:r>
      <w:r>
        <w:rPr>
          <w:rFonts w:hint="eastAsia" w:ascii="仿宋" w:hAnsi="仿宋" w:eastAsia="仿宋" w:cs="Times New Roman"/>
          <w:b w:val="0"/>
          <w:bCs/>
          <w:color w:val="383838"/>
          <w:kern w:val="2"/>
          <w:sz w:val="32"/>
          <w:szCs w:val="24"/>
          <w:shd w:val="clear" w:color="auto" w:fill="FFFFFF"/>
          <w:lang w:val="en-US" w:eastAsia="zh-CN" w:bidi="ar-SA"/>
        </w:rPr>
        <w:t>2022</w:t>
      </w:r>
      <w:r>
        <w:rPr>
          <w:rFonts w:hint="eastAsia" w:ascii="仿宋" w:hAnsi="仿宋" w:eastAsia="仿宋" w:cs="Times New Roman"/>
          <w:b w:val="0"/>
          <w:bCs/>
          <w:color w:val="383838"/>
          <w:sz w:val="32"/>
          <w:shd w:val="clear" w:color="auto" w:fill="FFFFFF"/>
          <w:lang w:val="en-US" w:eastAsia="zh-CN"/>
        </w:rPr>
        <w:t>年度部门整体支出绩效评价自评得分为</w:t>
      </w:r>
      <w:r>
        <w:rPr>
          <w:rFonts w:hint="eastAsia" w:ascii="仿宋" w:hAnsi="仿宋" w:eastAsia="仿宋" w:cs="Times New Roman"/>
          <w:b w:val="0"/>
          <w:bCs/>
          <w:color w:val="auto"/>
          <w:sz w:val="32"/>
          <w:shd w:val="clear" w:color="auto" w:fill="FFFFFF"/>
          <w:lang w:val="en-US" w:eastAsia="zh-CN"/>
        </w:rPr>
        <w:t>96</w:t>
      </w:r>
      <w:r>
        <w:rPr>
          <w:rFonts w:hint="eastAsia" w:ascii="仿宋" w:hAnsi="仿宋" w:eastAsia="仿宋" w:cs="Times New Roman"/>
          <w:b w:val="0"/>
          <w:bCs/>
          <w:color w:val="383838"/>
          <w:sz w:val="32"/>
          <w:shd w:val="clear" w:color="auto" w:fill="FFFFFF"/>
          <w:lang w:val="en-US" w:eastAsia="zh-CN"/>
        </w:rPr>
        <w:t>分。具体工作主要体现在以下几个方面：</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一是进一步规范财务管理，加强预算管理。根据中央八项规定有关精神以及财务管理方面的法律、法规和审计等部门的意见，我镇对机关财务管理制度进一步进行了完善。同时，在财务开支把关方面认真执行相关文件并严格财务开支审批程序，加强对差旅费、会议费、接待费、公务用车运行经费等各项开支的管理。重点保障机关运转及重点工作的需要，大力压缩一般性支出，提高财政资金使用效益。编制内在职人员控制率小于100%，支出总额控制在预算总额以内。</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二是依法依规公开部门预决算。根据全县部门预决算公开工作统一安排部署，我部公开了</w:t>
      </w:r>
      <w:r>
        <w:rPr>
          <w:rFonts w:hint="eastAsia" w:ascii="仿宋" w:hAnsi="仿宋" w:eastAsia="仿宋" w:cs="Times New Roman"/>
          <w:b w:val="0"/>
          <w:bCs/>
          <w:color w:val="383838"/>
          <w:kern w:val="2"/>
          <w:sz w:val="32"/>
          <w:szCs w:val="24"/>
          <w:shd w:val="clear" w:color="auto" w:fill="FFFFFF"/>
          <w:lang w:val="en-US" w:eastAsia="zh-CN" w:bidi="ar-SA"/>
        </w:rPr>
        <w:t>2022</w:t>
      </w:r>
      <w:r>
        <w:rPr>
          <w:rFonts w:hint="eastAsia" w:ascii="仿宋" w:hAnsi="仿宋" w:eastAsia="仿宋" w:cs="Times New Roman"/>
          <w:b w:val="0"/>
          <w:bCs/>
          <w:color w:val="383838"/>
          <w:sz w:val="32"/>
          <w:shd w:val="clear" w:color="auto" w:fill="FFFFFF"/>
          <w:lang w:val="en-US" w:eastAsia="zh-CN"/>
        </w:rPr>
        <w:t>年部门预算和“三公”经费预算，社会反响良好，圆满完成了“三公”经费预算公开工作。</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三是加强资产管理。建立了资产管理制度，固定资产利用率高于91%，定期进行了资产盘点和资产清理，总体执行情况良好。</w:t>
      </w:r>
    </w:p>
    <w:p>
      <w:pPr>
        <w:spacing w:line="600" w:lineRule="exact"/>
        <w:ind w:firstLine="640" w:firstLineChars="200"/>
        <w:rPr>
          <w:rFonts w:hint="eastAsia"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四是资金效益方面。在资金监管同时对各年龄层次的村民群众进行公众满意度进行调查，就水污染改善、河道清理、农村清洁工程、生活压力、居住条件、街道绿化、乡村及镇区风貌、出行便捷与否、村民活动场所建设、文化设施建设、治安情况、基础设施建设等多面方面的内容调查，通过调查分析获取了人民群众对生态环境的健康度、居住生活的舒适度、工作出行的便捷度、居住生活的安全度各方面的评价，满意度程度达到百分之98%。</w:t>
      </w:r>
    </w:p>
    <w:p>
      <w:pPr>
        <w:spacing w:line="600" w:lineRule="exact"/>
        <w:ind w:firstLine="640" w:firstLineChars="200"/>
        <w:rPr>
          <w:rFonts w:hint="default" w:ascii="仿宋" w:hAnsi="仿宋" w:eastAsia="仿宋" w:cs="Times New Roman"/>
          <w:b w:val="0"/>
          <w:bCs/>
          <w:color w:val="383838"/>
          <w:sz w:val="32"/>
          <w:shd w:val="clear" w:color="auto" w:fill="FFFFFF"/>
          <w:lang w:val="en-US" w:eastAsia="zh-CN"/>
        </w:rPr>
      </w:pPr>
      <w:r>
        <w:rPr>
          <w:rFonts w:hint="eastAsia" w:ascii="仿宋" w:hAnsi="仿宋" w:eastAsia="仿宋" w:cs="Times New Roman"/>
          <w:b w:val="0"/>
          <w:bCs/>
          <w:color w:val="383838"/>
          <w:sz w:val="32"/>
          <w:shd w:val="clear" w:color="auto" w:fill="FFFFFF"/>
          <w:lang w:val="en-US" w:eastAsia="zh-CN"/>
        </w:rPr>
        <w:t>五是项目支出方面，主要是村级转移支付和新农村建设。村级转移性支付项目主要用于村级工作运转，包含村干部工资、妇女及小组长工资、村级办公运转经费、离任村干生活补助、会议误工、交通补助以及其他支出，其他支出包含农村清洁工程资金等。</w:t>
      </w:r>
      <w:r>
        <w:rPr>
          <w:rFonts w:hint="eastAsia" w:ascii="仿宋" w:hAnsi="仿宋" w:eastAsia="仿宋" w:cs="Times New Roman"/>
          <w:b w:val="0"/>
          <w:bCs/>
          <w:color w:val="383838"/>
          <w:kern w:val="2"/>
          <w:sz w:val="32"/>
          <w:szCs w:val="24"/>
          <w:shd w:val="clear" w:color="auto" w:fill="FFFFFF"/>
          <w:lang w:val="en-US" w:eastAsia="zh-CN" w:bidi="ar-SA"/>
        </w:rPr>
        <w:t>2022</w:t>
      </w:r>
      <w:r>
        <w:rPr>
          <w:rFonts w:hint="eastAsia" w:ascii="仿宋" w:hAnsi="仿宋" w:eastAsia="仿宋" w:cs="Times New Roman"/>
          <w:b w:val="0"/>
          <w:bCs/>
          <w:color w:val="383838"/>
          <w:sz w:val="32"/>
          <w:shd w:val="clear" w:color="auto" w:fill="FFFFFF"/>
          <w:lang w:val="en-US" w:eastAsia="zh-CN"/>
        </w:rPr>
        <w:t>年村级转移支付项目支付到达村账村均金额超过县级下达拨付的最低标准，及时、达标的完成了支付，充分保障了村干办公、村委的正常合理支出，得到村干部及民众的好评。项目资金主要用于村组道路修建、维修、硬化，塘坝扩容、加固、硬化，河道清淤、硬化，河坝绿化等农村基础设施建设，方便群众出行，改善饮水、加强灌溉，得到了民众的高度认可 。</w:t>
      </w:r>
    </w:p>
    <w:p>
      <w:pPr>
        <w:spacing w:line="600" w:lineRule="exact"/>
        <w:ind w:firstLine="640" w:firstLineChars="200"/>
        <w:rPr>
          <w:rFonts w:hint="eastAsia" w:ascii="黑体" w:eastAsia="黑体"/>
          <w:sz w:val="32"/>
          <w:szCs w:val="32"/>
        </w:rPr>
      </w:pPr>
      <w:r>
        <w:rPr>
          <w:rFonts w:hint="eastAsia" w:ascii="黑体" w:eastAsia="黑体"/>
          <w:sz w:val="32"/>
          <w:szCs w:val="32"/>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1.预决算项目支出编制需进一步明确、精细化。同时项目执行率需进一步提高。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 随着对预、决算编制工作水平要求越来越高，数据编制要求越来越精准、规范；时间紧、任务大；加之现行决算工作与实际账务处理工作间衔接还存在一定差异；会计人员业务明显增加，人员紧缺，加之业务操作水平有限，实际操作中确实感到力不从心 。</w:t>
      </w:r>
    </w:p>
    <w:p>
      <w:pPr>
        <w:spacing w:line="600" w:lineRule="exact"/>
        <w:ind w:firstLine="640" w:firstLineChars="200"/>
        <w:rPr>
          <w:rFonts w:hint="eastAsia" w:ascii="黑体" w:eastAsia="黑体"/>
          <w:sz w:val="32"/>
          <w:szCs w:val="32"/>
        </w:rPr>
      </w:pPr>
      <w:r>
        <w:rPr>
          <w:rFonts w:hint="eastAsia" w:ascii="黑体" w:eastAsia="黑体"/>
          <w:sz w:val="32"/>
          <w:szCs w:val="32"/>
        </w:rPr>
        <w:t>六、改进措施及建议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1、加强财务管理，严格财务审核。加强单位财务管理，健全单位财务管理制度体系，规范单位财务行为。在费用报账支付时，按照预算规定的费用项目和用途进行资金使用审核、财务严格核算，杜绝超支现象的发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2、合理安排会计岗位，强烈要求提升村级会计人员工作能力，增加业务知识培训，加强决算工作与财务处理工作对接。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仿宋" w:hAnsi="仿宋" w:eastAsia="仿宋" w:cs="Times New Roman"/>
          <w:b w:val="0"/>
          <w:bCs/>
          <w:color w:val="383838"/>
          <w:kern w:val="2"/>
          <w:sz w:val="32"/>
          <w:szCs w:val="24"/>
          <w:shd w:val="clear" w:color="auto" w:fill="FFFFFF"/>
          <w:lang w:val="en-US" w:eastAsia="zh-CN" w:bidi="ar-SA"/>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 衡南县泉湖镇人民政府</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3" w:lineRule="atLeast"/>
        <w:ind w:left="0" w:right="0" w:firstLine="420"/>
        <w:jc w:val="right"/>
        <w:rPr>
          <w:rFonts w:hint="default" w:ascii="仿宋" w:hAnsi="仿宋" w:eastAsia="仿宋" w:cs="Times New Roman"/>
          <w:b w:val="0"/>
          <w:bCs/>
          <w:color w:val="383838"/>
          <w:kern w:val="2"/>
          <w:sz w:val="32"/>
          <w:szCs w:val="24"/>
          <w:shd w:val="clear" w:color="auto" w:fill="FFFFFF"/>
          <w:lang w:val="en-US" w:eastAsia="zh-CN" w:bidi="ar-SA"/>
        </w:rPr>
      </w:pPr>
      <w:r>
        <w:rPr>
          <w:rFonts w:hint="eastAsia" w:ascii="仿宋" w:hAnsi="仿宋" w:eastAsia="仿宋" w:cs="Times New Roman"/>
          <w:b w:val="0"/>
          <w:bCs/>
          <w:color w:val="383838"/>
          <w:kern w:val="2"/>
          <w:sz w:val="32"/>
          <w:szCs w:val="24"/>
          <w:shd w:val="clear" w:color="auto" w:fill="FFFFFF"/>
          <w:lang w:val="en-US" w:eastAsia="zh-CN" w:bidi="ar-SA"/>
        </w:rPr>
        <w:t xml:space="preserve">2023年4月17日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0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pPr>
        <w:ind w:left="1050" w:leftChars="0" w:firstLine="0" w:firstLineChars="0"/>
      </w:pPr>
      <w:rPr>
        <w:rFonts w:hint="eastAsia"/>
      </w:rPr>
    </w:lvl>
  </w:abstractNum>
  <w:abstractNum w:abstractNumId="1">
    <w:nsid w:val="55EFAA59"/>
    <w:multiLevelType w:val="singleLevel"/>
    <w:tmpl w:val="55EFAA59"/>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NlM2NjNzBhYzMzNWM3MWRkMWMzMzJiYzRkYTA2ZmQifQ=="/>
  </w:docVars>
  <w:rsids>
    <w:rsidRoot w:val="00000000"/>
    <w:rsid w:val="00132D35"/>
    <w:rsid w:val="00C823C4"/>
    <w:rsid w:val="030D32C1"/>
    <w:rsid w:val="040A2CF3"/>
    <w:rsid w:val="04D330E5"/>
    <w:rsid w:val="06344057"/>
    <w:rsid w:val="0877668E"/>
    <w:rsid w:val="08805332"/>
    <w:rsid w:val="08993DBF"/>
    <w:rsid w:val="096B7D90"/>
    <w:rsid w:val="09945539"/>
    <w:rsid w:val="0C2C2042"/>
    <w:rsid w:val="0EE64DE3"/>
    <w:rsid w:val="0EF10E0F"/>
    <w:rsid w:val="0F0D4910"/>
    <w:rsid w:val="0F144691"/>
    <w:rsid w:val="0F4F334B"/>
    <w:rsid w:val="0F59642D"/>
    <w:rsid w:val="0F964590"/>
    <w:rsid w:val="10673EFE"/>
    <w:rsid w:val="114A0BD3"/>
    <w:rsid w:val="11511F61"/>
    <w:rsid w:val="12333415"/>
    <w:rsid w:val="12753A2E"/>
    <w:rsid w:val="148443FC"/>
    <w:rsid w:val="16907088"/>
    <w:rsid w:val="182E0907"/>
    <w:rsid w:val="19076A43"/>
    <w:rsid w:val="1B917B2A"/>
    <w:rsid w:val="1BC7354C"/>
    <w:rsid w:val="1D45611D"/>
    <w:rsid w:val="1DE546B6"/>
    <w:rsid w:val="1E162569"/>
    <w:rsid w:val="1FF42A09"/>
    <w:rsid w:val="21BF054D"/>
    <w:rsid w:val="220628F4"/>
    <w:rsid w:val="22192627"/>
    <w:rsid w:val="22B76DBB"/>
    <w:rsid w:val="23D22A8E"/>
    <w:rsid w:val="25171927"/>
    <w:rsid w:val="25553977"/>
    <w:rsid w:val="257A54CD"/>
    <w:rsid w:val="260F4462"/>
    <w:rsid w:val="26647F40"/>
    <w:rsid w:val="273E63C6"/>
    <w:rsid w:val="291A3AD9"/>
    <w:rsid w:val="2984482A"/>
    <w:rsid w:val="29DB03AA"/>
    <w:rsid w:val="2ACD6158"/>
    <w:rsid w:val="2C972AC7"/>
    <w:rsid w:val="2D0A14EA"/>
    <w:rsid w:val="2DD26BA4"/>
    <w:rsid w:val="2EEA4BF6"/>
    <w:rsid w:val="303A6F36"/>
    <w:rsid w:val="307B54DF"/>
    <w:rsid w:val="30D469FD"/>
    <w:rsid w:val="311F1372"/>
    <w:rsid w:val="3196560A"/>
    <w:rsid w:val="31C559E0"/>
    <w:rsid w:val="31C83722"/>
    <w:rsid w:val="31D10829"/>
    <w:rsid w:val="341D1C4B"/>
    <w:rsid w:val="343155AF"/>
    <w:rsid w:val="34AC10D9"/>
    <w:rsid w:val="34BF0E0C"/>
    <w:rsid w:val="368F221D"/>
    <w:rsid w:val="3736112E"/>
    <w:rsid w:val="379E11AD"/>
    <w:rsid w:val="37D90437"/>
    <w:rsid w:val="386046B4"/>
    <w:rsid w:val="3870241E"/>
    <w:rsid w:val="3B017CA0"/>
    <w:rsid w:val="3BD373EE"/>
    <w:rsid w:val="3C261CBA"/>
    <w:rsid w:val="3E1306BC"/>
    <w:rsid w:val="3ED66130"/>
    <w:rsid w:val="3FA0183A"/>
    <w:rsid w:val="3FE33A81"/>
    <w:rsid w:val="410D4CAE"/>
    <w:rsid w:val="42A67168"/>
    <w:rsid w:val="43FA3C0F"/>
    <w:rsid w:val="454342FE"/>
    <w:rsid w:val="4597548E"/>
    <w:rsid w:val="461079B5"/>
    <w:rsid w:val="48325502"/>
    <w:rsid w:val="49247038"/>
    <w:rsid w:val="49BE123B"/>
    <w:rsid w:val="49D071C0"/>
    <w:rsid w:val="49D07917"/>
    <w:rsid w:val="4ACB7688"/>
    <w:rsid w:val="4CE92A73"/>
    <w:rsid w:val="4E4C612B"/>
    <w:rsid w:val="4F24177D"/>
    <w:rsid w:val="506F7579"/>
    <w:rsid w:val="512247A5"/>
    <w:rsid w:val="519A433C"/>
    <w:rsid w:val="52306A4E"/>
    <w:rsid w:val="53E42395"/>
    <w:rsid w:val="53FF0DCE"/>
    <w:rsid w:val="54064DF3"/>
    <w:rsid w:val="54F2448F"/>
    <w:rsid w:val="55854F77"/>
    <w:rsid w:val="55AE4859"/>
    <w:rsid w:val="581A11E5"/>
    <w:rsid w:val="5822508B"/>
    <w:rsid w:val="5875165E"/>
    <w:rsid w:val="59545718"/>
    <w:rsid w:val="59E545C2"/>
    <w:rsid w:val="5A252118"/>
    <w:rsid w:val="5ADC3C17"/>
    <w:rsid w:val="5AF26F96"/>
    <w:rsid w:val="5B8A315D"/>
    <w:rsid w:val="5B9C33A6"/>
    <w:rsid w:val="5CF83D31"/>
    <w:rsid w:val="5ED2780B"/>
    <w:rsid w:val="60487A2C"/>
    <w:rsid w:val="61243C22"/>
    <w:rsid w:val="61915416"/>
    <w:rsid w:val="61C51262"/>
    <w:rsid w:val="61F77588"/>
    <w:rsid w:val="621C2B4B"/>
    <w:rsid w:val="62CC27C3"/>
    <w:rsid w:val="633A597E"/>
    <w:rsid w:val="63B75221"/>
    <w:rsid w:val="65046244"/>
    <w:rsid w:val="65167A36"/>
    <w:rsid w:val="65DF6369"/>
    <w:rsid w:val="6925087C"/>
    <w:rsid w:val="6A1A6A4B"/>
    <w:rsid w:val="6A611A43"/>
    <w:rsid w:val="6AC65D4A"/>
    <w:rsid w:val="6C88312E"/>
    <w:rsid w:val="6CBD2DD9"/>
    <w:rsid w:val="6FDD303A"/>
    <w:rsid w:val="70543B2B"/>
    <w:rsid w:val="70FE723A"/>
    <w:rsid w:val="71BC3694"/>
    <w:rsid w:val="72A72905"/>
    <w:rsid w:val="73EE04CD"/>
    <w:rsid w:val="74EC45FF"/>
    <w:rsid w:val="754D1541"/>
    <w:rsid w:val="75556648"/>
    <w:rsid w:val="759929D8"/>
    <w:rsid w:val="774712C8"/>
    <w:rsid w:val="77B30D43"/>
    <w:rsid w:val="77D3326F"/>
    <w:rsid w:val="782642CC"/>
    <w:rsid w:val="787777B0"/>
    <w:rsid w:val="78C50A04"/>
    <w:rsid w:val="78C80EDF"/>
    <w:rsid w:val="78F10436"/>
    <w:rsid w:val="7A37631C"/>
    <w:rsid w:val="7AE0471F"/>
    <w:rsid w:val="7B2C31E8"/>
    <w:rsid w:val="7E0E2983"/>
    <w:rsid w:val="7EFF09D6"/>
    <w:rsid w:val="7FAF2DF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qFormat/>
    <w:uiPriority w:val="0"/>
  </w:style>
  <w:style w:type="table" w:default="1" w:styleId="4">
    <w:name w:val="Normal Table"/>
    <w:qFormat/>
    <w:uiPriority w:val="0"/>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3">
    <w:name w:val="Normal (Web)"/>
    <w:basedOn w:val="1"/>
    <w:qFormat/>
    <w:uiPriority w:val="0"/>
    <w:pPr>
      <w:jc w:val="left"/>
    </w:pPr>
    <w:rPr>
      <w:kern w:val="0"/>
      <w:sz w:val="18"/>
      <w:szCs w:val="18"/>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3647</Words>
  <Characters>3933</Characters>
  <Paragraphs>74</Paragraphs>
  <TotalTime>11</TotalTime>
  <ScaleCrop>false</ScaleCrop>
  <LinksUpToDate>false</LinksUpToDate>
  <CharactersWithSpaces>4549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孙泽宇</cp:lastModifiedBy>
  <cp:lastPrinted>2022-05-16T07:42:00Z</cp:lastPrinted>
  <dcterms:modified xsi:type="dcterms:W3CDTF">2023-10-12T01:31:06Z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A011E0AB353144208BED3E8741F85B42_13</vt:lpwstr>
  </property>
</Properties>
</file>