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w:t>
      </w:r>
      <w:r>
        <w:rPr>
          <w:rFonts w:hint="eastAsia" w:ascii="方正小标宋_GBK" w:eastAsia="方正小标宋_GBK"/>
          <w:sz w:val="44"/>
          <w:szCs w:val="44"/>
          <w:lang w:val="en-US" w:eastAsia="zh-CN"/>
        </w:rPr>
        <w:t>硫市镇</w:t>
      </w:r>
      <w:r>
        <w:rPr>
          <w:rFonts w:hint="eastAsia" w:ascii="方正小标宋_GBK" w:eastAsia="方正小标宋_GBK"/>
          <w:sz w:val="44"/>
          <w:szCs w:val="44"/>
        </w:rPr>
        <w:t>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22</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硫市</w:t>
      </w:r>
      <w:r>
        <w:rPr>
          <w:rFonts w:hint="eastAsia" w:ascii="仿宋_GB2312" w:eastAsia="仿宋_GB2312"/>
          <w:sz w:val="32"/>
          <w:szCs w:val="32"/>
        </w:rPr>
        <w:t xml:space="preserve">镇人民政府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预算编码： </w:t>
      </w:r>
      <w:r>
        <w:rPr>
          <w:rFonts w:hint="eastAsia" w:ascii="仿宋_GB2312" w:eastAsia="仿宋_GB2312"/>
          <w:sz w:val="32"/>
          <w:szCs w:val="32"/>
          <w:lang w:val="en-US" w:eastAsia="zh-CN"/>
        </w:rPr>
        <w:t>912001</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2023</w:t>
      </w:r>
      <w:r>
        <w:rPr>
          <w:rFonts w:hint="eastAsia" w:ascii="仿宋_GB2312" w:eastAsia="仿宋_GB2312"/>
          <w:sz w:val="32"/>
          <w:szCs w:val="32"/>
        </w:rPr>
        <w:t xml:space="preserve">年 </w:t>
      </w:r>
      <w:r>
        <w:rPr>
          <w:rFonts w:hint="eastAsia" w:ascii="仿宋_GB2312" w:eastAsia="仿宋_GB2312"/>
          <w:sz w:val="32"/>
          <w:szCs w:val="32"/>
          <w:lang w:val="en-US" w:eastAsia="zh-CN"/>
        </w:rPr>
        <w:t>04</w:t>
      </w:r>
      <w:r>
        <w:rPr>
          <w:rFonts w:hint="eastAsia" w:ascii="仿宋_GB2312" w:eastAsia="仿宋_GB2312"/>
          <w:sz w:val="32"/>
          <w:szCs w:val="32"/>
        </w:rPr>
        <w:t xml:space="preserve"> 月 </w:t>
      </w:r>
      <w:r>
        <w:rPr>
          <w:rFonts w:hint="eastAsia" w:ascii="仿宋_GB2312" w:eastAsia="仿宋_GB2312"/>
          <w:sz w:val="32"/>
          <w:szCs w:val="32"/>
          <w:lang w:val="en-US" w:eastAsia="zh-CN"/>
        </w:rPr>
        <w:t>25</w:t>
      </w:r>
      <w:r>
        <w:rPr>
          <w:rFonts w:hint="eastAsia" w:ascii="仿宋_GB2312" w:eastAsia="仿宋_GB2312"/>
          <w:sz w:val="32"/>
          <w:szCs w:val="32"/>
        </w:rPr>
        <w:t xml:space="preserve">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bCs/>
          <w:sz w:val="36"/>
          <w:szCs w:val="36"/>
        </w:rPr>
      </w:pPr>
      <w:r>
        <w:rPr>
          <w:rFonts w:hint="eastAsia" w:ascii="仿宋" w:hAnsi="仿宋" w:eastAsia="仿宋" w:cs="仿宋"/>
          <w:b/>
          <w:bCs/>
          <w:i w:val="0"/>
          <w:caps w:val="0"/>
          <w:color w:val="000000"/>
          <w:spacing w:val="0"/>
          <w:kern w:val="0"/>
          <w:sz w:val="36"/>
          <w:szCs w:val="36"/>
          <w:lang w:val="en-US" w:eastAsia="zh-CN"/>
        </w:rPr>
        <w:t>硫市镇2022年部门整体支出绩效自评报告</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仿宋" w:hAnsi="仿宋" w:eastAsia="仿宋" w:cs="仿宋"/>
          <w:b w:val="0"/>
          <w:bCs/>
          <w:color w:val="383838"/>
          <w:sz w:val="32"/>
          <w:szCs w:val="32"/>
          <w:shd w:val="clear" w:color="auto" w:fill="FFFFFF"/>
          <w:lang w:val="en-US" w:eastAsia="zh-CN"/>
        </w:rPr>
      </w:pPr>
      <w:r>
        <w:rPr>
          <w:rFonts w:hint="eastAsia" w:ascii="仿宋" w:hAnsi="仿宋" w:eastAsia="仿宋" w:cs="仿宋"/>
          <w:b w:val="0"/>
          <w:i w:val="0"/>
          <w:caps w:val="0"/>
          <w:color w:val="000000"/>
          <w:spacing w:val="0"/>
          <w:kern w:val="0"/>
          <w:sz w:val="32"/>
          <w:szCs w:val="32"/>
          <w:lang w:val="en-US" w:eastAsia="zh-CN"/>
        </w:rPr>
        <w:t> </w:t>
      </w:r>
      <w:r>
        <w:rPr>
          <w:rFonts w:hint="eastAsia" w:ascii="仿宋" w:hAnsi="仿宋" w:eastAsia="仿宋" w:cs="仿宋"/>
          <w:b w:val="0"/>
          <w:i w:val="0"/>
          <w:caps w:val="0"/>
          <w:color w:val="333333"/>
          <w:spacing w:val="-2"/>
          <w:sz w:val="32"/>
          <w:szCs w:val="32"/>
        </w:rPr>
        <w:t>为加强财政预算资金管理，进一步规范预算资金使用，提高财政资金使用效益，根据《衡南县财政局关于开展</w:t>
      </w:r>
      <w:r>
        <w:rPr>
          <w:rFonts w:hint="eastAsia" w:ascii="仿宋" w:hAnsi="仿宋" w:eastAsia="仿宋" w:cs="仿宋"/>
          <w:b w:val="0"/>
          <w:i w:val="0"/>
          <w:caps w:val="0"/>
          <w:color w:val="333333"/>
          <w:spacing w:val="-2"/>
          <w:sz w:val="32"/>
          <w:szCs w:val="32"/>
          <w:lang w:eastAsia="zh-CN"/>
        </w:rPr>
        <w:t>2022</w:t>
      </w:r>
      <w:r>
        <w:rPr>
          <w:rFonts w:hint="eastAsia" w:ascii="仿宋" w:hAnsi="仿宋" w:eastAsia="仿宋" w:cs="仿宋"/>
          <w:b w:val="0"/>
          <w:i w:val="0"/>
          <w:caps w:val="0"/>
          <w:color w:val="333333"/>
          <w:spacing w:val="-2"/>
          <w:sz w:val="32"/>
          <w:szCs w:val="32"/>
        </w:rPr>
        <w:t>年度财政资金绩效自评工作的通知》要求，</w:t>
      </w:r>
      <w:r>
        <w:rPr>
          <w:rFonts w:hint="eastAsia" w:ascii="仿宋" w:hAnsi="仿宋" w:eastAsia="仿宋" w:cs="仿宋"/>
          <w:b w:val="0"/>
          <w:i w:val="0"/>
          <w:caps w:val="0"/>
          <w:color w:val="333333"/>
          <w:spacing w:val="-2"/>
          <w:sz w:val="32"/>
          <w:szCs w:val="32"/>
          <w:lang w:val="en-US" w:eastAsia="zh-CN"/>
        </w:rPr>
        <w:t>本单位</w:t>
      </w:r>
      <w:r>
        <w:rPr>
          <w:rFonts w:hint="eastAsia" w:ascii="仿宋" w:hAnsi="仿宋" w:eastAsia="仿宋" w:cs="仿宋"/>
          <w:b w:val="0"/>
          <w:i w:val="0"/>
          <w:caps w:val="0"/>
          <w:color w:val="333333"/>
          <w:spacing w:val="-2"/>
          <w:sz w:val="32"/>
          <w:szCs w:val="32"/>
        </w:rPr>
        <w:t>对</w:t>
      </w:r>
      <w:r>
        <w:rPr>
          <w:rFonts w:hint="eastAsia" w:ascii="仿宋" w:hAnsi="仿宋" w:eastAsia="仿宋" w:cs="仿宋"/>
          <w:b w:val="0"/>
          <w:i w:val="0"/>
          <w:caps w:val="0"/>
          <w:color w:val="333333"/>
          <w:spacing w:val="-2"/>
          <w:sz w:val="32"/>
          <w:szCs w:val="32"/>
          <w:lang w:eastAsia="zh-CN"/>
        </w:rPr>
        <w:t>2022</w:t>
      </w:r>
      <w:r>
        <w:rPr>
          <w:rFonts w:hint="eastAsia" w:ascii="仿宋" w:hAnsi="仿宋" w:eastAsia="仿宋" w:cs="仿宋"/>
          <w:b w:val="0"/>
          <w:i w:val="0"/>
          <w:caps w:val="0"/>
          <w:color w:val="333333"/>
          <w:spacing w:val="-2"/>
          <w:sz w:val="32"/>
          <w:szCs w:val="32"/>
        </w:rPr>
        <w:t>年度本单位</w:t>
      </w:r>
      <w:r>
        <w:rPr>
          <w:rFonts w:hint="eastAsia" w:ascii="仿宋" w:hAnsi="仿宋" w:eastAsia="仿宋" w:cs="仿宋"/>
          <w:b w:val="0"/>
          <w:i w:val="0"/>
          <w:caps w:val="0"/>
          <w:color w:val="333333"/>
          <w:spacing w:val="-2"/>
          <w:sz w:val="32"/>
          <w:szCs w:val="32"/>
          <w:lang w:val="en-US" w:eastAsia="zh-CN"/>
        </w:rPr>
        <w:t>财政性资金</w:t>
      </w:r>
      <w:r>
        <w:rPr>
          <w:rFonts w:hint="eastAsia" w:ascii="仿宋" w:hAnsi="仿宋" w:eastAsia="仿宋" w:cs="仿宋"/>
          <w:b w:val="0"/>
          <w:i w:val="0"/>
          <w:caps w:val="0"/>
          <w:color w:val="333333"/>
          <w:spacing w:val="-2"/>
          <w:sz w:val="32"/>
          <w:szCs w:val="32"/>
        </w:rPr>
        <w:t>整体</w:t>
      </w:r>
      <w:r>
        <w:rPr>
          <w:rFonts w:hint="eastAsia" w:ascii="仿宋" w:hAnsi="仿宋" w:eastAsia="仿宋" w:cs="仿宋"/>
          <w:b w:val="0"/>
          <w:i w:val="0"/>
          <w:caps w:val="0"/>
          <w:color w:val="333333"/>
          <w:spacing w:val="-2"/>
          <w:sz w:val="32"/>
          <w:szCs w:val="32"/>
          <w:lang w:val="en-US" w:eastAsia="zh-CN"/>
        </w:rPr>
        <w:t>使用情况</w:t>
      </w:r>
      <w:r>
        <w:rPr>
          <w:rFonts w:hint="eastAsia" w:ascii="仿宋" w:hAnsi="仿宋" w:eastAsia="仿宋" w:cs="仿宋"/>
          <w:b w:val="0"/>
          <w:i w:val="0"/>
          <w:caps w:val="0"/>
          <w:color w:val="333333"/>
          <w:spacing w:val="-2"/>
          <w:sz w:val="32"/>
          <w:szCs w:val="32"/>
        </w:rPr>
        <w:t>进行了绩效自评，现将具体绩效评价情况报告如下：</w:t>
      </w:r>
    </w:p>
    <w:p>
      <w:pPr>
        <w:keepNext w:val="0"/>
        <w:keepLines w:val="0"/>
        <w:pageBreakBefore w:val="0"/>
        <w:numPr>
          <w:ilvl w:val="0"/>
          <w:numId w:val="1"/>
        </w:numPr>
        <w:kinsoku/>
        <w:wordWrap/>
        <w:overflowPunct/>
        <w:topLinePunct w:val="0"/>
        <w:autoSpaceDE/>
        <w:bidi w:val="0"/>
        <w:adjustRightInd/>
        <w:spacing w:beforeAutospacing="0" w:afterAutospacing="0"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lang w:val="en-US" w:eastAsia="zh-CN"/>
        </w:rPr>
        <w:t>单位</w:t>
      </w:r>
      <w:r>
        <w:rPr>
          <w:rFonts w:hint="eastAsia" w:ascii="黑体" w:eastAsia="黑体"/>
          <w:sz w:val="32"/>
          <w:szCs w:val="32"/>
        </w:rPr>
        <w:t>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line="600" w:lineRule="exact"/>
        <w:ind w:firstLine="640" w:firstLineChars="200"/>
        <w:textAlignment w:val="auto"/>
        <w:rPr>
          <w:rFonts w:hint="eastAsia" w:ascii="仿宋" w:hAnsi="仿宋" w:eastAsia="仿宋"/>
          <w:b w:val="0"/>
          <w:bCs/>
          <w:color w:val="383838"/>
          <w:sz w:val="32"/>
          <w:shd w:val="clear" w:color="auto" w:fill="FFFFFF"/>
          <w:lang w:eastAsia="zh-CN"/>
        </w:rPr>
      </w:pPr>
      <w:r>
        <w:rPr>
          <w:rFonts w:hint="eastAsia" w:ascii="仿宋" w:hAnsi="仿宋" w:eastAsia="仿宋"/>
          <w:b w:val="0"/>
          <w:bCs/>
          <w:color w:val="383838"/>
          <w:sz w:val="32"/>
          <w:shd w:val="clear" w:color="auto" w:fill="FFFFFF"/>
          <w:lang w:val="en-US" w:eastAsia="zh-CN"/>
        </w:rPr>
        <w:t>硫市镇人民政府</w:t>
      </w:r>
      <w:r>
        <w:rPr>
          <w:rFonts w:hint="eastAsia" w:ascii="仿宋" w:hAnsi="仿宋" w:eastAsia="仿宋"/>
          <w:b w:val="0"/>
          <w:bCs/>
          <w:color w:val="383838"/>
          <w:sz w:val="32"/>
          <w:shd w:val="clear" w:color="auto" w:fill="FFFFFF"/>
          <w:lang w:eastAsia="zh-CN"/>
        </w:rPr>
        <w:t>为全额财政拨款单位，纳入财政会计集中核算和国库集中支付体系，财务制度执行《预算法》、《行政单位会计制度》。</w:t>
      </w:r>
    </w:p>
    <w:p>
      <w:pPr>
        <w:keepNext w:val="0"/>
        <w:keepLines w:val="0"/>
        <w:pageBreakBefore w:val="0"/>
        <w:numPr>
          <w:ilvl w:val="0"/>
          <w:numId w:val="2"/>
        </w:numPr>
        <w:kinsoku/>
        <w:wordWrap/>
        <w:overflowPunct/>
        <w:topLinePunct w:val="0"/>
        <w:autoSpaceDE/>
        <w:bidi w:val="0"/>
        <w:adjustRightInd/>
        <w:spacing w:line="600" w:lineRule="exact"/>
        <w:ind w:left="638" w:leftChars="304" w:firstLine="0" w:firstLineChars="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部门职能</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1、</w:t>
      </w:r>
      <w:r>
        <w:rPr>
          <w:rFonts w:hint="eastAsia" w:ascii="仿宋" w:hAnsi="仿宋" w:eastAsia="仿宋"/>
          <w:b w:val="0"/>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2、</w:t>
      </w:r>
      <w:r>
        <w:rPr>
          <w:rFonts w:hint="eastAsia" w:ascii="仿宋" w:hAnsi="仿宋" w:eastAsia="仿宋"/>
          <w:b w:val="0"/>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3、</w:t>
      </w:r>
      <w:r>
        <w:rPr>
          <w:rFonts w:hint="eastAsia" w:ascii="仿宋" w:hAnsi="仿宋" w:eastAsia="仿宋"/>
          <w:b w:val="0"/>
          <w:bCs/>
          <w:color w:val="383838"/>
          <w:sz w:val="32"/>
          <w:shd w:val="clear" w:color="auto" w:fill="FFFFFF"/>
          <w:lang w:val="zh-CN"/>
        </w:rPr>
        <w:t>负责硫市镇党委、人大、政府、政协联络工委、纪律委员会、人民武装及共青团、妇联等群团组织的日常工作。</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仿宋" w:hAnsi="仿宋" w:eastAsia="仿宋"/>
          <w:b/>
          <w:bCs w:val="0"/>
          <w:color w:val="383838"/>
          <w:sz w:val="32"/>
          <w:shd w:val="clear" w:color="auto" w:fill="FFFFFF"/>
          <w:lang w:val="en-US" w:eastAsia="zh-CN"/>
        </w:rPr>
      </w:pPr>
      <w:r>
        <w:rPr>
          <w:rFonts w:hint="eastAsia" w:ascii="仿宋" w:hAnsi="仿宋" w:eastAsia="仿宋"/>
          <w:b w:val="0"/>
          <w:bCs/>
          <w:color w:val="383838"/>
          <w:sz w:val="32"/>
          <w:shd w:val="clear" w:color="auto" w:fill="FFFFFF"/>
          <w:lang w:val="en-US"/>
        </w:rPr>
        <w:t>4、</w:t>
      </w:r>
      <w:r>
        <w:rPr>
          <w:rFonts w:hint="eastAsia" w:ascii="仿宋" w:hAnsi="仿宋" w:eastAsia="仿宋"/>
          <w:b w:val="0"/>
          <w:bCs/>
          <w:color w:val="383838"/>
          <w:sz w:val="32"/>
          <w:shd w:val="clear" w:color="auto" w:fill="FFFFFF"/>
          <w:lang w:val="zh-CN"/>
        </w:rPr>
        <w:t>负责完成上级机关交办的其他工作任务。</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321" w:firstLineChars="10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（二）基本情况。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Autospacing="0" w:line="600" w:lineRule="exact"/>
        <w:ind w:firstLine="640" w:firstLineChars="200"/>
        <w:textAlignment w:val="auto"/>
        <w:rPr>
          <w:rFonts w:hint="default"/>
          <w:lang w:val="en-US" w:eastAsia="zh-CN"/>
        </w:rPr>
      </w:pPr>
      <w:r>
        <w:rPr>
          <w:rFonts w:hint="eastAsia" w:ascii="仿宋" w:hAnsi="仿宋" w:eastAsia="仿宋"/>
          <w:b w:val="0"/>
          <w:bCs/>
          <w:color w:val="383838"/>
          <w:sz w:val="32"/>
          <w:shd w:val="clear" w:color="auto" w:fill="FFFFFF"/>
          <w:lang w:val="en-US" w:eastAsia="zh-CN"/>
        </w:rPr>
        <w:t>本镇共</w:t>
      </w:r>
      <w:r>
        <w:rPr>
          <w:rFonts w:hint="eastAsia" w:ascii="仿宋" w:hAnsi="仿宋" w:eastAsia="仿宋"/>
          <w:b w:val="0"/>
          <w:bCs/>
          <w:color w:val="383838"/>
          <w:sz w:val="32"/>
          <w:shd w:val="clear" w:color="auto" w:fill="FFFFFF"/>
          <w:lang w:eastAsia="zh-CN"/>
        </w:rPr>
        <w:t>辖有</w:t>
      </w:r>
      <w:r>
        <w:rPr>
          <w:rFonts w:hint="eastAsia" w:ascii="仿宋" w:hAnsi="仿宋" w:eastAsia="仿宋"/>
          <w:b w:val="0"/>
          <w:bCs/>
          <w:color w:val="383838"/>
          <w:sz w:val="32"/>
          <w:shd w:val="clear" w:color="auto" w:fill="FFFFFF"/>
          <w:lang w:val="en-US" w:eastAsia="zh-CN"/>
        </w:rPr>
        <w:t>20</w:t>
      </w:r>
      <w:r>
        <w:rPr>
          <w:rFonts w:hint="eastAsia" w:ascii="仿宋" w:hAnsi="仿宋" w:eastAsia="仿宋"/>
          <w:b w:val="0"/>
          <w:bCs/>
          <w:color w:val="383838"/>
          <w:sz w:val="32"/>
          <w:shd w:val="clear" w:color="auto" w:fill="FFFFFF"/>
          <w:lang w:eastAsia="zh-CN"/>
        </w:rPr>
        <w:t>个村，2个</w:t>
      </w:r>
      <w:r>
        <w:rPr>
          <w:rFonts w:hint="eastAsia" w:ascii="仿宋" w:hAnsi="仿宋" w:eastAsia="仿宋"/>
          <w:b w:val="0"/>
          <w:bCs/>
          <w:color w:val="383838"/>
          <w:sz w:val="32"/>
          <w:shd w:val="clear" w:color="auto" w:fill="FFFFFF"/>
          <w:lang w:val="en-US" w:eastAsia="zh-CN"/>
        </w:rPr>
        <w:t>社区</w:t>
      </w:r>
      <w:r>
        <w:rPr>
          <w:rFonts w:hint="eastAsia" w:ascii="仿宋" w:hAnsi="仿宋" w:eastAsia="仿宋"/>
          <w:b w:val="0"/>
          <w:bCs/>
          <w:color w:val="383838"/>
          <w:sz w:val="32"/>
          <w:shd w:val="clear" w:color="auto" w:fill="FFFFFF"/>
          <w:lang w:eastAsia="zh-CN"/>
        </w:rPr>
        <w:t>居委会，</w:t>
      </w:r>
      <w:r>
        <w:rPr>
          <w:rFonts w:hint="eastAsia" w:ascii="仿宋" w:hAnsi="仿宋" w:eastAsia="仿宋"/>
          <w:b w:val="0"/>
          <w:bCs/>
          <w:color w:val="383838"/>
          <w:sz w:val="32"/>
          <w:shd w:val="clear" w:color="auto" w:fill="FFFFFF"/>
          <w:lang w:val="en-US" w:eastAsia="zh-CN"/>
        </w:rPr>
        <w:t>2022年</w:t>
      </w:r>
      <w:r>
        <w:rPr>
          <w:rFonts w:hint="eastAsia" w:ascii="仿宋" w:hAnsi="仿宋" w:eastAsia="仿宋"/>
          <w:b w:val="0"/>
          <w:bCs/>
          <w:color w:val="383838"/>
          <w:sz w:val="32"/>
          <w:shd w:val="clear" w:color="auto" w:fill="FFFFFF"/>
          <w:lang w:eastAsia="zh-CN"/>
        </w:rPr>
        <w:t>政府机关现有在编财政供养人员</w:t>
      </w:r>
      <w:r>
        <w:rPr>
          <w:rFonts w:hint="eastAsia" w:ascii="仿宋" w:hAnsi="仿宋" w:eastAsia="仿宋"/>
          <w:b w:val="0"/>
          <w:bCs/>
          <w:color w:val="383838"/>
          <w:sz w:val="32"/>
          <w:shd w:val="clear" w:color="auto" w:fill="FFFFFF"/>
          <w:lang w:val="en-US" w:eastAsia="zh-CN"/>
        </w:rPr>
        <w:t>109人，其中行政人员31人，事业人员78人</w:t>
      </w:r>
      <w:r>
        <w:rPr>
          <w:rFonts w:hint="eastAsia" w:ascii="仿宋" w:hAnsi="仿宋" w:eastAsia="仿宋"/>
          <w:b w:val="0"/>
          <w:bCs/>
          <w:color w:val="383838"/>
          <w:sz w:val="32"/>
          <w:shd w:val="clear" w:color="auto" w:fill="FFFFFF"/>
          <w:lang w:eastAsia="zh-CN"/>
        </w:rPr>
        <w:t>。</w:t>
      </w:r>
      <w:r>
        <w:rPr>
          <w:rFonts w:hint="eastAsia" w:ascii="仿宋" w:hAnsi="仿宋" w:eastAsia="仿宋"/>
          <w:b w:val="0"/>
          <w:bCs/>
          <w:color w:val="383838"/>
          <w:sz w:val="32"/>
          <w:shd w:val="clear" w:color="auto" w:fill="FFFFFF"/>
          <w:lang w:val="en-US" w:eastAsia="zh-CN"/>
        </w:rPr>
        <w:t>本单位分硫市镇人民政府本级，下设硫市镇行政综合执法大队、硫市镇农业综合服务中心、硫市镇社会事务中心、硫市镇政务服务中心、硫市镇退役军人服务站等5个二级机构。</w:t>
      </w:r>
    </w:p>
    <w:p>
      <w:pPr>
        <w:pStyle w:val="3"/>
        <w:pageBreakBefore w:val="0"/>
        <w:widowControl w:val="0"/>
        <w:kinsoku/>
        <w:wordWrap/>
        <w:overflowPunct/>
        <w:topLinePunct w:val="0"/>
        <w:autoSpaceDE/>
        <w:bidi w:val="0"/>
        <w:adjustRightInd/>
        <w:snapToGrid/>
        <w:spacing w:before="56" w:beforeLines="17" w:beforeAutospacing="0" w:after="0" w:afterLines="0" w:afterAutospacing="0" w:line="600" w:lineRule="exact"/>
        <w:ind w:left="0" w:leftChars="0" w:firstLine="89" w:firstLineChars="28"/>
        <w:textAlignment w:val="auto"/>
        <w:rPr>
          <w:rFonts w:hint="eastAsia"/>
          <w:b w:val="0"/>
          <w:bCs/>
          <w:lang w:val="en-US" w:eastAsia="zh-CN"/>
        </w:rPr>
      </w:pPr>
      <w:r>
        <w:rPr>
          <w:rFonts w:hint="eastAsia"/>
          <w:b w:val="0"/>
          <w:bCs/>
          <w:lang w:val="en-US" w:eastAsia="zh-CN"/>
        </w:rPr>
        <w:t>二、2022年主要目标工作任务及实施情况</w:t>
      </w:r>
    </w:p>
    <w:p>
      <w:pPr>
        <w:spacing w:line="600" w:lineRule="exact"/>
        <w:ind w:firstLine="640" w:firstLineChars="200"/>
        <w:rPr>
          <w:rFonts w:eastAsia="仿宋" w:cs="仿宋"/>
          <w:sz w:val="32"/>
          <w:szCs w:val="32"/>
          <w:shd w:val="clear" w:color="auto" w:fill="FFFFFF"/>
        </w:rPr>
      </w:pPr>
      <w:r>
        <w:rPr>
          <w:rFonts w:hint="default" w:ascii="Times New Roman" w:hAnsi="Times New Roman" w:eastAsia="仿宋" w:cs="Times New Roman"/>
          <w:sz w:val="32"/>
          <w:szCs w:val="32"/>
          <w:shd w:val="clear" w:color="auto" w:fill="FFFFFF"/>
        </w:rPr>
        <w:t>2022</w:t>
      </w:r>
      <w:r>
        <w:rPr>
          <w:rFonts w:hint="eastAsia" w:ascii="Times New Roman" w:hAnsi="Times New Roman" w:eastAsia="仿宋" w:cs="Times New Roman"/>
          <w:sz w:val="32"/>
          <w:szCs w:val="32"/>
          <w:shd w:val="clear" w:color="auto" w:fill="FFFFFF"/>
          <w:lang w:val="en-US" w:eastAsia="zh-CN"/>
        </w:rPr>
        <w:t>年</w:t>
      </w:r>
      <w:r>
        <w:rPr>
          <w:rFonts w:hint="eastAsia" w:eastAsia="仿宋" w:cs="仿宋"/>
          <w:sz w:val="32"/>
          <w:szCs w:val="32"/>
          <w:shd w:val="clear" w:color="auto" w:fill="FFFFFF"/>
        </w:rPr>
        <w:t>是党的二十大召开之年，是极不平凡、极具考验的一年。面对“疫情要防住、经济要稳住、发展要安全”的艰巨任务，我们坚持以习近平新时代中国特色社会主义思想为指导，深入学习贯彻习近平总书记重要讲话和指示精神，在县委、县政府和镇党委的坚强领导下，抢抓机遇谋突破，凝心聚力促发展，统筹推进疫情防控和经济社会发展，始终保持经济运行稳中有进，在稳增长、防风险、保稳定、惠民生各项工作中取得了突出成效。</w:t>
      </w:r>
    </w:p>
    <w:p>
      <w:pPr>
        <w:ind w:firstLine="640" w:firstLineChars="200"/>
        <w:rPr>
          <w:rFonts w:ascii="仿宋" w:hAnsi="仿宋" w:eastAsia="仿宋"/>
          <w:sz w:val="32"/>
          <w:szCs w:val="32"/>
        </w:rPr>
      </w:pPr>
      <w:r>
        <w:rPr>
          <w:rFonts w:hint="eastAsia" w:ascii="仿宋" w:hAnsi="仿宋" w:eastAsia="仿宋"/>
          <w:sz w:val="32"/>
          <w:szCs w:val="32"/>
        </w:rPr>
        <w:t>一年来，重点做了以下</w:t>
      </w:r>
      <w:r>
        <w:rPr>
          <w:rFonts w:hint="eastAsia" w:ascii="仿宋" w:hAnsi="仿宋" w:eastAsia="仿宋"/>
          <w:sz w:val="32"/>
          <w:szCs w:val="32"/>
          <w:lang w:val="en-US" w:eastAsia="zh-CN"/>
        </w:rPr>
        <w:t>四</w:t>
      </w:r>
      <w:r>
        <w:rPr>
          <w:rFonts w:hint="eastAsia" w:ascii="仿宋" w:hAnsi="仿宋" w:eastAsia="仿宋"/>
          <w:sz w:val="32"/>
          <w:szCs w:val="32"/>
        </w:rPr>
        <w:t>个方面工作：</w:t>
      </w:r>
    </w:p>
    <w:p>
      <w:pPr>
        <w:ind w:firstLine="643" w:firstLineChars="200"/>
        <w:rPr>
          <w:rFonts w:hint="eastAsia" w:ascii="楷体" w:hAnsi="楷体" w:eastAsia="楷体"/>
          <w:b/>
          <w:bCs/>
          <w:sz w:val="32"/>
          <w:szCs w:val="32"/>
        </w:rPr>
      </w:pPr>
      <w:r>
        <w:rPr>
          <w:rFonts w:hint="eastAsia" w:ascii="楷体" w:hAnsi="楷体" w:eastAsia="楷体"/>
          <w:b/>
          <w:bCs/>
          <w:sz w:val="32"/>
          <w:szCs w:val="32"/>
        </w:rPr>
        <w:t>（一）慎终如始，坚决守牢疫情防线</w:t>
      </w:r>
    </w:p>
    <w:p>
      <w:pPr>
        <w:spacing w:line="600" w:lineRule="exact"/>
        <w:ind w:firstLine="643" w:firstLineChars="200"/>
        <w:textAlignment w:val="bottom"/>
        <w:rPr>
          <w:rFonts w:hint="eastAsia" w:ascii="仿宋_GB2312" w:eastAsia="仿宋_GB2312"/>
          <w:snapToGrid w:val="0"/>
          <w:color w:val="000000"/>
          <w:sz w:val="32"/>
        </w:rPr>
      </w:pPr>
      <w:r>
        <w:rPr>
          <w:rFonts w:hint="eastAsia" w:eastAsia="仿宋" w:cs="仿宋"/>
          <w:b/>
          <w:bCs/>
          <w:sz w:val="32"/>
          <w:szCs w:val="32"/>
          <w:shd w:val="clear" w:color="auto" w:fill="FFFFFF"/>
        </w:rPr>
        <w:t>一是多级部署织牢防控之网。</w:t>
      </w:r>
      <w:r>
        <w:rPr>
          <w:rFonts w:hint="eastAsia" w:ascii="仿宋_GB2312" w:eastAsia="仿宋_GB2312"/>
          <w:snapToGrid w:val="0"/>
          <w:color w:val="000000"/>
          <w:sz w:val="32"/>
        </w:rPr>
        <w:t>成立工作专班，针对“信息摸排”、“闭环转运”、“人员管控”、“核酸采样”等四项疫情防控重要环节进行人员部署，以实际行动做到快速反应，责任压实。完善动态排摸机制，对全镇22个村（社区）进行拉网式、精细化排摸，做到各村（社区）常住人口信息底数清、情况明。做好动态更新工作，抓好外来人员尤其是中高风险区所在县（区）来镇返镇人员排查，今年以来，摸排返乡人员1100余人，劝返900余人，劝阻红白喜事42起。联合村（居）两委干部、党员志愿者等实行“六包一” 人员管控措施，确保居家健康监测人员管控到位。</w:t>
      </w:r>
    </w:p>
    <w:p>
      <w:pPr>
        <w:spacing w:line="600" w:lineRule="exact"/>
        <w:ind w:firstLine="643" w:firstLineChars="200"/>
        <w:textAlignment w:val="bottom"/>
        <w:rPr>
          <w:rFonts w:hint="eastAsia" w:ascii="仿宋_GB2312" w:eastAsia="仿宋_GB2312"/>
          <w:snapToGrid w:val="0"/>
          <w:color w:val="000000"/>
          <w:sz w:val="32"/>
        </w:rPr>
      </w:pPr>
      <w:r>
        <w:rPr>
          <w:rFonts w:hint="eastAsia" w:eastAsia="仿宋" w:cs="仿宋"/>
          <w:b/>
          <w:bCs/>
          <w:sz w:val="32"/>
          <w:szCs w:val="32"/>
          <w:shd w:val="clear" w:color="auto" w:fill="FFFFFF"/>
        </w:rPr>
        <w:t>二是共驻共建稳固常态化管理。</w:t>
      </w:r>
      <w:r>
        <w:rPr>
          <w:rFonts w:hint="eastAsia" w:ascii="仿宋_GB2312" w:eastAsia="仿宋_GB2312"/>
          <w:snapToGrid w:val="0"/>
          <w:color w:val="000000"/>
          <w:sz w:val="32"/>
        </w:rPr>
        <w:t>常态化设立卡点。在高速路口严格实行“一扫、二看、三查、四验” 的查验步骤，执行党政正科领导带班、班子成员值班、24小时值班人员轮班制度，强化统一调度指挥。加强部门联防联控，对51个重点场所进行疫情防控监督责任划分。充分发挥党员干部示范带动作用，通过干部带家属、家属带亲朋，引导人员不流动、不聚集，保证社会面防控有序。创新宣传手段，充分利用“七个起来”及时宣传最新防控政策，推送周边疫情动态，提醒住户自觉遵守防控规定，提高自我防护意识。</w:t>
      </w:r>
    </w:p>
    <w:p>
      <w:pPr>
        <w:spacing w:line="600" w:lineRule="exact"/>
        <w:ind w:firstLine="643" w:firstLineChars="200"/>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（二）稳中求进，不断夯实“三农”基础</w:t>
      </w:r>
    </w:p>
    <w:p>
      <w:pPr>
        <w:spacing w:line="600" w:lineRule="exact"/>
        <w:ind w:firstLine="643" w:firstLineChars="200"/>
        <w:textAlignment w:val="bottom"/>
        <w:rPr>
          <w:rFonts w:hint="eastAsia" w:ascii="仿宋" w:hAnsi="仿宋" w:eastAsia="仿宋" w:cs="仿宋"/>
          <w:sz w:val="32"/>
          <w:szCs w:val="32"/>
          <w:highlight w:val="yellow"/>
        </w:rPr>
      </w:pPr>
      <w:r>
        <w:rPr>
          <w:rFonts w:hint="eastAsia" w:ascii="仿宋" w:hAnsi="仿宋" w:eastAsia="仿宋" w:cs="仿宋"/>
          <w:b/>
          <w:bCs/>
          <w:sz w:val="32"/>
          <w:szCs w:val="32"/>
        </w:rPr>
        <w:t>一是粮食生产稳中向好。</w:t>
      </w:r>
      <w:r>
        <w:rPr>
          <w:rFonts w:hint="eastAsia" w:ascii="仿宋" w:hAnsi="仿宋" w:eastAsia="仿宋" w:cs="仿宋"/>
          <w:sz w:val="32"/>
          <w:szCs w:val="32"/>
        </w:rPr>
        <w:t>全镇粮食生产总播种面积36528亩，其中一季稻32567亩、双季稻3961亩，一季稻产量17811吨，早稻1287吨，晚稻1584吨。全年积极开展再生稻、生态稻、第三代超级杂交稻办点示范，以天胜村为主的“再生稻”示范片和集福、太阳两片生态稻示范点都已颇具规模。</w:t>
      </w:r>
    </w:p>
    <w:p>
      <w:pPr>
        <w:spacing w:line="600" w:lineRule="exact"/>
        <w:ind w:firstLine="643" w:firstLineChars="200"/>
        <w:textAlignment w:val="bottom"/>
        <w:rPr>
          <w:rFonts w:hint="eastAsia" w:ascii="仿宋" w:hAnsi="仿宋" w:eastAsia="仿宋" w:cs="仿宋"/>
          <w:sz w:val="32"/>
          <w:szCs w:val="32"/>
        </w:rPr>
      </w:pPr>
      <w:r>
        <w:rPr>
          <w:rFonts w:hint="eastAsia" w:ascii="仿宋" w:hAnsi="仿宋" w:eastAsia="仿宋" w:cs="仿宋"/>
          <w:b/>
          <w:bCs/>
          <w:sz w:val="32"/>
          <w:szCs w:val="32"/>
        </w:rPr>
        <w:t>二是特色农业扩量提质。</w:t>
      </w:r>
      <w:r>
        <w:rPr>
          <w:rFonts w:hint="eastAsia" w:ascii="仿宋" w:hAnsi="仿宋" w:eastAsia="仿宋" w:cs="仿宋"/>
          <w:sz w:val="32"/>
          <w:szCs w:val="32"/>
        </w:rPr>
        <w:t>巩固特色农业产业优势，贯彻落实“绿水青山就是金山银山”理念，积极营造“一村一品，一镇一特”的经济发展格局，现代化经营理念改造传统农业，打造“互联网+”多种业态，供应链体系转型升级。天胜板栗、硫市村羊肚菌、大桥瓜蒌、福民村生态鱼、万龙村湘莲等已具备相当规模。泉峰百果园、梓木农业、乡情合作社、鑫泉合作社等年产值均过100万。“互联网+”农业给农村经济发展带来新活力，洋江村的绿豆煎搭上直播带货的快车，在抖音等直播平台累计销售逾13万，直播推介奏响了新时代助力农民增收的乐章。</w:t>
      </w:r>
    </w:p>
    <w:p>
      <w:pPr>
        <w:spacing w:line="600" w:lineRule="exact"/>
        <w:ind w:firstLine="643" w:firstLineChars="200"/>
        <w:textAlignment w:val="bottom"/>
        <w:rPr>
          <w:rFonts w:hint="eastAsia" w:ascii="仿宋" w:hAnsi="仿宋" w:eastAsia="仿宋" w:cs="仿宋"/>
          <w:sz w:val="32"/>
          <w:szCs w:val="32"/>
        </w:rPr>
      </w:pPr>
      <w:r>
        <w:rPr>
          <w:rFonts w:hint="eastAsia" w:ascii="仿宋" w:hAnsi="仿宋" w:eastAsia="仿宋" w:cs="仿宋"/>
          <w:b/>
          <w:bCs/>
          <w:sz w:val="32"/>
          <w:szCs w:val="32"/>
        </w:rPr>
        <w:t>三是乡村旅游迸发活力。</w:t>
      </w:r>
      <w:r>
        <w:rPr>
          <w:rFonts w:hint="eastAsia" w:ascii="仿宋" w:hAnsi="仿宋" w:eastAsia="仿宋" w:cs="仿宋"/>
          <w:sz w:val="32"/>
          <w:szCs w:val="32"/>
        </w:rPr>
        <w:t>以绿色发展为底色，生态资源为依托，创新探索“文旅+产业”模式，逐步打造“业态多元、特色鲜明”的全域旅游发展态势。大桥村加强生态环境治理，在重金属超标的土地上种植湘莲，使得百亩农田转变成农旅乐园；天胜村盘活原生态板栗林，做好“板栗”文章，发展板栗采摘、打板栗、板栗特色菜肴等多个文娱项目，年参观游客约2000余人；古山片区联合打造万亩油茶基地，引进资源共同开发原生态旅游，着力培养好看、好玩、好卖、“三好”新业态，上千村民端上了“生态碗”，吃上了“旅游饭”。</w:t>
      </w:r>
    </w:p>
    <w:p>
      <w:pPr>
        <w:spacing w:line="600" w:lineRule="exact"/>
        <w:ind w:firstLine="643" w:firstLineChars="200"/>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（三）实干为先，着力提升发展质效</w:t>
      </w:r>
    </w:p>
    <w:p>
      <w:pPr>
        <w:ind w:firstLine="640"/>
        <w:rPr>
          <w:rFonts w:hint="eastAsia" w:ascii="仿宋" w:hAnsi="仿宋" w:eastAsia="仿宋" w:cs="仿宋"/>
          <w:sz w:val="32"/>
          <w:szCs w:val="32"/>
        </w:rPr>
      </w:pPr>
      <w:r>
        <w:rPr>
          <w:rFonts w:hint="eastAsia" w:ascii="仿宋" w:hAnsi="仿宋" w:eastAsia="仿宋" w:cs="仿宋"/>
          <w:b/>
          <w:bCs/>
          <w:sz w:val="32"/>
          <w:szCs w:val="32"/>
        </w:rPr>
        <w:t>一是生态保护持续加强。</w:t>
      </w:r>
      <w:r>
        <w:rPr>
          <w:rFonts w:hint="eastAsia" w:ascii="仿宋" w:hAnsi="仿宋" w:eastAsia="仿宋" w:cs="仿宋"/>
          <w:sz w:val="32"/>
          <w:szCs w:val="32"/>
        </w:rPr>
        <w:t>打好森林防灭火攻坚战，坚决落实“八条断然措施”的要求，建立完善森林防灭火联席制度，强化宣传力度，传播安全理念，提升综合保障能力，加强应急预案演练和防灭火队伍日常巡逻，全年共开展秸秆禁烧巡查310余次，在防火形势异常严峻的特护期内，全镇未发生一起较大火情。落实镇村两级河长责任，累计巡河285余人次，其中投资20余万元对小一型、小二型水库除险加固，对28口山塘清淤硬化、完善水渠建设，共涉及8村有9千米，改善了河道行洪及灌溉能力，以实际行动实现“河畅、水清、岸绿、景美”的工作目标。</w:t>
      </w:r>
    </w:p>
    <w:p>
      <w:pPr>
        <w:pStyle w:val="2"/>
        <w:ind w:firstLine="643"/>
        <w:rPr>
          <w:rFonts w:hint="eastAsia"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是</w:t>
      </w:r>
      <w:r>
        <w:rPr>
          <w:rFonts w:hint="eastAsia" w:ascii="仿宋" w:hAnsi="仿宋" w:eastAsia="仿宋" w:cs="仿宋"/>
          <w:b/>
          <w:bCs/>
          <w:sz w:val="32"/>
          <w:szCs w:val="32"/>
        </w:rPr>
        <w:t>环境整治做实做足</w:t>
      </w:r>
      <w:r>
        <w:rPr>
          <w:rFonts w:hint="eastAsia" w:ascii="仿宋" w:hAnsi="仿宋" w:eastAsia="仿宋" w:cs="仿宋"/>
          <w:sz w:val="32"/>
          <w:szCs w:val="32"/>
        </w:rPr>
        <w:t>。明确任务，落实责任，实施网格化管理制度、积分制度、日常清扫制度、督查考核制度、月评比方法。专职人员进行全程巡查和督导，拆除废旧破损广告50余幅，画机动车和非机动车停车线约2公里，清理卫生死角100余处，规范占道经营120余次，清理房前屋后和道路建渣、生活垃圾80余吨，投入整治经费约30万元。</w:t>
      </w:r>
      <w:r>
        <w:rPr>
          <w:rFonts w:hint="eastAsia" w:eastAsia="仿宋" w:cs="仿宋"/>
          <w:sz w:val="32"/>
          <w:szCs w:val="32"/>
          <w:shd w:val="clear" w:color="auto" w:fill="FFFFFF"/>
        </w:rPr>
        <w:t>扎实开展“一拆二改三清四化”行动，新（改）建农村卫生厕所</w:t>
      </w:r>
      <w:r>
        <w:rPr>
          <w:rFonts w:eastAsia="仿宋" w:cs="仿宋"/>
          <w:sz w:val="32"/>
          <w:szCs w:val="32"/>
          <w:shd w:val="clear" w:color="auto" w:fill="FFFFFF"/>
        </w:rPr>
        <w:t>330</w:t>
      </w:r>
      <w:r>
        <w:rPr>
          <w:rFonts w:hint="eastAsia" w:eastAsia="仿宋" w:cs="仿宋"/>
          <w:sz w:val="32"/>
          <w:szCs w:val="32"/>
          <w:shd w:val="clear" w:color="auto" w:fill="FFFFFF"/>
        </w:rPr>
        <w:t>户。</w:t>
      </w:r>
    </w:p>
    <w:p>
      <w:pPr>
        <w:pStyle w:val="2"/>
        <w:ind w:firstLine="643"/>
        <w:rPr>
          <w:rFonts w:hint="eastAsia"/>
        </w:rPr>
      </w:pPr>
      <w:r>
        <w:rPr>
          <w:rFonts w:hint="eastAsia" w:ascii="仿宋" w:hAnsi="仿宋" w:eastAsia="仿宋" w:cs="仿宋"/>
          <w:b/>
          <w:bCs/>
          <w:sz w:val="32"/>
          <w:szCs w:val="32"/>
        </w:rPr>
        <w:t>三是基础设施日臻完善</w:t>
      </w:r>
      <w:r>
        <w:rPr>
          <w:rFonts w:hint="eastAsia" w:ascii="仿宋" w:hAnsi="仿宋" w:eastAsia="仿宋" w:cs="仿宋"/>
          <w:sz w:val="32"/>
          <w:szCs w:val="32"/>
        </w:rPr>
        <w:t>。全域多点突破，夯实基础支撑，实现基础设施质的跨越。推进泉南高速硫市收费口至s339连接线项目落地，区域交通优势更加凸显。全镇已实现村村通水泥路（柏油路），并新建资源产业路3.5公里，全年共硬化通组公路7公里，三村并村连通路已完成路基改造工程共计4.8公里，通村公路窄路加宽工程完成5.4公里。农村电网入户线路和户表改造全面完成，宽带通村率由79%提升至100%，为乡村发展提质增速。全镇共计投资10万余元对镇三条主要街道路灯进行维修、更换，彻底解决路灯老化等问题，为居民夜间安全出行提供保障。</w:t>
      </w:r>
      <w:r>
        <w:rPr>
          <w:rFonts w:hint="eastAsia" w:eastAsia="仿宋" w:cs="仿宋"/>
          <w:sz w:val="32"/>
          <w:szCs w:val="32"/>
          <w:shd w:val="clear" w:color="auto" w:fill="FFFFFF"/>
        </w:rPr>
        <w:t>盘活水资源，做好水“文章”，硫市镇集中供水扩建项目现已全面竣工，项目总投资约</w:t>
      </w:r>
      <w:r>
        <w:rPr>
          <w:rFonts w:eastAsia="仿宋" w:cs="仿宋"/>
          <w:sz w:val="32"/>
          <w:szCs w:val="32"/>
          <w:shd w:val="clear" w:color="auto" w:fill="FFFFFF"/>
        </w:rPr>
        <w:t>1100</w:t>
      </w:r>
      <w:r>
        <w:rPr>
          <w:rFonts w:hint="eastAsia" w:eastAsia="仿宋" w:cs="仿宋"/>
          <w:sz w:val="32"/>
          <w:szCs w:val="32"/>
          <w:shd w:val="clear" w:color="auto" w:fill="FFFFFF"/>
        </w:rPr>
        <w:t>万元，日供水量共</w:t>
      </w:r>
      <w:r>
        <w:rPr>
          <w:rFonts w:eastAsia="仿宋" w:cs="仿宋"/>
          <w:sz w:val="32"/>
          <w:szCs w:val="32"/>
          <w:shd w:val="clear" w:color="auto" w:fill="FFFFFF"/>
        </w:rPr>
        <w:t>5000</w:t>
      </w:r>
      <w:r>
        <w:rPr>
          <w:rFonts w:hint="eastAsia" w:eastAsia="仿宋" w:cs="仿宋"/>
          <w:sz w:val="32"/>
          <w:szCs w:val="32"/>
          <w:shd w:val="clear" w:color="auto" w:fill="FFFFFF"/>
        </w:rPr>
        <w:t>吨，预计年前投入使用，彻底解决居民生产生活用水难题。</w:t>
      </w:r>
    </w:p>
    <w:p>
      <w:pPr>
        <w:spacing w:line="600" w:lineRule="exact"/>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（四）务实笃行，</w:t>
      </w:r>
      <w:r>
        <w:rPr>
          <w:rStyle w:val="8"/>
          <w:rFonts w:hint="eastAsia" w:ascii="楷体_GB2312" w:hAnsi="微软雅黑" w:eastAsia="楷体_GB2312"/>
          <w:color w:val="333333"/>
          <w:sz w:val="32"/>
          <w:szCs w:val="32"/>
          <w:shd w:val="clear" w:color="auto" w:fill="FFFFFF"/>
        </w:rPr>
        <w:t>持续筑优民生福祉</w:t>
      </w:r>
    </w:p>
    <w:p>
      <w:pPr>
        <w:spacing w:line="600" w:lineRule="exact"/>
        <w:ind w:firstLine="643" w:firstLineChars="200"/>
        <w:textAlignment w:val="bottom"/>
        <w:rPr>
          <w:rFonts w:hint="eastAsia" w:ascii="仿宋" w:hAnsi="仿宋" w:eastAsia="仿宋" w:cs="仿宋"/>
          <w:sz w:val="32"/>
          <w:szCs w:val="32"/>
        </w:rPr>
      </w:pPr>
      <w:r>
        <w:rPr>
          <w:rFonts w:hint="eastAsia" w:ascii="仿宋" w:hAnsi="仿宋" w:eastAsia="仿宋" w:cs="仿宋"/>
          <w:b/>
          <w:bCs/>
          <w:sz w:val="32"/>
          <w:szCs w:val="32"/>
        </w:rPr>
        <w:t>一是民生保障坚实有力</w:t>
      </w:r>
      <w:r>
        <w:rPr>
          <w:rFonts w:hint="eastAsia" w:ascii="仿宋" w:hAnsi="仿宋" w:eastAsia="仿宋" w:cs="仿宋"/>
          <w:sz w:val="32"/>
          <w:szCs w:val="32"/>
        </w:rPr>
        <w:t>。持续加大教育、医疗、养老等重点领域民生投入，民生支出占一般公共预算支出稳定在65%以上。推送就业岗位114个，开发公益性岗位45个，城镇失业登记率控制在7.1%以内。全年发放低保、优抚补助、特困供养金等各类资金265万元，慈善公益、残疾康复、双拥优抚等工作全面加强，城乡居民医保及社保参保率逐年上升，多层次社会保障体系更趋完善。</w:t>
      </w:r>
    </w:p>
    <w:p>
      <w:pPr>
        <w:spacing w:line="600" w:lineRule="exact"/>
        <w:ind w:firstLine="643" w:firstLineChars="200"/>
        <w:textAlignment w:val="bottom"/>
        <w:rPr>
          <w:rFonts w:hint="eastAsia" w:ascii="仿宋" w:hAnsi="仿宋" w:eastAsia="仿宋" w:cs="仿宋"/>
          <w:sz w:val="32"/>
          <w:szCs w:val="32"/>
        </w:rPr>
      </w:pPr>
      <w:r>
        <w:rPr>
          <w:rFonts w:hint="eastAsia" w:ascii="仿宋" w:hAnsi="仿宋" w:eastAsia="仿宋" w:cs="仿宋"/>
          <w:b/>
          <w:bCs/>
          <w:sz w:val="32"/>
          <w:szCs w:val="32"/>
        </w:rPr>
        <w:t>二是乡村振兴稳步推进</w:t>
      </w:r>
      <w:r>
        <w:rPr>
          <w:rFonts w:hint="eastAsia" w:ascii="仿宋" w:hAnsi="仿宋" w:eastAsia="仿宋" w:cs="仿宋"/>
          <w:sz w:val="32"/>
          <w:szCs w:val="32"/>
        </w:rPr>
        <w:t>。不断推动巩固脱贫攻坚成果同乡村振兴有效衔接，保持现有资金支持、帮扶力量等总体稳定，对脱贫户、边缘户、监测户及困难群众逐户逐人排查，精准精细精实核实，对排查出有风险户镇财政安排专项经费对其进行帮助，“两不愁”“三保障”水平持续提升。教育保障方面，脱贫学生学杂费全部按政策减免，享受教育生活补助的学生有661人，春季385人，秋季276人，“雨露计划”有136人，春季65人，秋季71人。医疗保障方面，脱贫人口、监测对象等困难群体医保参保率为100%，“四类慢性病”患者签约管理服务率81.3%。住房方面，分散易地扶贫搬迁对象56户，集中易地扶贫搬迁对象50户，有116户已经办理不动产登记，后续扶持政策落实116户。持续壮大扶贫产业，新建乡村车间4个，新增脱贫劳动力就业45人，实现脱贫人口就业增收。</w:t>
      </w:r>
    </w:p>
    <w:p>
      <w:pPr>
        <w:pStyle w:val="2"/>
        <w:ind w:firstLine="643"/>
        <w:rPr>
          <w:rFonts w:hint="eastAsia" w:ascii="仿宋" w:hAnsi="仿宋" w:eastAsia="仿宋" w:cs="仿宋"/>
          <w:sz w:val="32"/>
          <w:szCs w:val="32"/>
        </w:rPr>
      </w:pPr>
      <w:r>
        <w:rPr>
          <w:rFonts w:hint="eastAsia" w:ascii="仿宋" w:hAnsi="仿宋" w:eastAsia="仿宋" w:cs="仿宋"/>
          <w:b/>
          <w:bCs/>
          <w:sz w:val="32"/>
          <w:szCs w:val="32"/>
        </w:rPr>
        <w:t>三是社会治理有力有序。</w:t>
      </w:r>
      <w:r>
        <w:rPr>
          <w:rFonts w:hint="eastAsia" w:ascii="仿宋" w:hAnsi="仿宋" w:eastAsia="仿宋" w:cs="仿宋"/>
          <w:sz w:val="32"/>
          <w:szCs w:val="32"/>
        </w:rPr>
        <w:t>着力统筹发展与安全，牢牢守住社会稳定和安全底线。常态化开展反电诈宣传教育、禁毒宣传、法治宣传、扫黑除恶专项斗争等工作，平安硫市建设成效显著，综治民调工作全市领先。创新完善矛盾纠纷多元化解机制和信访制度，畅通信访渠道，共接待群众来访39批次，办结信访件26件。排查矛盾纠纷，共排查调处各类矛盾纠纷16件，调解成功16件，成功率达100%，其中司法确认6件，法律援助2件。深入推进安全生产专项整治，常态化开展安全生产大检查。各村、企业均悬挂安全生产横幅，全年无安全生产责任事故发生，安全生产形势持续稳定。扎实开展自建房安全专项整治工作，坚决守好群众房屋安全“生命线”。对所有自建房、改建改用房屋建筑及人员密集场所开展“拉网式”全覆盖走访排查，硫市镇已排查录入自建房8928栋，其中存在一定安全隐患经营性自建房52栋，非经营性自建房108栋，判定为CD级非经营性自建房196栋，经营性自建房排查率100%，整改率100%，以高标准、严要求把自建房安全专项整治工作落实、落细。全镇各条战线工作稳步提升，民兵预备役、双拥共建工作不断加强，学校、工商联、文联、统计、保密、档案、邮政等工作得到巩固提升，工会、共青团、妇联等群团组织发挥更大作用，其中妇联工作获得市级荣誉表彰，被评为“最美巾帼志愿者团队”。</w:t>
      </w:r>
    </w:p>
    <w:p>
      <w:pPr>
        <w:spacing w:line="600" w:lineRule="exact"/>
        <w:ind w:firstLine="640" w:firstLineChars="200"/>
        <w:rPr>
          <w:rFonts w:ascii="仿宋" w:hAnsi="仿宋" w:eastAsia="仿宋" w:cs="仿宋"/>
          <w:sz w:val="32"/>
          <w:szCs w:val="32"/>
        </w:rPr>
      </w:pPr>
      <w:r>
        <w:rPr>
          <w:rFonts w:hint="eastAsia" w:eastAsia="仿宋" w:cs="仿宋"/>
          <w:sz w:val="32"/>
          <w:szCs w:val="32"/>
          <w:shd w:val="clear" w:color="auto" w:fill="FFFFFF"/>
        </w:rPr>
        <w:t>看到成绩的同时，我们也清醒地认识到，硫市镇经济社会发展还面临诸多挑战。</w:t>
      </w:r>
      <w:r>
        <w:rPr>
          <w:rFonts w:hint="eastAsia" w:eastAsia="仿宋" w:cs="仿宋"/>
          <w:b/>
          <w:bCs/>
          <w:sz w:val="32"/>
          <w:szCs w:val="32"/>
          <w:shd w:val="clear" w:color="auto" w:fill="FFFFFF"/>
        </w:rPr>
        <w:t>一是</w:t>
      </w:r>
      <w:r>
        <w:rPr>
          <w:rFonts w:hint="eastAsia" w:eastAsia="仿宋" w:cs="仿宋"/>
          <w:sz w:val="32"/>
          <w:szCs w:val="32"/>
          <w:shd w:val="clear" w:color="auto" w:fill="FFFFFF"/>
        </w:rPr>
        <w:t>农业转型升级速度慢，特色农业、生态旅游业产业化水平不高，数字化转型慢，标准化能力不足，绿色发展压力较大，未形成产业价值链；</w:t>
      </w:r>
      <w:r>
        <w:rPr>
          <w:rFonts w:hint="eastAsia" w:eastAsia="仿宋" w:cs="仿宋"/>
          <w:b/>
          <w:bCs/>
          <w:sz w:val="32"/>
          <w:szCs w:val="32"/>
          <w:shd w:val="clear" w:color="auto" w:fill="FFFFFF"/>
        </w:rPr>
        <w:t>二是</w:t>
      </w:r>
      <w:r>
        <w:rPr>
          <w:rFonts w:hint="eastAsia" w:eastAsia="仿宋" w:cs="仿宋"/>
          <w:sz w:val="32"/>
          <w:szCs w:val="32"/>
          <w:shd w:val="clear" w:color="auto" w:fill="FFFFFF"/>
        </w:rPr>
        <w:t>经济总量不大，重点产业支撑项目不多，科技创新能力不足，综合竞争力还不够强；</w:t>
      </w:r>
      <w:r>
        <w:rPr>
          <w:rFonts w:hint="eastAsia" w:eastAsia="仿宋" w:cs="仿宋"/>
          <w:b/>
          <w:bCs/>
          <w:sz w:val="32"/>
          <w:szCs w:val="32"/>
          <w:shd w:val="clear" w:color="auto" w:fill="FFFFFF"/>
        </w:rPr>
        <w:t>三是</w:t>
      </w:r>
      <w:r>
        <w:rPr>
          <w:rFonts w:hint="eastAsia" w:eastAsia="仿宋" w:cs="仿宋"/>
          <w:sz w:val="32"/>
          <w:szCs w:val="32"/>
          <w:shd w:val="clear" w:color="auto" w:fill="FFFFFF"/>
        </w:rPr>
        <w:t>专业人才匮乏，广大农村的引才向心力不足，愿意在农村创业发展的人才不多，乡村振兴缺少行之有效的人才政策和人才发展平台。</w:t>
      </w:r>
      <w:r>
        <w:rPr>
          <w:rFonts w:hint="eastAsia" w:ascii="仿宋" w:hAnsi="仿宋" w:eastAsia="仿宋" w:cs="仿宋"/>
          <w:sz w:val="32"/>
          <w:szCs w:val="32"/>
        </w:rPr>
        <w:t>对此，我们将采取有力措施，切实加以解决。</w:t>
      </w:r>
    </w:p>
    <w:p>
      <w:pPr>
        <w:rPr>
          <w:rFonts w:hint="eastAsia"/>
          <w:lang w:val="en-US" w:eastAsia="zh-CN"/>
        </w:rPr>
      </w:pPr>
    </w:p>
    <w:p>
      <w:pPr>
        <w:keepNext w:val="0"/>
        <w:keepLines w:val="0"/>
        <w:pageBreakBefore w:val="0"/>
        <w:numPr>
          <w:ilvl w:val="0"/>
          <w:numId w:val="0"/>
        </w:numPr>
        <w:kinsoku/>
        <w:wordWrap/>
        <w:overflowPunct/>
        <w:topLinePunct w:val="0"/>
        <w:autoSpaceDE/>
        <w:bidi w:val="0"/>
        <w:adjustRightInd/>
        <w:spacing w:beforeAutospacing="0" w:after="210" w:afterLines="67" w:afterAutospacing="0" w:line="600" w:lineRule="exact"/>
        <w:textAlignment w:val="auto"/>
        <w:rPr>
          <w:rFonts w:hint="eastAsia"/>
          <w:sz w:val="32"/>
          <w:szCs w:val="32"/>
        </w:rPr>
      </w:pPr>
      <w:r>
        <w:rPr>
          <w:rFonts w:hint="eastAsia" w:ascii="黑体" w:eastAsia="黑体"/>
          <w:sz w:val="32"/>
          <w:szCs w:val="32"/>
          <w:lang w:val="en-US" w:eastAsia="zh-CN"/>
        </w:rPr>
        <w:t>三、</w:t>
      </w:r>
      <w:r>
        <w:rPr>
          <w:rFonts w:hint="eastAsia" w:ascii="黑体" w:eastAsia="黑体"/>
          <w:sz w:val="32"/>
          <w:szCs w:val="32"/>
        </w:rPr>
        <w:t>部门整体支出管理及使用情况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（一）部门预算决算收支情况</w:t>
      </w:r>
    </w:p>
    <w:p>
      <w:pPr>
        <w:keepNext w:val="0"/>
        <w:keepLines w:val="0"/>
        <w:pageBreakBefore w:val="0"/>
        <w:kinsoku/>
        <w:wordWrap/>
        <w:overflowPunct/>
        <w:topLinePunct w:val="0"/>
        <w:autoSpaceDE/>
        <w:bidi w:val="0"/>
        <w:adjustRightInd/>
        <w:spacing w:line="600" w:lineRule="exact"/>
        <w:ind w:firstLine="640" w:firstLineChars="200"/>
        <w:textAlignment w:val="auto"/>
        <w:rPr>
          <w:rFonts w:ascii="仿宋" w:hAnsi="仿宋" w:eastAsia="仿宋" w:cs="仿宋"/>
          <w:color w:val="333333"/>
          <w:sz w:val="32"/>
          <w:szCs w:val="32"/>
        </w:rPr>
      </w:pPr>
      <w:r>
        <w:rPr>
          <w:rFonts w:hint="eastAsia" w:ascii="仿宋" w:hAnsi="仿宋" w:eastAsia="仿宋" w:cs="Times New Roman"/>
          <w:b w:val="0"/>
          <w:bCs/>
          <w:color w:val="383838"/>
          <w:sz w:val="32"/>
          <w:shd w:val="clear" w:color="auto" w:fill="FFFFFF"/>
          <w:lang w:val="en-US" w:eastAsia="zh-CN"/>
        </w:rPr>
        <w:t>2022年年初预算收入1639.01万元，</w:t>
      </w:r>
      <w:r>
        <w:rPr>
          <w:rFonts w:hint="eastAsia" w:ascii="仿宋" w:hAnsi="仿宋" w:eastAsia="仿宋" w:cs="仿宋"/>
          <w:color w:val="333333"/>
          <w:sz w:val="32"/>
          <w:szCs w:val="32"/>
        </w:rPr>
        <w:t>其中：</w:t>
      </w:r>
      <w:r>
        <w:rPr>
          <w:rFonts w:hint="eastAsia" w:ascii="仿宋" w:hAnsi="仿宋" w:eastAsia="仿宋" w:cs="仿宋"/>
          <w:color w:val="333333"/>
          <w:sz w:val="32"/>
          <w:szCs w:val="32"/>
          <w:lang w:val="en-US" w:eastAsia="zh-CN"/>
        </w:rPr>
        <w:t>基本支出1075.58万元，</w:t>
      </w:r>
      <w:r>
        <w:rPr>
          <w:rFonts w:hint="eastAsia" w:ascii="仿宋" w:hAnsi="仿宋" w:eastAsia="仿宋" w:cs="仿宋"/>
          <w:color w:val="333333"/>
          <w:sz w:val="32"/>
          <w:szCs w:val="32"/>
        </w:rPr>
        <w:t>工资福利支出</w:t>
      </w:r>
      <w:r>
        <w:rPr>
          <w:rFonts w:hint="eastAsia" w:ascii="仿宋" w:hAnsi="仿宋" w:eastAsia="仿宋" w:cs="仿宋"/>
          <w:color w:val="333333"/>
          <w:sz w:val="32"/>
          <w:szCs w:val="32"/>
          <w:lang w:val="en-US" w:eastAsia="zh-CN"/>
        </w:rPr>
        <w:t>987.01</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val="en-US" w:eastAsia="zh-CN"/>
        </w:rPr>
        <w:t>，</w:t>
      </w:r>
      <w:r>
        <w:rPr>
          <w:rFonts w:hint="eastAsia" w:ascii="仿宋" w:hAnsi="仿宋" w:eastAsia="仿宋" w:cs="仿宋"/>
          <w:color w:val="333333"/>
          <w:sz w:val="32"/>
          <w:szCs w:val="32"/>
        </w:rPr>
        <w:t>项目支出</w:t>
      </w:r>
      <w:r>
        <w:rPr>
          <w:rFonts w:hint="eastAsia" w:ascii="仿宋" w:hAnsi="仿宋" w:eastAsia="仿宋" w:cs="仿宋"/>
          <w:color w:val="333333"/>
          <w:sz w:val="32"/>
          <w:szCs w:val="32"/>
          <w:lang w:val="en-US" w:eastAsia="zh-CN"/>
        </w:rPr>
        <w:t>563.43</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eastAsia="zh-CN"/>
        </w:rPr>
        <w:t>，对个人和家庭的补助</w:t>
      </w:r>
      <w:r>
        <w:rPr>
          <w:rFonts w:hint="eastAsia" w:ascii="仿宋" w:hAnsi="仿宋" w:eastAsia="仿宋" w:cs="仿宋"/>
          <w:color w:val="333333"/>
          <w:sz w:val="32"/>
          <w:szCs w:val="32"/>
          <w:lang w:val="en-US" w:eastAsia="zh-CN"/>
        </w:rPr>
        <w:t>45.77万元；以项目功能分类，一般公共服务支出821.43万元，社会保障和就业支出199.49万元，卫生健康支出142.71万元，农林水支出446.06万元，住房保障支出29.31万元</w:t>
      </w:r>
      <w:r>
        <w:rPr>
          <w:rFonts w:hint="eastAsia" w:ascii="仿宋" w:hAnsi="仿宋" w:eastAsia="仿宋" w:cs="仿宋"/>
          <w:color w:val="333333"/>
          <w:sz w:val="32"/>
          <w:szCs w:val="32"/>
        </w:rPr>
        <w:t>。</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Times New Roman"/>
          <w:b w:val="0"/>
          <w:bCs/>
          <w:color w:val="auto"/>
          <w:sz w:val="32"/>
          <w:highlight w:val="none"/>
          <w:shd w:val="clear" w:color="auto" w:fill="FFFFFF"/>
          <w:lang w:val="en-US" w:eastAsia="zh-CN"/>
        </w:rPr>
        <w:t>2022年决算收入2199.05万元，完成当年预算的134%。本年度总支出2199.05万元，基本支出1141.13万元，项目支出</w:t>
      </w:r>
      <w:r>
        <w:rPr>
          <w:rFonts w:hint="eastAsia" w:ascii="仿宋" w:hAnsi="仿宋" w:eastAsia="仿宋" w:cs="仿宋"/>
          <w:color w:val="333333"/>
          <w:sz w:val="32"/>
          <w:szCs w:val="32"/>
          <w:highlight w:val="none"/>
          <w:lang w:val="en-US" w:eastAsia="zh-CN"/>
        </w:rPr>
        <w:t>1057.91万元</w:t>
      </w:r>
      <w:r>
        <w:rPr>
          <w:rFonts w:hint="eastAsia" w:ascii="仿宋" w:hAnsi="仿宋" w:eastAsia="仿宋" w:cs="仿宋"/>
          <w:color w:val="auto"/>
          <w:sz w:val="32"/>
          <w:szCs w:val="32"/>
          <w:highlight w:val="none"/>
          <w:lang w:val="en-US" w:eastAsia="zh-CN"/>
        </w:rPr>
        <w:t>。</w:t>
      </w:r>
      <w:r>
        <w:rPr>
          <w:rFonts w:hint="eastAsia" w:ascii="仿宋" w:hAnsi="仿宋" w:eastAsia="仿宋" w:cs="Times New Roman"/>
          <w:b w:val="0"/>
          <w:bCs/>
          <w:color w:val="auto"/>
          <w:sz w:val="32"/>
          <w:highlight w:val="none"/>
          <w:shd w:val="clear" w:color="auto" w:fill="FFFFFF"/>
          <w:lang w:val="en-US" w:eastAsia="zh-CN"/>
        </w:rPr>
        <w:t>其中：</w:t>
      </w:r>
      <w:r>
        <w:rPr>
          <w:rFonts w:hint="eastAsia" w:ascii="仿宋" w:hAnsi="仿宋" w:eastAsia="仿宋" w:cs="仿宋"/>
          <w:color w:val="auto"/>
          <w:sz w:val="32"/>
          <w:szCs w:val="32"/>
          <w:highlight w:val="none"/>
        </w:rPr>
        <w:t>工资福利支出</w:t>
      </w:r>
      <w:r>
        <w:rPr>
          <w:rFonts w:hint="eastAsia" w:ascii="仿宋" w:hAnsi="仿宋" w:eastAsia="仿宋" w:cs="仿宋"/>
          <w:color w:val="auto"/>
          <w:sz w:val="32"/>
          <w:szCs w:val="32"/>
          <w:highlight w:val="none"/>
          <w:lang w:val="en-US" w:eastAsia="zh-CN"/>
        </w:rPr>
        <w:t>905.23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，商品和服务</w:t>
      </w:r>
      <w:r>
        <w:rPr>
          <w:rFonts w:hint="eastAsia" w:ascii="仿宋" w:hAnsi="仿宋" w:eastAsia="仿宋" w:cs="仿宋"/>
          <w:color w:val="auto"/>
          <w:sz w:val="32"/>
          <w:szCs w:val="32"/>
          <w:highlight w:val="none"/>
        </w:rPr>
        <w:t>支出</w:t>
      </w:r>
      <w:r>
        <w:rPr>
          <w:rFonts w:hint="eastAsia" w:ascii="仿宋" w:hAnsi="仿宋" w:eastAsia="仿宋" w:cs="仿宋"/>
          <w:color w:val="auto"/>
          <w:sz w:val="32"/>
          <w:szCs w:val="32"/>
          <w:highlight w:val="none"/>
          <w:lang w:val="en-US" w:eastAsia="zh-CN"/>
        </w:rPr>
        <w:t>421.9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对个人和家庭的补助</w:t>
      </w:r>
      <w:r>
        <w:rPr>
          <w:rFonts w:hint="eastAsia" w:ascii="仿宋" w:hAnsi="仿宋" w:eastAsia="仿宋" w:cs="仿宋"/>
          <w:color w:val="auto"/>
          <w:sz w:val="32"/>
          <w:szCs w:val="32"/>
          <w:highlight w:val="none"/>
          <w:lang w:val="en-US" w:eastAsia="zh-CN"/>
        </w:rPr>
        <w:t>385.2万元，资本性支出486.71。</w:t>
      </w:r>
    </w:p>
    <w:p>
      <w:pPr>
        <w:pStyle w:val="4"/>
        <w:keepNext w:val="0"/>
        <w:keepLines w:val="0"/>
        <w:pageBreakBefore w:val="0"/>
        <w:widowControl/>
        <w:kinsoku/>
        <w:wordWrap/>
        <w:overflowPunct/>
        <w:topLinePunct w:val="0"/>
        <w:autoSpaceDE/>
        <w:autoSpaceDN/>
        <w:bidi w:val="0"/>
        <w:adjustRightInd/>
        <w:snapToGrid w:val="0"/>
        <w:spacing w:afterLines="0" w:afterAutospacing="0" w:line="600" w:lineRule="exact"/>
        <w:ind w:firstLine="640" w:firstLineChars="200"/>
        <w:jc w:val="left"/>
        <w:textAlignment w:val="auto"/>
        <w:rPr>
          <w:rFonts w:hint="default" w:ascii="仿宋" w:hAnsi="仿宋" w:eastAsia="仿宋" w:cs="仿宋"/>
          <w:sz w:val="32"/>
          <w:szCs w:val="36"/>
          <w:highlight w:val="none"/>
          <w:lang w:val="en-US" w:eastAsia="zh-CN"/>
        </w:rPr>
      </w:pPr>
      <w:r>
        <w:rPr>
          <w:rFonts w:hint="eastAsia" w:ascii="仿宋" w:hAnsi="仿宋" w:eastAsia="仿宋" w:cs="仿宋"/>
          <w:sz w:val="32"/>
          <w:szCs w:val="36"/>
          <w:highlight w:val="none"/>
          <w:lang w:val="en-US" w:eastAsia="zh-CN"/>
        </w:rPr>
        <w:t>2022年政府性基金财政拨款收入0万元。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159" w:beforeLines="50" w:beforeAutospacing="0" w:afterAutospacing="0" w:line="600" w:lineRule="exact"/>
        <w:ind w:firstLine="643" w:firstLineChars="200"/>
        <w:textAlignment w:val="auto"/>
        <w:rPr>
          <w:rFonts w:hint="eastAsia" w:ascii="仿宋" w:hAnsi="仿宋" w:eastAsia="仿宋" w:cs="Times New Roman"/>
          <w:b/>
          <w:bCs w:val="0"/>
          <w:color w:val="383838"/>
          <w:sz w:val="32"/>
          <w:highlight w:val="none"/>
          <w:shd w:val="clear" w:color="auto" w:fill="FFFFFF"/>
          <w:lang w:val="en-US" w:eastAsia="zh-CN"/>
        </w:rPr>
      </w:pPr>
      <w:r>
        <w:rPr>
          <w:rFonts w:hint="eastAsia" w:ascii="仿宋" w:hAnsi="仿宋" w:eastAsia="仿宋" w:cs="Times New Roman"/>
          <w:b/>
          <w:bCs w:val="0"/>
          <w:color w:val="383838"/>
          <w:sz w:val="32"/>
          <w:highlight w:val="none"/>
          <w:shd w:val="clear" w:color="auto" w:fill="FFFFFF"/>
          <w:lang w:val="en-US" w:eastAsia="zh-CN"/>
        </w:rPr>
        <w:t>（二）支出分类情况。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line="600" w:lineRule="exact"/>
        <w:ind w:firstLine="643" w:firstLineChars="200"/>
        <w:textAlignment w:val="auto"/>
        <w:rPr>
          <w:rFonts w:hint="eastAsia" w:ascii="仿宋" w:hAnsi="仿宋" w:eastAsia="仿宋" w:cs="Times New Roman"/>
          <w:b/>
          <w:bCs w:val="0"/>
          <w:color w:val="383838"/>
          <w:sz w:val="32"/>
          <w:highlight w:val="none"/>
          <w:shd w:val="clear" w:color="auto" w:fill="FFFFFF"/>
          <w:lang w:val="en-US" w:eastAsia="zh-CN"/>
        </w:rPr>
      </w:pPr>
      <w:r>
        <w:rPr>
          <w:rFonts w:hint="eastAsia" w:ascii="仿宋" w:hAnsi="仿宋" w:eastAsia="仿宋" w:cs="Times New Roman"/>
          <w:b/>
          <w:bCs w:val="0"/>
          <w:color w:val="383838"/>
          <w:sz w:val="32"/>
          <w:highlight w:val="none"/>
          <w:shd w:val="clear" w:color="auto" w:fill="FFFFFF"/>
          <w:lang w:val="en-US" w:eastAsia="zh-CN"/>
        </w:rPr>
        <w:t>1.支出总体情况</w:t>
      </w:r>
    </w:p>
    <w:p>
      <w:pPr>
        <w:pStyle w:val="4"/>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Times New Roman"/>
          <w:b w:val="0"/>
          <w:bCs/>
          <w:color w:val="383838"/>
          <w:sz w:val="32"/>
          <w:highlight w:val="none"/>
          <w:shd w:val="clear" w:color="auto" w:fill="FFFFFF"/>
          <w:lang w:val="en-US" w:eastAsia="zh-CN"/>
        </w:rPr>
        <w:t>2022年硫市镇预算总支出2199.05万元，</w:t>
      </w:r>
      <w:r>
        <w:rPr>
          <w:rFonts w:hint="eastAsia" w:ascii="仿宋" w:hAnsi="仿宋" w:eastAsia="仿宋" w:cs="Times New Roman"/>
          <w:b w:val="0"/>
          <w:bCs/>
          <w:color w:val="auto"/>
          <w:sz w:val="32"/>
          <w:highlight w:val="none"/>
          <w:shd w:val="clear" w:color="auto" w:fill="FFFFFF"/>
          <w:lang w:val="en-US" w:eastAsia="zh-CN"/>
        </w:rPr>
        <w:t>基本支出1141.13万元，项目支出</w:t>
      </w:r>
      <w:r>
        <w:rPr>
          <w:rFonts w:hint="eastAsia" w:ascii="仿宋" w:hAnsi="仿宋" w:eastAsia="仿宋" w:cs="仿宋"/>
          <w:color w:val="333333"/>
          <w:sz w:val="32"/>
          <w:szCs w:val="32"/>
          <w:highlight w:val="none"/>
          <w:lang w:val="en-US" w:eastAsia="zh-CN"/>
        </w:rPr>
        <w:t>1057.91万元</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333333"/>
          <w:sz w:val="32"/>
          <w:szCs w:val="32"/>
          <w:highlight w:val="none"/>
          <w:lang w:val="en-US" w:eastAsia="zh-CN"/>
        </w:rPr>
        <w:t>其中：</w:t>
      </w:r>
      <w:r>
        <w:rPr>
          <w:rFonts w:hint="eastAsia" w:ascii="仿宋" w:hAnsi="仿宋" w:eastAsia="仿宋" w:cs="仿宋"/>
          <w:sz w:val="32"/>
          <w:szCs w:val="32"/>
          <w:highlight w:val="none"/>
          <w:lang w:val="en-US" w:eastAsia="zh-CN"/>
        </w:rPr>
        <w:t>一般公共服务支出1074.23万元，社会保障和就业支出205.77万元，卫生健康支出146.7万元，城乡社区支出29万元，农林水支出708.65万元，住房保障支出34.69万元。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其中基本支出为保障单位机构正常运转、完成日常工作任务而发生的各项支出，包括用于基本工资、津贴补贴等人员经费以及办公费、印刷费、水电费等日常公用经费。项目支出为各项村级转移支付、农林水支出、城乡环境同治支出。其中项目的开展主要根据县委县政府的安排。</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4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2.“三公”经费情况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4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2022年“三公”经费预算15万元，其中公务接待10万元，公务用车运行维护费5万元，2022年“三公”经费实际支出8.27万元。</w:t>
      </w:r>
    </w:p>
    <w:p>
      <w:pPr>
        <w:pStyle w:val="4"/>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lang w:val="en-US" w:eastAsia="zh-CN"/>
        </w:rPr>
      </w:pPr>
      <w:r>
        <w:rPr>
          <w:rFonts w:hint="eastAsia" w:ascii="仿宋" w:hAnsi="仿宋" w:eastAsia="仿宋" w:cs="Times New Roman"/>
          <w:b w:val="0"/>
          <w:bCs/>
          <w:color w:val="383838"/>
          <w:sz w:val="32"/>
          <w:shd w:val="clear" w:color="auto" w:fill="FFFFFF"/>
          <w:lang w:val="en-US" w:eastAsia="zh-CN"/>
        </w:rPr>
        <w:t>2022年硫市镇现有公务用车保有1辆，已闲置多年，现已进入报废程序。2022年国内公务接待批次200次，共接待2100人（次），公务出国0次。</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40" w:lineRule="exact"/>
        <w:ind w:firstLine="640" w:firstLineChars="200"/>
        <w:textAlignment w:val="auto"/>
        <w:rPr>
          <w:rFonts w:hint="eastAsia"/>
          <w:lang w:val="en-US" w:eastAsia="zh-CN"/>
        </w:rPr>
      </w:pPr>
      <w:r>
        <w:rPr>
          <w:rFonts w:hint="eastAsia" w:ascii="仿宋" w:hAnsi="仿宋" w:eastAsia="仿宋" w:cs="Times New Roman"/>
          <w:b w:val="0"/>
          <w:bCs/>
          <w:color w:val="383838"/>
          <w:sz w:val="32"/>
          <w:shd w:val="clear" w:color="auto" w:fill="FFFFFF"/>
          <w:lang w:val="en-US" w:eastAsia="zh-CN"/>
        </w:rPr>
        <w:t xml:space="preserve">我镇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各项费用报账支出严格履行报账单“一单五签”程序，重大事项严格遵守：“三重一大”制度。                                                                                                                                                                                                                                                                                                                                                                                                                                                                                                                                                                     </w:t>
      </w:r>
    </w:p>
    <w:p>
      <w:pPr>
        <w:keepNext w:val="0"/>
        <w:keepLines w:val="0"/>
        <w:pageBreakBefore w:val="0"/>
        <w:numPr>
          <w:ilvl w:val="0"/>
          <w:numId w:val="0"/>
        </w:numPr>
        <w:kinsoku/>
        <w:wordWrap/>
        <w:overflowPunct/>
        <w:topLinePunct w:val="0"/>
        <w:autoSpaceDE/>
        <w:bidi w:val="0"/>
        <w:adjustRightInd/>
        <w:spacing w:before="315" w:beforeLines="100" w:beforeAutospacing="0" w:afterAutospacing="0"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绩效评价</w:t>
      </w:r>
      <w:r>
        <w:rPr>
          <w:rFonts w:hint="eastAsia" w:ascii="黑体" w:eastAsia="黑体"/>
          <w:sz w:val="32"/>
          <w:szCs w:val="32"/>
          <w:lang w:val="en-US" w:eastAsia="zh-CN"/>
        </w:rPr>
        <w:t>工作</w:t>
      </w:r>
      <w:r>
        <w:rPr>
          <w:rFonts w:hint="eastAsia" w:ascii="黑体" w:eastAsia="黑体"/>
          <w:sz w:val="32"/>
          <w:szCs w:val="32"/>
        </w:rPr>
        <w:t>情况</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（一）评价目的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2022年各项工作的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（二）评价方法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根据衡南县财政局《衡南县预算绩效管理工作考核办法》（南财预[2015]174号）及县财政局会议精神，我镇成立了绩效评价工作组，于2022年10月中旬起开展了部门整体支出绩效评价工作，具体工作方法包括：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1、查阅资料。查阅2022年度预算安排、预算追加、经费支出、资金管理、资产管理等相关文件资料和财务凭证。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2、核实数据。对2022年度部门整体支出数据的准确性、真实性进行核实，将2022年度部门整体支出情况与2022年度预算情况、2022年度部门整体支出情况进行比较分析。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3、实地查看。现场查看各类实物资产。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4、汇总归纳。根据取得的各项数据及文件资料，结合现场评价情况进行综合分析、归纳汇总，填写基础数据表、评价指标评分表。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5、形成绩效评价报告。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黑体" w:eastAsia="黑体"/>
          <w:sz w:val="32"/>
          <w:szCs w:val="32"/>
          <w:lang w:val="en-US" w:eastAsia="zh-CN"/>
        </w:rPr>
        <w:t>五</w:t>
      </w:r>
      <w:r>
        <w:rPr>
          <w:rFonts w:hint="eastAsia" w:ascii="黑体" w:eastAsia="黑体"/>
          <w:sz w:val="32"/>
          <w:szCs w:val="32"/>
        </w:rPr>
        <w:t>、</w:t>
      </w:r>
      <w:r>
        <w:rPr>
          <w:rFonts w:hint="eastAsia" w:ascii="黑体" w:eastAsia="黑体"/>
          <w:sz w:val="32"/>
          <w:szCs w:val="32"/>
          <w:lang w:val="en-US" w:eastAsia="zh-CN"/>
        </w:rPr>
        <w:t>部门总体支出</w:t>
      </w:r>
      <w:r>
        <w:rPr>
          <w:rFonts w:hint="eastAsia" w:ascii="黑体" w:eastAsia="黑体"/>
          <w:sz w:val="32"/>
          <w:szCs w:val="32"/>
        </w:rPr>
        <w:t>绩效评价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2022年我镇根据年初工作规划及财政预算计划，积极履职、强化管理，较好的完成了年度工作目标。通过加强预算收支管理、不断建立健全内部管理制度、梳理内部管理流程，部门整体支出管理情况得到提升。我镇2022年度部门整体支出绩效评价自评得分为95分。具体工作主要体现在以下几个方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二是依法依规公开部门预决算。根据全县部门预决算公开工作统一安排部署，我部公开了2022年部门预算和“三公”经费预算，社会反响良好，圆满完成了“三公”经费预算公开工作。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三是加强资产管理。建立了资产管理制度，固定资产利用率高于90%，定期进行了资产盘点和资产清理，总体执行情况良好。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keepNext w:val="0"/>
        <w:keepLines w:val="0"/>
        <w:pageBreakBefore w:val="0"/>
        <w:widowControl w:val="0"/>
        <w:kinsoku/>
        <w:wordWrap/>
        <w:overflowPunct/>
        <w:topLinePunct w:val="0"/>
        <w:autoSpaceDE/>
        <w:autoSpaceDN/>
        <w:bidi w:val="0"/>
        <w:adjustRightInd/>
        <w:snapToGrid/>
        <w:spacing w:afterAutospacing="0" w:line="64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2022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keepNext w:val="0"/>
        <w:keepLines w:val="0"/>
        <w:pageBreakBefore w:val="0"/>
        <w:kinsoku/>
        <w:wordWrap/>
        <w:overflowPunct/>
        <w:topLinePunct w:val="0"/>
        <w:autoSpaceDE/>
        <w:bidi w:val="0"/>
        <w:adjustRightInd/>
        <w:spacing w:before="570" w:beforeLines="182" w:beforeAutospacing="0" w:after="159" w:afterLines="50" w:afterAutospacing="0" w:line="600" w:lineRule="exact"/>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、存在的主要问题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1.预决算项目支出编制需进一步明确、精细化。同时项目执行率需进一步提高。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keepNext w:val="0"/>
        <w:keepLines w:val="0"/>
        <w:pageBreakBefore w:val="0"/>
        <w:kinsoku/>
        <w:wordWrap/>
        <w:overflowPunct/>
        <w:topLinePunct w:val="0"/>
        <w:autoSpaceDE/>
        <w:autoSpaceDN/>
        <w:bidi w:val="0"/>
        <w:adjustRightInd/>
        <w:snapToGrid/>
        <w:spacing w:before="159" w:beforeLines="50" w:beforeAutospacing="0" w:after="159" w:afterLines="50" w:afterAutospacing="0" w:line="600" w:lineRule="exact"/>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、改进措施及建议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2、合理安排会计岗位，强烈要求提升村级会计人员工作能力，增加业务知识培训，加强决算工作与财务处理工作对接。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衡南县硫市镇人民政府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firstLine="420"/>
        <w:jc w:val="right"/>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2022年4月25日 </w:t>
      </w:r>
    </w:p>
    <w:p/>
    <w:sectPr>
      <w:pgSz w:w="11906" w:h="16838"/>
      <w:pgMar w:top="144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1050" w:leftChars="0" w:firstLine="0" w:firstLineChars="0"/>
      </w:pPr>
      <w:rPr>
        <w:rFonts w:hint="eastAsia"/>
      </w:rPr>
    </w:lvl>
  </w:abstractNum>
  <w:abstractNum w:abstractNumId="1">
    <w:nsid w:val="55EFAA59"/>
    <w:multiLevelType w:val="singleLevel"/>
    <w:tmpl w:val="55EFAA5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OWQ1MGM0MGJiMDAwNjA2MjRkYTkxZWJlYTZmZDAifQ=="/>
  </w:docVars>
  <w:rsids>
    <w:rsidRoot w:val="00000000"/>
    <w:rsid w:val="033D32D9"/>
    <w:rsid w:val="08976C04"/>
    <w:rsid w:val="0F0D4910"/>
    <w:rsid w:val="0F4C51BE"/>
    <w:rsid w:val="0FD2701A"/>
    <w:rsid w:val="10C16731"/>
    <w:rsid w:val="1FE2357F"/>
    <w:rsid w:val="200D5D99"/>
    <w:rsid w:val="231D268B"/>
    <w:rsid w:val="2EEA4BF6"/>
    <w:rsid w:val="30B65E83"/>
    <w:rsid w:val="30D469FD"/>
    <w:rsid w:val="325B7058"/>
    <w:rsid w:val="39685936"/>
    <w:rsid w:val="3ED66130"/>
    <w:rsid w:val="419F6468"/>
    <w:rsid w:val="41F06D62"/>
    <w:rsid w:val="461079B5"/>
    <w:rsid w:val="49D07917"/>
    <w:rsid w:val="4EB43471"/>
    <w:rsid w:val="4F24177D"/>
    <w:rsid w:val="56045A83"/>
    <w:rsid w:val="61C51262"/>
    <w:rsid w:val="6925087C"/>
    <w:rsid w:val="6B280A98"/>
    <w:rsid w:val="6C094F40"/>
    <w:rsid w:val="6C112E07"/>
    <w:rsid w:val="72CF1B9D"/>
    <w:rsid w:val="7B0F3D1D"/>
    <w:rsid w:val="7E296A06"/>
    <w:rsid w:val="7EFF0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5">
    <w:name w:val="Normal (Web)"/>
    <w:basedOn w:val="1"/>
    <w:qFormat/>
    <w:uiPriority w:val="0"/>
    <w:pPr>
      <w:jc w:val="left"/>
    </w:pPr>
    <w:rPr>
      <w:kern w:val="0"/>
      <w:sz w:val="18"/>
      <w:szCs w:val="18"/>
    </w:rPr>
  </w:style>
  <w:style w:type="character" w:styleId="8">
    <w:name w:val="Strong"/>
    <w:qFormat/>
    <w:uiPriority w:val="22"/>
    <w:rPr>
      <w:b/>
      <w:bCs/>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6588</Words>
  <Characters>6992</Characters>
  <Paragraphs>74</Paragraphs>
  <TotalTime>48</TotalTime>
  <ScaleCrop>false</ScaleCrop>
  <LinksUpToDate>false</LinksUpToDate>
  <CharactersWithSpaces>7602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2018-01-31T04:49:00Z</dcterms:created>
  <dc:creator>Administrator</dc:creator>
  <cp:lastModifiedBy>孙泽宇</cp:lastModifiedBy>
  <dcterms:modified xsi:type="dcterms:W3CDTF">2023-10-12T01:28:19Z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F44A6BFB9D454BD48A017552F5D54CAE_13</vt:lpwstr>
  </property>
</Properties>
</file>