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15" w:lineRule="atLeast"/>
        <w:rPr>
          <w:rFonts w:ascii="宋体" w:cs="宋体"/>
        </w:rPr>
      </w:pPr>
      <w:bookmarkStart w:id="0" w:name="_GoBack"/>
      <w:bookmarkEnd w:id="0"/>
    </w:p>
    <w:p>
      <w:pPr>
        <w:widowControl/>
        <w:spacing w:line="540" w:lineRule="atLeas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  <w:lang w:eastAsia="zh-CN"/>
        </w:rPr>
        <w:t>衡南产业开发区管理委员会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  <w:lang w:val="en-US" w:eastAsia="zh-CN"/>
        </w:rPr>
        <w:t>2022</w:t>
      </w: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  <w:t>年</w:t>
      </w:r>
    </w:p>
    <w:p>
      <w:pPr>
        <w:widowControl/>
        <w:spacing w:line="540" w:lineRule="atLeas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  <w:t>部门整体支出绩效自评报告</w:t>
      </w:r>
    </w:p>
    <w:p>
      <w:pPr>
        <w:widowControl/>
        <w:spacing w:line="540" w:lineRule="atLeast"/>
        <w:jc w:val="center"/>
        <w:rPr>
          <w:rFonts w:hint="eastAsia" w:asciiTheme="minorEastAsia" w:hAnsiTheme="minorEastAsia" w:eastAsiaTheme="minorEastAsia" w:cstheme="minorEastAsia"/>
          <w:b/>
          <w:bCs/>
          <w:color w:val="000000"/>
          <w:kern w:val="0"/>
          <w:sz w:val="36"/>
          <w:szCs w:val="36"/>
        </w:rPr>
      </w:pPr>
    </w:p>
    <w:p>
      <w:pPr>
        <w:widowControl/>
        <w:spacing w:line="540" w:lineRule="atLeast"/>
        <w:ind w:firstLine="552" w:firstLineChars="200"/>
        <w:jc w:val="left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为加强预算资金管理，进一步规范预算资金使用，提高财政资金使用效益，</w:t>
      </w:r>
      <w:r>
        <w:rPr>
          <w:rFonts w:hint="eastAsia" w:ascii="宋体" w:hAnsi="宋体" w:eastAsia="宋体" w:cs="宋体"/>
          <w:sz w:val="28"/>
          <w:szCs w:val="28"/>
        </w:rPr>
        <w:t>根据《衡南县财政局关于开展20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22</w:t>
      </w:r>
      <w:r>
        <w:rPr>
          <w:rFonts w:hint="eastAsia" w:ascii="宋体" w:hAnsi="宋体" w:eastAsia="宋体" w:cs="宋体"/>
          <w:sz w:val="28"/>
          <w:szCs w:val="28"/>
        </w:rPr>
        <w:t>年度县级财政资金绩效自评工作的通知》要求</w:t>
      </w:r>
      <w:r>
        <w:rPr>
          <w:rFonts w:hint="eastAsia" w:ascii="宋体" w:hAnsi="宋体" w:eastAsia="宋体" w:cs="宋体"/>
          <w:sz w:val="32"/>
          <w:szCs w:val="32"/>
        </w:rPr>
        <w:t>，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我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单位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积极组织，对20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22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年度本单位整体支出进行了绩效自评，现将具体绩效评价情况报告如下：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一、部门基本情况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（一）部门职责。</w:t>
      </w:r>
    </w:p>
    <w:p>
      <w:pPr>
        <w:widowControl/>
        <w:spacing w:line="540" w:lineRule="atLeast"/>
        <w:ind w:firstLine="552" w:firstLineChars="200"/>
        <w:jc w:val="left"/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衡南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产业开发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区负责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eastAsia="zh-CN"/>
        </w:rPr>
        <w:t>产业开发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区内总体规划和控制性详细规划、拟订发展规划；负责区内招商引资、各类企业的服务、指导和协调；负责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eastAsia="zh-CN"/>
        </w:rPr>
        <w:t>产业开发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区财务管理、资金管理；负责区内社会治安综合管理和信访维稳工作；负责区内统计和安全生产监督管理；协助国土资源及规划部门开展区内土地的规划、征转、开发及征地拆迁和安置工作；协助环保部门开展区内环境保护工作；承办县委、县人民政府交办的其他事项。</w:t>
      </w:r>
    </w:p>
    <w:p>
      <w:pPr>
        <w:widowControl/>
        <w:numPr>
          <w:ilvl w:val="0"/>
          <w:numId w:val="1"/>
        </w:numPr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机构设置情况。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下设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七个副科级单位，分别为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zh-CN"/>
        </w:rPr>
        <w:t>办公室、财政局、产业发展局、经济合作局、开发建设局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val="en-US" w:eastAsia="zh-CN"/>
        </w:rPr>
        <w:t>、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</w:rPr>
        <w:t>三塘片区管理办公室、</w:t>
      </w:r>
      <w:r>
        <w:rPr>
          <w:rFonts w:hint="eastAsia" w:asciiTheme="minorEastAsia" w:hAnsiTheme="minorEastAsia" w:eastAsiaTheme="minorEastAsia" w:cstheme="minorEastAsia"/>
          <w:color w:val="333333"/>
          <w:spacing w:val="-2"/>
          <w:sz w:val="28"/>
          <w:szCs w:val="28"/>
          <w:lang w:eastAsia="zh-CN"/>
        </w:rPr>
        <w:t>企业服务中心。</w:t>
      </w:r>
    </w:p>
    <w:p>
      <w:pPr>
        <w:widowControl/>
        <w:numPr>
          <w:ilvl w:val="0"/>
          <w:numId w:val="1"/>
        </w:numPr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人员编制情况。现有在编人员34人。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二、部门整体支出管理及使用情况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kern w:val="0"/>
          <w:sz w:val="28"/>
          <w:szCs w:val="28"/>
          <w:lang w:eastAsia="zh-CN"/>
        </w:rPr>
        <w:t>（一）</w:t>
      </w:r>
      <w:r>
        <w:rPr>
          <w:rFonts w:hint="eastAsia" w:asciiTheme="minorEastAsia" w:hAnsiTheme="minorEastAsia" w:eastAsiaTheme="minorEastAsia" w:cstheme="minorEastAsia"/>
          <w:kern w:val="0"/>
          <w:sz w:val="28"/>
          <w:szCs w:val="28"/>
        </w:rPr>
        <w:t>年初预算安排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374.19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万元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eastAsia="zh-CN"/>
        </w:rPr>
        <w:t>，其中：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基本支出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336.59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万元，项目支出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37.6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</w:rPr>
        <w:t>万元。</w:t>
      </w:r>
    </w:p>
    <w:p>
      <w:pPr>
        <w:widowControl/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收入情况：上年结转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万元,一般公共预算财政拨款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3141.21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本年收入总计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3141.21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万万元。</w:t>
      </w:r>
    </w:p>
    <w:p>
      <w:pPr>
        <w:widowControl/>
        <w:numPr>
          <w:ilvl w:val="0"/>
          <w:numId w:val="2"/>
        </w:numPr>
        <w:spacing w:line="540" w:lineRule="atLeast"/>
        <w:ind w:firstLine="560" w:firstLineChars="200"/>
        <w:jc w:val="left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支出情况:本年支出总计</w:t>
      </w:r>
      <w:r>
        <w:rPr>
          <w:rFonts w:hint="eastAsia" w:asciiTheme="minorEastAsia" w:hAnsiTheme="minorEastAsia" w:eastAsiaTheme="minorEastAsia" w:cstheme="minorEastAsia"/>
          <w:color w:val="000000" w:themeColor="text1"/>
          <w:kern w:val="0"/>
          <w:sz w:val="28"/>
          <w:szCs w:val="28"/>
          <w:lang w:val="en-US" w:eastAsia="zh-CN"/>
        </w:rPr>
        <w:t>3141.21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万万元。其中：基本支出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588.43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万元，项目支出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  <w:lang w:val="en-US" w:eastAsia="zh-CN"/>
        </w:rPr>
        <w:t>2552.78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万元。</w:t>
      </w:r>
    </w:p>
    <w:p>
      <w:pPr>
        <w:spacing w:line="600" w:lineRule="exact"/>
        <w:ind w:firstLine="560" w:firstLineChars="200"/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（三）“三公”经费情况：</w:t>
      </w:r>
      <w:r>
        <w:rPr>
          <w:rFonts w:hint="eastAsia" w:asciiTheme="minorEastAsia" w:hAnsiTheme="minorEastAsia" w:eastAsiaTheme="minorEastAsia" w:cstheme="minorEastAsia"/>
          <w:color w:val="000000"/>
          <w:kern w:val="0"/>
          <w:sz w:val="28"/>
          <w:szCs w:val="28"/>
        </w:rPr>
        <w:t>“三公”经费控制在预算范围内，且较上年有所减少。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三、部门整体支出绩效评价情况。</w:t>
      </w:r>
    </w:p>
    <w:p>
      <w:pPr>
        <w:widowControl/>
        <w:shd w:val="clear" w:color="auto" w:fill="FFFFFF"/>
        <w:spacing w:line="360" w:lineRule="auto"/>
        <w:ind w:firstLine="640"/>
        <w:jc w:val="left"/>
        <w:rPr>
          <w:rFonts w:ascii="宋体" w:hAnsi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cs="宋体"/>
          <w:color w:val="000000"/>
          <w:kern w:val="0"/>
          <w:sz w:val="28"/>
          <w:szCs w:val="28"/>
        </w:rPr>
        <w:t>20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>22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年衡南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eastAsia="zh-CN"/>
        </w:rPr>
        <w:t>产业开发区管理委员会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整体支出资金资金使用基本上符合政策要求，合理合法，使用有效，管理较规范， 根据《整体支出资金项目绩效评价指标体系》评分，得分</w:t>
      </w:r>
      <w:r>
        <w:rPr>
          <w:rFonts w:hint="eastAsia" w:ascii="宋体" w:hAnsi="宋体" w:cs="宋体"/>
          <w:color w:val="000000"/>
          <w:kern w:val="0"/>
          <w:sz w:val="28"/>
          <w:szCs w:val="28"/>
          <w:lang w:val="en-US" w:eastAsia="zh-CN"/>
        </w:rPr>
        <w:t>95.7</w:t>
      </w:r>
      <w:r>
        <w:rPr>
          <w:rFonts w:hint="eastAsia" w:ascii="宋体" w:hAnsi="宋体" w:cs="宋体"/>
          <w:color w:val="000000"/>
          <w:kern w:val="0"/>
          <w:sz w:val="28"/>
          <w:szCs w:val="28"/>
        </w:rPr>
        <w:t>分（详见附件1），财政支出绩效为“优”。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四、存在问题</w:t>
      </w:r>
    </w:p>
    <w:p>
      <w:pPr>
        <w:pStyle w:val="3"/>
        <w:widowControl/>
        <w:ind w:left="241" w:firstLine="56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(1)年初编制的预算不够精确，导致年内预算追加较大，预算控制率较低，影响单位评分及评价等次。</w:t>
      </w:r>
    </w:p>
    <w:p>
      <w:pPr>
        <w:adjustRightInd w:val="0"/>
        <w:snapToGrid w:val="0"/>
        <w:spacing w:line="600" w:lineRule="exact"/>
        <w:ind w:firstLine="560" w:firstLineChars="200"/>
        <w:contextualSpacing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(2)预算执行情况还有待加强。</w:t>
      </w:r>
    </w:p>
    <w:p>
      <w:pPr>
        <w:pStyle w:val="3"/>
        <w:widowControl/>
        <w:ind w:left="241" w:firstLine="562" w:firstLineChars="200"/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b/>
          <w:color w:val="000000"/>
          <w:sz w:val="28"/>
          <w:szCs w:val="28"/>
        </w:rPr>
        <w:t>五、改进措施建议。</w:t>
      </w:r>
    </w:p>
    <w:p>
      <w:pPr>
        <w:pStyle w:val="3"/>
        <w:widowControl/>
        <w:ind w:left="241" w:firstLine="560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1、细化预算编制工作，认真做好预算的编制。进一步加强内部机构的预算管理意识，严格按照预算编制的相关制度和要求，本着“勤俭节约、保障运转”的原则进行预算的编制；编制范围尽可能的全面、不漏项，进一步提高预算编制的科学性、合理性、严谨性和可控性。</w:t>
      </w:r>
    </w:p>
    <w:p>
      <w:pPr>
        <w:adjustRightInd w:val="0"/>
        <w:snapToGrid w:val="0"/>
        <w:spacing w:line="600" w:lineRule="exact"/>
        <w:ind w:firstLine="560" w:firstLineChars="200"/>
        <w:contextualSpacing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</w:rPr>
        <w:t>2、在日常预算管理过程中，进一步加强预算支出的审核、跟踪及预算执行情况分析。</w:t>
      </w:r>
    </w:p>
    <w:sectPr>
      <w:pgSz w:w="11906" w:h="16838"/>
      <w:pgMar w:top="1213" w:right="1463" w:bottom="1157" w:left="146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510044"/>
    <w:multiLevelType w:val="singleLevel"/>
    <w:tmpl w:val="0C51004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648029E6"/>
    <w:multiLevelType w:val="singleLevel"/>
    <w:tmpl w:val="648029E6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k5N2IzZWE1YTlmZTc3NWY0ODAzNGJhMDc0ZDYwN2YifQ=="/>
  </w:docVars>
  <w:rsids>
    <w:rsidRoot w:val="439262F8"/>
    <w:rsid w:val="000000F9"/>
    <w:rsid w:val="00081243"/>
    <w:rsid w:val="00135432"/>
    <w:rsid w:val="0033007E"/>
    <w:rsid w:val="00375BA3"/>
    <w:rsid w:val="0044318E"/>
    <w:rsid w:val="004A6CAA"/>
    <w:rsid w:val="004C17F3"/>
    <w:rsid w:val="0054000F"/>
    <w:rsid w:val="005E7075"/>
    <w:rsid w:val="005F71A1"/>
    <w:rsid w:val="00671863"/>
    <w:rsid w:val="0074763D"/>
    <w:rsid w:val="00867F83"/>
    <w:rsid w:val="00897F5C"/>
    <w:rsid w:val="008E31F9"/>
    <w:rsid w:val="009615C4"/>
    <w:rsid w:val="009D2C39"/>
    <w:rsid w:val="00BF6356"/>
    <w:rsid w:val="00C805C7"/>
    <w:rsid w:val="00CD24C3"/>
    <w:rsid w:val="00D84E80"/>
    <w:rsid w:val="00EA655B"/>
    <w:rsid w:val="00F97F12"/>
    <w:rsid w:val="02D353AB"/>
    <w:rsid w:val="05BB6A3F"/>
    <w:rsid w:val="068C5EFB"/>
    <w:rsid w:val="07BE7CE5"/>
    <w:rsid w:val="07E638D5"/>
    <w:rsid w:val="0A9C0188"/>
    <w:rsid w:val="0AF74787"/>
    <w:rsid w:val="0B3E440F"/>
    <w:rsid w:val="0CAF051D"/>
    <w:rsid w:val="12900E87"/>
    <w:rsid w:val="136A66CC"/>
    <w:rsid w:val="160824B7"/>
    <w:rsid w:val="176B75F2"/>
    <w:rsid w:val="19832ED4"/>
    <w:rsid w:val="19931987"/>
    <w:rsid w:val="19BD3E30"/>
    <w:rsid w:val="1AAA22B0"/>
    <w:rsid w:val="1B013E7C"/>
    <w:rsid w:val="1B095E86"/>
    <w:rsid w:val="1B4F7561"/>
    <w:rsid w:val="1DCA6592"/>
    <w:rsid w:val="1F193D94"/>
    <w:rsid w:val="1F2E3844"/>
    <w:rsid w:val="234D6ECC"/>
    <w:rsid w:val="23B53A75"/>
    <w:rsid w:val="27B628FE"/>
    <w:rsid w:val="2C9C4BB3"/>
    <w:rsid w:val="2D8D0523"/>
    <w:rsid w:val="2FBF3633"/>
    <w:rsid w:val="32F546FB"/>
    <w:rsid w:val="338F64B2"/>
    <w:rsid w:val="3B264934"/>
    <w:rsid w:val="3E4B092E"/>
    <w:rsid w:val="439262F8"/>
    <w:rsid w:val="46380A1F"/>
    <w:rsid w:val="463E68AF"/>
    <w:rsid w:val="46D17D09"/>
    <w:rsid w:val="471B79D4"/>
    <w:rsid w:val="47B95B8F"/>
    <w:rsid w:val="49A64CC5"/>
    <w:rsid w:val="4AB04608"/>
    <w:rsid w:val="4C7D43AE"/>
    <w:rsid w:val="4FF00086"/>
    <w:rsid w:val="508F1E79"/>
    <w:rsid w:val="50D43A3A"/>
    <w:rsid w:val="513C078C"/>
    <w:rsid w:val="52380820"/>
    <w:rsid w:val="529C04A5"/>
    <w:rsid w:val="531C52C5"/>
    <w:rsid w:val="55151E32"/>
    <w:rsid w:val="564734A9"/>
    <w:rsid w:val="5762036C"/>
    <w:rsid w:val="58F5279F"/>
    <w:rsid w:val="593F38FA"/>
    <w:rsid w:val="59C156CB"/>
    <w:rsid w:val="59D704C7"/>
    <w:rsid w:val="5A250E62"/>
    <w:rsid w:val="5B4E24A5"/>
    <w:rsid w:val="5BB10390"/>
    <w:rsid w:val="5BCE253B"/>
    <w:rsid w:val="5BE11230"/>
    <w:rsid w:val="5E5C573D"/>
    <w:rsid w:val="60BB2779"/>
    <w:rsid w:val="6367735A"/>
    <w:rsid w:val="640F7ED2"/>
    <w:rsid w:val="65985691"/>
    <w:rsid w:val="68AE2E9C"/>
    <w:rsid w:val="69151304"/>
    <w:rsid w:val="6A3327B3"/>
    <w:rsid w:val="6AA03E07"/>
    <w:rsid w:val="6C7F5AAD"/>
    <w:rsid w:val="6E246221"/>
    <w:rsid w:val="6F526AC0"/>
    <w:rsid w:val="73381098"/>
    <w:rsid w:val="74EA458B"/>
    <w:rsid w:val="7631109D"/>
    <w:rsid w:val="77060902"/>
    <w:rsid w:val="77E17EE2"/>
    <w:rsid w:val="780F0D24"/>
    <w:rsid w:val="7E470FB4"/>
    <w:rsid w:val="7F4F5EB6"/>
    <w:rsid w:val="7F814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uiPriority="99" w:name="header" w:locked="1"/>
    <w:lsdException w:uiPriority="99" w:name="footer" w:locked="1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qFormat="1" w:unhideWhenUsed="0" w:uiPriority="99" w:semiHidden="0" w:name="Hyperlink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qFormat="1" w:unhideWhenUsed="0" w:uiPriority="0" w:semiHidden="0" w:name="Plain Text" w:locked="1"/>
    <w:lsdException w:uiPriority="99" w:name="E-mail Signature" w:locked="1"/>
    <w:lsdException w:qFormat="1" w:unhideWhenUsed="0" w:uiPriority="99" w:semiHidden="0" w:name="Normal (Web)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locked/>
    <w:uiPriority w:val="0"/>
    <w:rPr>
      <w:rFonts w:ascii="宋体" w:hAnsi="Courier New" w:cs="Courier New"/>
      <w:szCs w:val="21"/>
    </w:rPr>
  </w:style>
  <w:style w:type="paragraph" w:styleId="3">
    <w:name w:val="Normal (Web)"/>
    <w:basedOn w:val="1"/>
    <w:qFormat/>
    <w:uiPriority w:val="99"/>
    <w:pPr>
      <w:jc w:val="left"/>
    </w:pPr>
    <w:rPr>
      <w:kern w:val="0"/>
      <w:sz w:val="18"/>
      <w:szCs w:val="18"/>
    </w:rPr>
  </w:style>
  <w:style w:type="character" w:styleId="6">
    <w:name w:val="Hyperlink"/>
    <w:basedOn w:val="5"/>
    <w:qFormat/>
    <w:uiPriority w:val="99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Pages>3</Pages>
  <Words>911</Words>
  <Characters>973</Characters>
  <Lines>0</Lines>
  <Paragraphs>0</Paragraphs>
  <TotalTime>2</TotalTime>
  <ScaleCrop>false</ScaleCrop>
  <LinksUpToDate>false</LinksUpToDate>
  <CharactersWithSpaces>975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2018-01-31T04:49:00Z</dcterms:created>
  <dc:creator>Administrator</dc:creator>
  <cp:lastModifiedBy>孙泽宇</cp:lastModifiedBy>
  <cp:lastPrinted>2023-04-24T03:06:00Z</cp:lastPrinted>
  <dcterms:modified xsi:type="dcterms:W3CDTF">2023-10-11T09:27:06Z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4993FE66C6D743D49F4F9FF1D3877842_13</vt:lpwstr>
  </property>
</Properties>
</file>