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宋体" w:hAnsi="宋体" w:eastAsia="宋体" w:cs="宋体"/>
          <w:b/>
          <w:bCs/>
          <w:sz w:val="36"/>
          <w:szCs w:val="36"/>
        </w:rPr>
      </w:pPr>
      <w:bookmarkStart w:id="0" w:name="_GoBack"/>
      <w:bookmarkEnd w:id="0"/>
    </w:p>
    <w:p>
      <w:pPr>
        <w:spacing w:line="520" w:lineRule="exact"/>
        <w:jc w:val="center"/>
        <w:rPr>
          <w:rFonts w:hint="default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衡南县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集体商业服务中心</w:t>
      </w:r>
    </w:p>
    <w:p>
      <w:pPr>
        <w:spacing w:line="520" w:lineRule="exact"/>
        <w:jc w:val="center"/>
        <w:rPr>
          <w:rFonts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部门整体支出绩效报告</w:t>
      </w:r>
    </w:p>
    <w:p>
      <w:pPr>
        <w:spacing w:line="52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为了认真贯彻落实《中共湖南省委湖南省人民政府关于开展政府绩效评估工作的通知》、《湖南省人民政府关于全面推进预算绩效管理的意见》精神，切实做好县局安排的〈衡南县预算绩效管理工作考核办法〉，现将衡南县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集体商业服务中心</w:t>
      </w:r>
      <w:r>
        <w:rPr>
          <w:rFonts w:hint="eastAsia" w:ascii="仿宋" w:hAnsi="仿宋" w:eastAsia="仿宋" w:cs="仿宋_GB2312"/>
          <w:sz w:val="32"/>
          <w:szCs w:val="32"/>
        </w:rPr>
        <w:t>202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_GB2312"/>
          <w:sz w:val="32"/>
          <w:szCs w:val="32"/>
        </w:rPr>
        <w:t>年度预算管理绩效工作自评报告如下：</w:t>
      </w:r>
    </w:p>
    <w:p>
      <w:pPr>
        <w:adjustRightInd w:val="0"/>
        <w:snapToGrid w:val="0"/>
        <w:spacing w:line="560" w:lineRule="exact"/>
        <w:ind w:left="640"/>
        <w:rPr>
          <w:rFonts w:cs="仿宋_GB2312" w:asciiTheme="minorEastAsia" w:hAnsiTheme="minorEastAsia"/>
          <w:b/>
          <w:sz w:val="32"/>
          <w:szCs w:val="32"/>
        </w:rPr>
      </w:pPr>
      <w:r>
        <w:rPr>
          <w:rFonts w:hint="eastAsia" w:cs="仿宋_GB2312" w:asciiTheme="minorEastAsia" w:hAnsiTheme="minorEastAsia"/>
          <w:b/>
          <w:sz w:val="32"/>
          <w:szCs w:val="32"/>
        </w:rPr>
        <w:t>一、基本情况</w:t>
      </w:r>
    </w:p>
    <w:p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衡南县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集体商业服务中心</w:t>
      </w:r>
      <w:r>
        <w:rPr>
          <w:rFonts w:hint="eastAsia" w:ascii="仿宋" w:hAnsi="仿宋" w:eastAsia="仿宋" w:cs="仿宋_GB2312"/>
          <w:sz w:val="32"/>
          <w:szCs w:val="32"/>
        </w:rPr>
        <w:t>为县人民政府正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股</w:t>
      </w:r>
      <w:r>
        <w:rPr>
          <w:rFonts w:hint="eastAsia" w:ascii="仿宋" w:hAnsi="仿宋" w:eastAsia="仿宋" w:cs="仿宋_GB2312"/>
          <w:sz w:val="32"/>
          <w:szCs w:val="32"/>
        </w:rPr>
        <w:t>级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二级</w:t>
      </w:r>
      <w:r>
        <w:rPr>
          <w:rFonts w:hint="eastAsia" w:ascii="仿宋" w:hAnsi="仿宋" w:eastAsia="仿宋" w:cs="仿宋_GB2312"/>
          <w:sz w:val="32"/>
          <w:szCs w:val="32"/>
        </w:rPr>
        <w:t>事业单位,财政预算全额拨款事业单位，财务核算适用事业单位会计制度。现有在职干部职工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sz w:val="32"/>
          <w:szCs w:val="32"/>
        </w:rPr>
        <w:t>人，退休人员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_GB2312"/>
          <w:sz w:val="32"/>
          <w:szCs w:val="32"/>
        </w:rPr>
        <w:t>人。</w:t>
      </w:r>
    </w:p>
    <w:p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（一）机构设置情况</w:t>
      </w:r>
    </w:p>
    <w:p>
      <w:pPr>
        <w:adjustRightInd w:val="0"/>
        <w:snapToGrid w:val="0"/>
        <w:spacing w:line="560" w:lineRule="exact"/>
        <w:ind w:firstLine="640" w:firstLineChars="200"/>
        <w:contextualSpacing/>
        <w:rPr>
          <w:rFonts w:hint="default" w:ascii="仿宋" w:hAnsi="仿宋" w:eastAsia="仿宋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_GB2312"/>
          <w:sz w:val="32"/>
          <w:szCs w:val="32"/>
        </w:rPr>
        <w:t>衡南县集体商业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服务中心为股级单位没有内设机构。</w:t>
      </w:r>
    </w:p>
    <w:p>
      <w:pPr>
        <w:numPr>
          <w:ilvl w:val="0"/>
          <w:numId w:val="1"/>
        </w:numPr>
        <w:spacing w:line="560" w:lineRule="exact"/>
        <w:ind w:firstLine="640" w:firstLineChars="20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主要职能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指导规范全县集体商业的发展和改革，组织职工培训，负责本系统人事调配和职工队伍建设，负责对职责范围内有关行业、领域的安全生产工作进行指导，维护系统安全稳定。</w:t>
      </w:r>
    </w:p>
    <w:p>
      <w:pPr>
        <w:adjustRightInd w:val="0"/>
        <w:snapToGrid w:val="0"/>
        <w:spacing w:line="560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二、部门整体支出管理及使用情况</w:t>
      </w:r>
    </w:p>
    <w:p>
      <w:pPr>
        <w:widowControl/>
        <w:spacing w:before="100" w:beforeAutospacing="1" w:after="100" w:afterAutospacing="1" w:line="560" w:lineRule="exact"/>
        <w:ind w:firstLine="732" w:firstLineChars="229"/>
        <w:contextualSpacing/>
        <w:jc w:val="left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基本支出范围和主要用途包括：人员经费和日常公用经费。具体包括：工资福利支出、对个人和家庭的补助、商品和服务支出、其他资本性支出。基本支出的管理和使用情况如下：</w:t>
      </w:r>
    </w:p>
    <w:p>
      <w:pPr>
        <w:widowControl/>
        <w:spacing w:before="100" w:beforeAutospacing="1" w:after="100" w:afterAutospacing="1" w:line="560" w:lineRule="exact"/>
        <w:ind w:firstLine="640" w:firstLineChars="200"/>
        <w:contextualSpacing/>
        <w:jc w:val="left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1、本级基本支出总额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28.8</w:t>
      </w:r>
      <w:r>
        <w:rPr>
          <w:rFonts w:hint="eastAsia" w:ascii="仿宋" w:hAnsi="仿宋" w:eastAsia="仿宋" w:cs="仿宋_GB2312"/>
          <w:sz w:val="32"/>
          <w:szCs w:val="32"/>
        </w:rPr>
        <w:t>万元，其中：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人员经费</w:t>
      </w:r>
      <w:r>
        <w:rPr>
          <w:rFonts w:hint="eastAsia" w:ascii="仿宋" w:hAnsi="仿宋" w:eastAsia="仿宋" w:cs="仿宋_GB2312"/>
          <w:sz w:val="32"/>
          <w:szCs w:val="32"/>
        </w:rPr>
        <w:t>支出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22.83</w:t>
      </w:r>
      <w:r>
        <w:rPr>
          <w:rFonts w:hint="eastAsia" w:ascii="仿宋" w:hAnsi="仿宋" w:eastAsia="仿宋" w:cs="仿宋_GB2312"/>
          <w:sz w:val="32"/>
          <w:szCs w:val="32"/>
        </w:rPr>
        <w:t>万元；对个人和家庭的补助支出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5.96</w:t>
      </w:r>
      <w:r>
        <w:rPr>
          <w:rFonts w:hint="eastAsia" w:ascii="仿宋" w:hAnsi="仿宋" w:eastAsia="仿宋" w:cs="仿宋_GB2312"/>
          <w:sz w:val="32"/>
          <w:szCs w:val="32"/>
        </w:rPr>
        <w:t>万元。用于保障我社机构正常运转，完成日常工作任务而发生的各项支出，包括用于在职人员基本工资，津贴补贴、劳动保险费、遗属人员抚恤费等人员经费，以及办公费、印刷费、水电费、办公设备购置等日常公用经费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2、专项商品和服务支出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22.65</w:t>
      </w:r>
      <w:r>
        <w:rPr>
          <w:rFonts w:hint="eastAsia" w:ascii="仿宋" w:hAnsi="仿宋" w:eastAsia="仿宋" w:cs="仿宋_GB2312"/>
          <w:sz w:val="32"/>
          <w:szCs w:val="32"/>
        </w:rPr>
        <w:t>万元。保障我社支持基层组织发展、推进新农村现代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商业</w:t>
      </w:r>
      <w:r>
        <w:rPr>
          <w:rFonts w:hint="eastAsia" w:ascii="仿宋" w:hAnsi="仿宋" w:eastAsia="仿宋" w:cs="仿宋_GB2312"/>
          <w:sz w:val="32"/>
          <w:szCs w:val="32"/>
        </w:rPr>
        <w:t>流通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事务</w:t>
      </w:r>
      <w:r>
        <w:rPr>
          <w:rFonts w:hint="eastAsia" w:ascii="仿宋" w:hAnsi="仿宋" w:eastAsia="仿宋" w:cs="仿宋_GB2312"/>
          <w:sz w:val="32"/>
          <w:szCs w:val="32"/>
        </w:rPr>
        <w:t>、基层单位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危房维修</w:t>
      </w:r>
      <w:r>
        <w:rPr>
          <w:rFonts w:hint="eastAsia" w:ascii="仿宋" w:hAnsi="仿宋" w:eastAsia="仿宋" w:cs="仿宋_GB2312"/>
          <w:sz w:val="32"/>
          <w:szCs w:val="32"/>
        </w:rPr>
        <w:t>及涉军人员维稳等专项支出。</w:t>
      </w:r>
    </w:p>
    <w:p>
      <w:pPr>
        <w:pStyle w:val="4"/>
        <w:spacing w:before="0" w:beforeAutospacing="0" w:after="0" w:afterAutospacing="0" w:line="560" w:lineRule="exact"/>
        <w:ind w:firstLine="640" w:firstLineChars="200"/>
        <w:contextualSpacing/>
        <w:jc w:val="both"/>
        <w:rPr>
          <w:rFonts w:ascii="仿宋" w:hAnsi="仿宋" w:eastAsia="仿宋" w:cs="仿宋_GB2312"/>
          <w:kern w:val="2"/>
          <w:sz w:val="32"/>
          <w:szCs w:val="32"/>
        </w:rPr>
      </w:pPr>
      <w:r>
        <w:rPr>
          <w:rFonts w:hint="eastAsia" w:ascii="仿宋" w:hAnsi="仿宋" w:eastAsia="仿宋" w:cs="仿宋_GB2312"/>
          <w:kern w:val="2"/>
          <w:sz w:val="32"/>
          <w:szCs w:val="32"/>
        </w:rPr>
        <w:t>3、“三公”经费支出使用和管理情况</w:t>
      </w:r>
    </w:p>
    <w:p>
      <w:pPr>
        <w:widowControl/>
        <w:shd w:val="clear" w:color="auto" w:fill="FFFFFF"/>
        <w:spacing w:line="560" w:lineRule="exact"/>
        <w:ind w:firstLine="640"/>
        <w:jc w:val="left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“三公”经费各费用均控制在预算范围内，且较预算金额有不同程度的结余。因公出国（境）费用及公务用车运行维护费均为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_GB2312"/>
          <w:sz w:val="32"/>
          <w:szCs w:val="32"/>
        </w:rPr>
        <w:t>万元。公务接待费实际发生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300</w:t>
      </w:r>
      <w:r>
        <w:rPr>
          <w:rFonts w:hint="eastAsia" w:ascii="仿宋" w:hAnsi="仿宋" w:eastAsia="仿宋" w:cs="仿宋_GB2312"/>
          <w:sz w:val="32"/>
          <w:szCs w:val="32"/>
        </w:rPr>
        <w:t>元，本年较上年减少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仿宋_GB2312"/>
          <w:sz w:val="32"/>
          <w:szCs w:val="32"/>
        </w:rPr>
        <w:t>%。</w:t>
      </w:r>
    </w:p>
    <w:p>
      <w:pPr>
        <w:adjustRightInd w:val="0"/>
        <w:snapToGrid w:val="0"/>
        <w:spacing w:line="560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三、部门整体支出绩效情况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202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_GB2312"/>
          <w:sz w:val="32"/>
          <w:szCs w:val="32"/>
        </w:rPr>
        <w:t>年我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中心</w:t>
      </w:r>
      <w:r>
        <w:rPr>
          <w:rFonts w:hint="eastAsia" w:ascii="仿宋" w:hAnsi="仿宋" w:eastAsia="仿宋" w:cs="仿宋_GB2312"/>
          <w:sz w:val="32"/>
          <w:szCs w:val="32"/>
        </w:rPr>
        <w:t>通过加强预算收支的管理，不断建立健全内部管理制度，理顺内部管理流程，部门整体支出管理情况得到了提升。部门整体支出绩效情况如下：</w:t>
      </w:r>
    </w:p>
    <w:p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1、在职人员控制率：100%</w:t>
      </w:r>
    </w:p>
    <w:p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2、“三公经费”控制率：100%。严格控制“三公经费”支出，开源节流。202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_GB2312"/>
          <w:sz w:val="32"/>
          <w:szCs w:val="32"/>
        </w:rPr>
        <w:t>年我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中心</w:t>
      </w:r>
      <w:r>
        <w:rPr>
          <w:rFonts w:hint="eastAsia" w:ascii="仿宋" w:hAnsi="仿宋" w:eastAsia="仿宋" w:cs="仿宋_GB2312"/>
          <w:sz w:val="32"/>
          <w:szCs w:val="32"/>
        </w:rPr>
        <w:t>“三公经费”控制数为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1千</w:t>
      </w:r>
      <w:r>
        <w:rPr>
          <w:rFonts w:hint="eastAsia" w:ascii="仿宋" w:hAnsi="仿宋" w:eastAsia="仿宋" w:cs="仿宋_GB2312"/>
          <w:sz w:val="32"/>
          <w:szCs w:val="32"/>
        </w:rPr>
        <w:t>元，实际支出为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300</w:t>
      </w:r>
      <w:r>
        <w:rPr>
          <w:rFonts w:hint="eastAsia" w:ascii="仿宋" w:hAnsi="仿宋" w:eastAsia="仿宋" w:cs="仿宋_GB2312"/>
          <w:sz w:val="32"/>
          <w:szCs w:val="32"/>
        </w:rPr>
        <w:t>元。</w:t>
      </w:r>
    </w:p>
    <w:p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3、预算完成率：100%</w:t>
      </w:r>
    </w:p>
    <w:p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4、政府采购执行率100%</w:t>
      </w:r>
    </w:p>
    <w:p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5、在资金管理上，我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单位</w:t>
      </w:r>
      <w:r>
        <w:rPr>
          <w:rFonts w:hint="eastAsia" w:ascii="仿宋" w:hAnsi="仿宋" w:eastAsia="仿宋" w:cs="仿宋_GB2312"/>
          <w:sz w:val="32"/>
          <w:szCs w:val="32"/>
        </w:rPr>
        <w:t>制定了一系列的财务管理制度。</w:t>
      </w:r>
    </w:p>
    <w:p>
      <w:pPr>
        <w:adjustRightInd w:val="0"/>
        <w:snapToGrid w:val="0"/>
        <w:spacing w:line="560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四、存在的主要问题</w:t>
      </w:r>
    </w:p>
    <w:p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1.预算编制的口径与实际执行出现误差：按照现行的预算编制原则，人员经费和日常公用经费都是按照上年度反映的人数安排，而实际执行中单位工作人员往往有变动或流动。</w:t>
      </w:r>
    </w:p>
    <w:p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2.预算编制的分类和实行执行出现脱节：预算编制的功能分类与经济分类不够细化，而实际支出中的情况更加多元化和明细化，出现了分类不一致的情况。</w:t>
      </w:r>
    </w:p>
    <w:p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3.部门整体支出不能很好的对比支出与成果，投入与产出效果，进而很难有针对性的发现问题，分析问题，提出解决方案。</w:t>
      </w:r>
    </w:p>
    <w:p>
      <w:pPr>
        <w:adjustRightInd w:val="0"/>
        <w:snapToGrid w:val="0"/>
        <w:spacing w:line="560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五、改进措施和有关建议</w:t>
      </w:r>
    </w:p>
    <w:p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1.进一步强化预算管理意识，预算编制前多与有关各方做好沟通衔接，提高预算编制的科学性、合理性、准确性和可控性。</w:t>
      </w:r>
    </w:p>
    <w:p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2.完善各类支出管理制度，明细收支项目，坚持专款专用，提高预算编制的前瞻性和指导性。</w:t>
      </w:r>
    </w:p>
    <w:p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3.进一步推进预算绩效管理信息系统建设，完善绩效管理相关制度，提高可操作性。</w:t>
      </w:r>
    </w:p>
    <w:p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4.构建单位财务部门和业务部门共同参与、协调配合的绩效评价工作机制，落实 “谁干事谁花钱、谁花钱谁担责”的权责机制，提高财政资金使用效益。</w:t>
      </w:r>
    </w:p>
    <w:p>
      <w:pPr>
        <w:adjustRightInd w:val="0"/>
        <w:snapToGrid w:val="0"/>
        <w:spacing w:line="560" w:lineRule="exact"/>
        <w:ind w:right="160"/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right="160"/>
        <w:jc w:val="righ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衡南县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集体商业服务中心</w:t>
      </w:r>
    </w:p>
    <w:p>
      <w:pPr>
        <w:adjustRightInd w:val="0"/>
        <w:snapToGrid w:val="0"/>
        <w:spacing w:line="560" w:lineRule="exact"/>
        <w:ind w:right="16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2023年4月10日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</w:t>
      </w:r>
    </w:p>
    <w:sectPr>
      <w:pgSz w:w="11906" w:h="16838"/>
      <w:pgMar w:top="1440" w:right="1797" w:bottom="1440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00071C7"/>
    <w:multiLevelType w:val="singleLevel"/>
    <w:tmpl w:val="F00071C7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Q0MTg2ZjM5Yzc3NjZjNjZjNTJkNmJlNDA5ZmExZTcifQ=="/>
  </w:docVars>
  <w:rsids>
    <w:rsidRoot w:val="00006FAB"/>
    <w:rsid w:val="00006FAB"/>
    <w:rsid w:val="000C6B11"/>
    <w:rsid w:val="003C3394"/>
    <w:rsid w:val="003F46FB"/>
    <w:rsid w:val="004D2881"/>
    <w:rsid w:val="004E0163"/>
    <w:rsid w:val="00932D70"/>
    <w:rsid w:val="00A724B5"/>
    <w:rsid w:val="00BA43ED"/>
    <w:rsid w:val="00C6557A"/>
    <w:rsid w:val="00DA76EE"/>
    <w:rsid w:val="00FF688D"/>
    <w:rsid w:val="01964C36"/>
    <w:rsid w:val="02DC3EDD"/>
    <w:rsid w:val="04FB2A81"/>
    <w:rsid w:val="12517446"/>
    <w:rsid w:val="163D5BF9"/>
    <w:rsid w:val="31281947"/>
    <w:rsid w:val="340C71B6"/>
    <w:rsid w:val="37C83038"/>
    <w:rsid w:val="3A4654FD"/>
    <w:rsid w:val="3BAC7886"/>
    <w:rsid w:val="4AAA348D"/>
    <w:rsid w:val="4AAB292B"/>
    <w:rsid w:val="4DBA25C8"/>
    <w:rsid w:val="4EC317CF"/>
    <w:rsid w:val="53926C62"/>
    <w:rsid w:val="56641AA6"/>
    <w:rsid w:val="576A537F"/>
    <w:rsid w:val="57AE684B"/>
    <w:rsid w:val="5B6519F8"/>
    <w:rsid w:val="5BAF635E"/>
    <w:rsid w:val="620505FA"/>
    <w:rsid w:val="66055E5E"/>
    <w:rsid w:val="6C350865"/>
    <w:rsid w:val="6E042A7B"/>
    <w:rsid w:val="70350E1A"/>
    <w:rsid w:val="73B861AD"/>
    <w:rsid w:val="77300CCA"/>
    <w:rsid w:val="78A9749E"/>
    <w:rsid w:val="7A7C783B"/>
    <w:rsid w:val="7C8C7AF8"/>
    <w:rsid w:val="7CE60629"/>
    <w:rsid w:val="7F5C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7">
    <w:name w:val="样式 首行缩进:  2 字符"/>
    <w:basedOn w:val="1"/>
    <w:qFormat/>
    <w:uiPriority w:val="2"/>
    <w:pPr>
      <w:ind w:firstLine="200"/>
      <w:jc w:val="left"/>
    </w:pPr>
    <w:rPr>
      <w:kern w:val="1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1683</Words>
  <Characters>1739</Characters>
  <Lines>13</Lines>
  <Paragraphs>3</Paragraphs>
  <TotalTime>286</TotalTime>
  <ScaleCrop>false</ScaleCrop>
  <LinksUpToDate>false</LinksUpToDate>
  <CharactersWithSpaces>1802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孙泽宇</cp:lastModifiedBy>
  <cp:lastPrinted>2023-04-26T02:11:00Z</cp:lastPrinted>
  <dcterms:modified xsi:type="dcterms:W3CDTF">2023-10-11T09:14:42Z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BF517025D9324354B94FB4EC15C3E816_13</vt:lpwstr>
  </property>
</Properties>
</file>