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bookmarkStart w:id="0" w:name="_GoBack"/>
      <w:bookmarkEnd w:id="0"/>
    </w:p>
    <w:p>
      <w:pPr>
        <w:spacing w:line="520" w:lineRule="exact"/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衡南县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水运事务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中心</w:t>
      </w:r>
    </w:p>
    <w:p>
      <w:pPr>
        <w:spacing w:line="520" w:lineRule="exact"/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部门整体支出绩效报告</w:t>
      </w:r>
    </w:p>
    <w:p>
      <w:pPr>
        <w:spacing w:line="52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衡南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县水运事务</w:t>
      </w:r>
      <w:r>
        <w:rPr>
          <w:rFonts w:hint="eastAsia" w:ascii="仿宋" w:hAnsi="仿宋" w:eastAsia="仿宋" w:cs="仿宋"/>
          <w:sz w:val="32"/>
          <w:szCs w:val="32"/>
        </w:rPr>
        <w:t>中心2022年度预算管理绩效工作自评报告如下：</w:t>
      </w:r>
    </w:p>
    <w:p>
      <w:pPr>
        <w:adjustRightInd w:val="0"/>
        <w:snapToGrid w:val="0"/>
        <w:spacing w:line="560" w:lineRule="exact"/>
        <w:ind w:left="64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一、基本情况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衡南县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水运事务</w:t>
      </w:r>
      <w:r>
        <w:rPr>
          <w:rFonts w:hint="eastAsia" w:ascii="仿宋" w:hAnsi="仿宋" w:eastAsia="仿宋" w:cs="仿宋"/>
          <w:sz w:val="32"/>
          <w:szCs w:val="32"/>
        </w:rPr>
        <w:t>中心为衡南县交通运输局所属副科级公益一类事业单位,财政预算全额拨款事业单位，财务核算适用事业单位会计制度。现有在职干部职工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</w:t>
      </w:r>
      <w:r>
        <w:rPr>
          <w:rFonts w:hint="eastAsia" w:ascii="仿宋" w:hAnsi="仿宋" w:eastAsia="仿宋" w:cs="仿宋"/>
          <w:sz w:val="32"/>
          <w:szCs w:val="32"/>
        </w:rPr>
        <w:t>人，退休人员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 xml:space="preserve">人。 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（一）机构设置情况</w:t>
      </w:r>
    </w:p>
    <w:p>
      <w:pPr>
        <w:adjustRightInd w:val="0"/>
        <w:snapToGrid w:val="0"/>
        <w:spacing w:line="560" w:lineRule="exact"/>
        <w:ind w:left="105" w:leftChars="50" w:firstLine="640" w:firstLineChars="200"/>
        <w:contextualSpacing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水运事务</w:t>
      </w:r>
      <w:r>
        <w:rPr>
          <w:rFonts w:hint="eastAsia" w:ascii="仿宋" w:hAnsi="仿宋" w:eastAsia="仿宋" w:cs="仿宋"/>
          <w:sz w:val="32"/>
          <w:szCs w:val="32"/>
        </w:rPr>
        <w:t>中心设下列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个内设机构：办公室、财务股统计股、安全事务股、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船舶检验</w:t>
      </w:r>
      <w:r>
        <w:rPr>
          <w:rFonts w:hint="eastAsia" w:ascii="仿宋" w:hAnsi="仿宋" w:eastAsia="仿宋" w:cs="仿宋"/>
          <w:sz w:val="32"/>
          <w:szCs w:val="32"/>
        </w:rPr>
        <w:t>股、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船舶船员股。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（二）主要职能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1.贯彻落实国家、省、市、县关于水路交通的方针政策和法律法规，参与拟订全县水路交通事务中长期发展规划和年度计划，并组织实施。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2、负责权限内船舶、水上设施和船运集装箱的监督检验工作。  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3、负责水运行业科技工作，组织水路交通新技术、新工艺、新材料的推广应用。负责水路交通行业信息统计工作。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4、协助船舶登记、船员管理和船员考试发证相关事务性工作。  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5、负责全县水路运输和港口搬运装卸市场监管相关事务性工作。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6、负责指导全县水上交通运输行业安全生产和应急处置工作。负责防治船舶、港口及其作业污染水域管理的事务性工作。承担全县水上交通搜寻救助、沉船沉物等相关技术支撑工作。                     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7、完成县交通运输局交办的其他任务。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二、部门整体支出管理及使用情况</w:t>
      </w:r>
    </w:p>
    <w:p>
      <w:pPr>
        <w:widowControl/>
        <w:spacing w:before="100" w:beforeAutospacing="1" w:after="100" w:afterAutospacing="1" w:line="560" w:lineRule="exact"/>
        <w:ind w:firstLine="272"/>
        <w:contextualSpacing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444444"/>
          <w:kern w:val="0"/>
          <w:sz w:val="32"/>
          <w:szCs w:val="32"/>
        </w:rPr>
        <w:t>　</w:t>
      </w:r>
      <w:r>
        <w:rPr>
          <w:rFonts w:hint="eastAsia" w:ascii="仿宋" w:hAnsi="仿宋" w:eastAsia="仿宋" w:cs="仿宋"/>
          <w:sz w:val="32"/>
          <w:szCs w:val="32"/>
        </w:rPr>
        <w:t>基本支出范围和主要用途包括：人员经费和日常公用经费。具体包括：工资福利支出、对个人和家庭的补助、商品和服务支出、其他资本性支出。基本支出的管理和使用情况如下：</w:t>
      </w:r>
    </w:p>
    <w:p>
      <w:pPr>
        <w:widowControl/>
        <w:spacing w:before="100" w:beforeAutospacing="1" w:after="100" w:afterAutospacing="1" w:line="560" w:lineRule="exact"/>
        <w:ind w:firstLine="640" w:firstLineChars="200"/>
        <w:contextualSpacing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1、本单位2022年预算批复数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140.099</w:t>
      </w:r>
      <w:r>
        <w:rPr>
          <w:rFonts w:hint="eastAsia" w:ascii="仿宋" w:hAnsi="仿宋" w:eastAsia="仿宋" w:cs="仿宋"/>
          <w:sz w:val="32"/>
          <w:szCs w:val="32"/>
        </w:rPr>
        <w:t>万元，其中：基本支出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125.09</w:t>
      </w:r>
      <w:r>
        <w:rPr>
          <w:rFonts w:hint="eastAsia" w:ascii="仿宋" w:hAnsi="仿宋" w:eastAsia="仿宋" w:cs="仿宋"/>
          <w:sz w:val="32"/>
          <w:szCs w:val="32"/>
        </w:rPr>
        <w:t>万元，项目支出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2、2022年决算支出数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57.93</w:t>
      </w:r>
      <w:r>
        <w:rPr>
          <w:rFonts w:hint="eastAsia" w:ascii="仿宋" w:hAnsi="仿宋" w:eastAsia="仿宋" w:cs="仿宋"/>
          <w:sz w:val="32"/>
          <w:szCs w:val="32"/>
        </w:rPr>
        <w:t>万元，其中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:1</w:t>
      </w:r>
      <w:r>
        <w:rPr>
          <w:rFonts w:hint="eastAsia" w:ascii="仿宋" w:hAnsi="仿宋" w:eastAsia="仿宋" w:cs="仿宋"/>
          <w:sz w:val="32"/>
          <w:szCs w:val="32"/>
        </w:rPr>
        <w:t>.基本支出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46.27</w:t>
      </w:r>
      <w:r>
        <w:rPr>
          <w:rFonts w:hint="eastAsia" w:ascii="仿宋" w:hAnsi="仿宋" w:eastAsia="仿宋" w:cs="仿宋"/>
          <w:sz w:val="32"/>
          <w:szCs w:val="32"/>
        </w:rPr>
        <w:t>万元，用于保障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正常运转，完成日常工作任务而发生的各项支出，包括用于在职人员基本工资，津贴补贴、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社会</w:t>
      </w:r>
      <w:r>
        <w:rPr>
          <w:rFonts w:hint="eastAsia" w:ascii="仿宋" w:hAnsi="仿宋" w:eastAsia="仿宋" w:cs="仿宋"/>
          <w:sz w:val="32"/>
          <w:szCs w:val="32"/>
        </w:rPr>
        <w:t>保险费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、住房公积金</w:t>
      </w:r>
      <w:r>
        <w:rPr>
          <w:rFonts w:hint="eastAsia" w:ascii="仿宋" w:hAnsi="仿宋" w:eastAsia="仿宋" w:cs="仿宋"/>
          <w:sz w:val="32"/>
          <w:szCs w:val="32"/>
        </w:rPr>
        <w:t>等人员经费，以及办公费、印刷费、水电费、办公设备购置等日常公用经费；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.专项项目支出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11.66</w:t>
      </w:r>
      <w:r>
        <w:rPr>
          <w:rFonts w:hint="eastAsia" w:ascii="仿宋" w:hAnsi="仿宋" w:eastAsia="仿宋" w:cs="仿宋"/>
          <w:sz w:val="32"/>
          <w:szCs w:val="32"/>
        </w:rPr>
        <w:t>万元,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用于水上营运安全及执法船和趸船运行维护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pStyle w:val="6"/>
        <w:spacing w:before="0" w:beforeAutospacing="0" w:after="0" w:afterAutospacing="0" w:line="560" w:lineRule="exact"/>
        <w:ind w:firstLine="640" w:firstLineChars="200"/>
        <w:contextualSpacing/>
        <w:jc w:val="both"/>
        <w:rPr>
          <w:rFonts w:hint="eastAsia" w:ascii="仿宋" w:hAnsi="仿宋" w:eastAsia="仿宋" w:cs="仿宋"/>
          <w:kern w:val="2"/>
          <w:sz w:val="32"/>
          <w:szCs w:val="32"/>
        </w:rPr>
      </w:pPr>
      <w:r>
        <w:rPr>
          <w:rFonts w:hint="eastAsia" w:ascii="仿宋" w:hAnsi="仿宋" w:eastAsia="仿宋" w:cs="仿宋"/>
          <w:kern w:val="2"/>
          <w:sz w:val="32"/>
          <w:szCs w:val="32"/>
        </w:rPr>
        <w:t>3、“三公”经费支出使用和管理情况</w:t>
      </w:r>
    </w:p>
    <w:p>
      <w:pPr>
        <w:widowControl/>
        <w:shd w:val="clear" w:color="auto" w:fill="FFFFFF"/>
        <w:spacing w:line="560" w:lineRule="exact"/>
        <w:ind w:firstLine="64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“三公”经费各费用均控制在预算范围内，且较预算金额有不同程度的结余。因公出国（境）费用及公务用车运行维护费均为0万元。公务接待费实际发生0元，本年较上年减少。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三、部门整体支出绩效情况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2022年我中心通过加强预算收支的管理，不断建立健全内部管理制度，理顺内部管理流程，部门整体支出管理情况得到了提升。部门整体支出绩效情况如下：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1、在职人员控制率：100%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" w:hAnsi="仿宋" w:eastAsia="仿宋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2、“三公经费”控制率：100%。严格控制“三公经费”支出，开源节流。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3、预算完成率：100%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4、政府采购执行率100%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5、在资金管理上，我中心制定了一系列的财务管理制度。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四、存在的主要问题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1.预算编制的口径与实际执行出现误差：按照现行的预算编制原则，人员经费和日常公用经费都是按照上年度反映的人数安排，而实际执行中单位工作人员往往有变动或流动。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2.预算编制的分类和实行执行出现脱节：预算编制的功能分类与经济分类不够细化，而实际支出中的情况更加多元化和明细化，出现了分类不一致的情况。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3.部门整体支出不能很好的对比支出与成果，投入与产出效果，进而很难有针对性的发现问题，分析问题，提出解决方案。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五、改进措施和有关建议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1、进一步加强内部机构的预算管理意识，严格按照预算编制的相关制度和要求，充分发挥财务监督作用。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2、进一步提高人员经费和公用经费保障力度，提高预算编制的科学性、合理性、严谨性和可控性。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3、在日常预算管理过程中，进一步加强预算支出的审核、跟踪及预算执行情况分析。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</w:t>
      </w:r>
    </w:p>
    <w:p>
      <w:pPr>
        <w:adjustRightInd w:val="0"/>
        <w:snapToGrid w:val="0"/>
        <w:spacing w:line="560" w:lineRule="exact"/>
        <w:ind w:right="160"/>
        <w:jc w:val="right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衡南县</w:t>
      </w:r>
      <w:r>
        <w:rPr>
          <w:rFonts w:hint="eastAsia" w:ascii="仿宋" w:hAnsi="仿宋" w:eastAsia="仿宋" w:cs="仿宋"/>
          <w:b/>
          <w:sz w:val="32"/>
          <w:szCs w:val="32"/>
          <w:lang w:eastAsia="zh-CN"/>
        </w:rPr>
        <w:t>水运事务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中心   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 xml:space="preserve">                           </w:t>
      </w:r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1ZTk3ZDMyNDA1YzE2YWVkNTdjMzczYzQwYjViZjgifQ=="/>
  </w:docVars>
  <w:rsids>
    <w:rsidRoot w:val="00006FAB"/>
    <w:rsid w:val="00006FAB"/>
    <w:rsid w:val="000113E2"/>
    <w:rsid w:val="0002171F"/>
    <w:rsid w:val="00063E4D"/>
    <w:rsid w:val="00067575"/>
    <w:rsid w:val="000810F7"/>
    <w:rsid w:val="00085C8A"/>
    <w:rsid w:val="000A14AB"/>
    <w:rsid w:val="000C6B11"/>
    <w:rsid w:val="001D3738"/>
    <w:rsid w:val="00234329"/>
    <w:rsid w:val="002A0E0C"/>
    <w:rsid w:val="002A5F7D"/>
    <w:rsid w:val="002F0E7B"/>
    <w:rsid w:val="0031025E"/>
    <w:rsid w:val="00356D0D"/>
    <w:rsid w:val="003671FC"/>
    <w:rsid w:val="00387CA7"/>
    <w:rsid w:val="003C3394"/>
    <w:rsid w:val="003F46FB"/>
    <w:rsid w:val="00440AF8"/>
    <w:rsid w:val="004D2881"/>
    <w:rsid w:val="004E0163"/>
    <w:rsid w:val="005129DF"/>
    <w:rsid w:val="0055717D"/>
    <w:rsid w:val="005A5518"/>
    <w:rsid w:val="005B2292"/>
    <w:rsid w:val="00647144"/>
    <w:rsid w:val="0065204E"/>
    <w:rsid w:val="00684DA0"/>
    <w:rsid w:val="007E33C1"/>
    <w:rsid w:val="00806C7E"/>
    <w:rsid w:val="00875818"/>
    <w:rsid w:val="00932D70"/>
    <w:rsid w:val="009456BD"/>
    <w:rsid w:val="00972173"/>
    <w:rsid w:val="00A073DE"/>
    <w:rsid w:val="00A724B5"/>
    <w:rsid w:val="00AB0D9A"/>
    <w:rsid w:val="00AB1FCB"/>
    <w:rsid w:val="00AC04B9"/>
    <w:rsid w:val="00B44FFC"/>
    <w:rsid w:val="00BA43ED"/>
    <w:rsid w:val="00C6557A"/>
    <w:rsid w:val="00C71AD9"/>
    <w:rsid w:val="00C73283"/>
    <w:rsid w:val="00C81CB4"/>
    <w:rsid w:val="00CC6709"/>
    <w:rsid w:val="00DA76EE"/>
    <w:rsid w:val="00DB4700"/>
    <w:rsid w:val="00DC601D"/>
    <w:rsid w:val="00E17D1D"/>
    <w:rsid w:val="00E3105F"/>
    <w:rsid w:val="00EA1ADE"/>
    <w:rsid w:val="00EC130F"/>
    <w:rsid w:val="00F00E70"/>
    <w:rsid w:val="00FF688D"/>
    <w:rsid w:val="01964C36"/>
    <w:rsid w:val="02DC3EDD"/>
    <w:rsid w:val="04FB2A81"/>
    <w:rsid w:val="12517446"/>
    <w:rsid w:val="163D5BF9"/>
    <w:rsid w:val="255A3650"/>
    <w:rsid w:val="2AA860A8"/>
    <w:rsid w:val="31281947"/>
    <w:rsid w:val="340C71B6"/>
    <w:rsid w:val="37C83038"/>
    <w:rsid w:val="41B8511B"/>
    <w:rsid w:val="4593245B"/>
    <w:rsid w:val="49920138"/>
    <w:rsid w:val="4AAA348D"/>
    <w:rsid w:val="4AAB292B"/>
    <w:rsid w:val="4DBA25C8"/>
    <w:rsid w:val="4EC317CF"/>
    <w:rsid w:val="4ECE53EE"/>
    <w:rsid w:val="53926C62"/>
    <w:rsid w:val="56641AA6"/>
    <w:rsid w:val="576A537F"/>
    <w:rsid w:val="57AE684B"/>
    <w:rsid w:val="5B6519F8"/>
    <w:rsid w:val="5DB24C82"/>
    <w:rsid w:val="620505FA"/>
    <w:rsid w:val="6AEA4AB9"/>
    <w:rsid w:val="6C350865"/>
    <w:rsid w:val="6E042A7B"/>
    <w:rsid w:val="70350E1A"/>
    <w:rsid w:val="73B861AD"/>
    <w:rsid w:val="7590179A"/>
    <w:rsid w:val="77300CCA"/>
    <w:rsid w:val="78A9749E"/>
    <w:rsid w:val="79404F19"/>
    <w:rsid w:val="7A7C783B"/>
    <w:rsid w:val="7C8C7AF8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9">
    <w:name w:val="样式 首行缩进:  2 字符"/>
    <w:basedOn w:val="1"/>
    <w:qFormat/>
    <w:uiPriority w:val="2"/>
    <w:pPr>
      <w:ind w:firstLine="200"/>
      <w:jc w:val="left"/>
    </w:pPr>
    <w:rPr>
      <w:kern w:val="1"/>
      <w:szCs w:val="20"/>
    </w:rPr>
  </w:style>
  <w:style w:type="character" w:customStyle="1" w:styleId="10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2"/>
    <w:qFormat/>
    <w:uiPriority w:val="0"/>
    <w:rPr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1479</Words>
  <Characters>1532</Characters>
  <Lines>13</Lines>
  <Paragraphs>3</Paragraphs>
  <TotalTime>6</TotalTime>
  <ScaleCrop>false</ScaleCrop>
  <LinksUpToDate>false</LinksUpToDate>
  <CharactersWithSpaces>1681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2023-04-20T01:43:00Z</dcterms:created>
  <dc:creator>Administrator</dc:creator>
  <cp:lastModifiedBy>孙泽宇</cp:lastModifiedBy>
  <dcterms:modified xsi:type="dcterms:W3CDTF">2023-10-11T09:17:54Z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48B393E50C1B41EAB4EA38399E9F40D4_13</vt:lpwstr>
  </property>
</Properties>
</file>