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heme="majorEastAsia"/>
          <w:b/>
          <w:bCs/>
          <w:kern w:val="0"/>
          <w:sz w:val="44"/>
          <w:szCs w:val="44"/>
          <w:lang w:val="en-US" w:eastAsia="zh-CN"/>
        </w:rPr>
      </w:pPr>
      <w:bookmarkStart w:id="0" w:name="_GoBack"/>
      <w:bookmarkEnd w:id="0"/>
      <w:r>
        <w:rPr>
          <w:rFonts w:hint="eastAsia" w:ascii="宋体" w:hAnsi="宋体" w:eastAsia="宋体" w:cstheme="majorEastAsia"/>
          <w:b/>
          <w:bCs/>
          <w:kern w:val="0"/>
          <w:sz w:val="44"/>
          <w:szCs w:val="44"/>
        </w:rPr>
        <w:t>衡南县</w:t>
      </w:r>
      <w:r>
        <w:rPr>
          <w:rFonts w:hint="eastAsia" w:ascii="宋体" w:hAnsi="宋体" w:eastAsia="宋体" w:cstheme="majorEastAsia"/>
          <w:b/>
          <w:bCs/>
          <w:kern w:val="0"/>
          <w:sz w:val="44"/>
          <w:szCs w:val="44"/>
          <w:lang w:eastAsia="zh-CN"/>
        </w:rPr>
        <w:t>交通运输站场服务中心</w:t>
      </w:r>
    </w:p>
    <w:p>
      <w:pPr>
        <w:jc w:val="center"/>
        <w:rPr>
          <w:rFonts w:ascii="宋体" w:hAnsi="宋体" w:eastAsia="宋体" w:cstheme="majorEastAsia"/>
          <w:b/>
          <w:bCs/>
          <w:kern w:val="0"/>
          <w:sz w:val="44"/>
          <w:szCs w:val="44"/>
        </w:rPr>
      </w:pPr>
      <w:r>
        <w:rPr>
          <w:rFonts w:hint="eastAsia" w:ascii="宋体" w:hAnsi="宋体" w:eastAsia="宋体" w:cstheme="majorEastAsia"/>
          <w:b/>
          <w:bCs/>
          <w:kern w:val="0"/>
          <w:sz w:val="44"/>
          <w:szCs w:val="44"/>
        </w:rPr>
        <w:t>部门整体支出绩效自评报告</w:t>
      </w:r>
    </w:p>
    <w:p/>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为全面贯彻落实《中共湖南省委办公厅 湖南省人民政府办公厅关于全面实施预算绩效管理的实施意见》（湘办发〔2019〕10号）、财政部《项目支出绩效评价管理办法》（财预〔2020〕10号）、《湖南省预算支出绩效评价管理办法》（湘财绩〔2020〕7号）等文件精神，我单位就2022年度财政资金部门整体支出的使用情况开展绩效评价，自评报告如下：</w:t>
      </w:r>
    </w:p>
    <w:p>
      <w:pPr>
        <w:numPr>
          <w:ilvl w:val="0"/>
          <w:numId w:val="1"/>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部门基本情况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1.部门职责</w:t>
      </w:r>
    </w:p>
    <w:p>
      <w:pPr>
        <w:numPr>
          <w:ilvl w:val="0"/>
          <w:numId w:val="0"/>
        </w:numPr>
        <w:ind w:firstLine="640"/>
        <w:rPr>
          <w:rFonts w:hint="eastAsia" w:ascii="仿宋" w:hAnsi="仿宋" w:eastAsia="仿宋" w:cs="仿宋"/>
          <w:sz w:val="32"/>
          <w:szCs w:val="32"/>
        </w:rPr>
      </w:pPr>
      <w:r>
        <w:rPr>
          <w:rFonts w:hint="eastAsia" w:ascii="仿宋" w:hAnsi="仿宋" w:eastAsia="仿宋" w:cs="仿宋"/>
          <w:sz w:val="32"/>
          <w:szCs w:val="32"/>
        </w:rPr>
        <w:t>贯彻</w:t>
      </w:r>
      <w:r>
        <w:rPr>
          <w:rFonts w:hint="eastAsia" w:ascii="仿宋" w:hAnsi="仿宋" w:eastAsia="仿宋" w:cs="仿宋"/>
          <w:sz w:val="32"/>
          <w:szCs w:val="32"/>
          <w:lang w:eastAsia="zh-CN"/>
        </w:rPr>
        <w:t>执行国家、省市、县和上级交通运输主管部门有关道路运输客货运站场工作的方针政策和法律法规，拟订道路运输客货运站场事务性工作规划和计划，并组织实施；负责实施道路运输客货用站场运行监测、统计分析、协作管理、政评估和从业人员考核工作；负责全县道路运输服务客货用站场规划、建设、维护运行工作；负责全县道路运输客货用站场经营企业公共信息查询、考核结果公布、质量信誉考核工作；协助道路运输客货运站场经营企业等级评定工作；参与组织协调道路运输客货运站场经营企业的春运、重要节假日运输、军运、抢险救灾和重大物资运输工作；协助道路运输客货用站场安全生产相关工作；完成县交通运输局交办的其他工作</w:t>
      </w:r>
      <w:r>
        <w:rPr>
          <w:rFonts w:hint="eastAsia" w:ascii="仿宋" w:hAnsi="仿宋" w:eastAsia="仿宋" w:cs="仿宋"/>
          <w:sz w:val="32"/>
          <w:szCs w:val="32"/>
        </w:rPr>
        <w:t>。</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2.机构设置情况</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本中心设主任1人，副主任2人</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 w:hAnsi="仿宋" w:eastAsia="仿宋" w:cs="仿宋"/>
          <w:sz w:val="32"/>
          <w:szCs w:val="32"/>
          <w:lang w:val="en-US" w:eastAsia="zh-CN"/>
        </w:rPr>
        <w:t>人员编制情况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在职干部职工10人，其中全额事业编2人，差额编制3人，自费编制5人。</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二、部门整体支出管理及使用情况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1.部门预算收支情况（含公共财政拨款、政府性基金拨款、纳入专户管理的非税收入拨款及其他资金）及部门决算情况。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我中心2022年度年初经费预算安排数为95.54万元，年中追加财政预算人员经费5.2万元；其中：基本支出72.54万元，项目支出23万元。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2.支出分类情况</w:t>
      </w:r>
    </w:p>
    <w:p>
      <w:pPr>
        <w:numPr>
          <w:ilvl w:val="0"/>
          <w:numId w:val="0"/>
        </w:numPr>
        <w:ind w:firstLine="64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部门整体支出分为基本支出和项目支出两部分，其中基本支出54.73万元，项目支出13.03万元，2022年支出决算数合计67.76万元。具体分类情况如下：</w:t>
      </w:r>
    </w:p>
    <w:p>
      <w:pPr>
        <w:numPr>
          <w:ilvl w:val="0"/>
          <w:numId w:val="0"/>
        </w:numPr>
        <w:ind w:firstLine="640"/>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202</w:t>
      </w:r>
      <w:r>
        <w:rPr>
          <w:rFonts w:hint="eastAsia" w:ascii="仿宋" w:hAnsi="仿宋" w:eastAsia="仿宋" w:cs="仿宋"/>
          <w:sz w:val="32"/>
          <w:szCs w:val="32"/>
          <w:highlight w:val="none"/>
          <w:lang w:val="en-US" w:eastAsia="zh-CN"/>
        </w:rPr>
        <w:t>2</w:t>
      </w:r>
      <w:r>
        <w:rPr>
          <w:rFonts w:hint="default" w:ascii="仿宋" w:hAnsi="仿宋" w:eastAsia="仿宋" w:cs="仿宋"/>
          <w:sz w:val="32"/>
          <w:szCs w:val="32"/>
          <w:highlight w:val="none"/>
          <w:lang w:val="en-US" w:eastAsia="zh-CN"/>
        </w:rPr>
        <w:t>年基本支出</w:t>
      </w:r>
      <w:r>
        <w:rPr>
          <w:rFonts w:hint="eastAsia" w:ascii="仿宋" w:hAnsi="仿宋" w:eastAsia="仿宋" w:cs="仿宋"/>
          <w:sz w:val="32"/>
          <w:szCs w:val="32"/>
          <w:highlight w:val="none"/>
          <w:lang w:val="en-US" w:eastAsia="zh-CN"/>
        </w:rPr>
        <w:t>54.73万元，</w:t>
      </w:r>
      <w:r>
        <w:rPr>
          <w:rFonts w:hint="default" w:ascii="仿宋" w:hAnsi="仿宋" w:eastAsia="仿宋" w:cs="仿宋"/>
          <w:sz w:val="32"/>
          <w:szCs w:val="32"/>
          <w:highlight w:val="none"/>
          <w:lang w:val="en-US" w:eastAsia="zh-CN"/>
        </w:rPr>
        <w:t>主要用于人员经费和日常公用经费。其中：</w:t>
      </w:r>
      <w:r>
        <w:rPr>
          <w:rFonts w:hint="eastAsia" w:ascii="仿宋" w:hAnsi="仿宋" w:eastAsia="仿宋" w:cs="仿宋"/>
          <w:sz w:val="32"/>
          <w:szCs w:val="32"/>
          <w:highlight w:val="none"/>
          <w:lang w:val="en-US" w:eastAsia="zh-CN"/>
        </w:rPr>
        <w:t>人员经费</w:t>
      </w:r>
      <w:r>
        <w:rPr>
          <w:rFonts w:hint="default" w:ascii="仿宋" w:hAnsi="仿宋" w:eastAsia="仿宋" w:cs="仿宋"/>
          <w:sz w:val="32"/>
          <w:szCs w:val="32"/>
          <w:highlight w:val="none"/>
          <w:lang w:val="en-US" w:eastAsia="zh-CN"/>
        </w:rPr>
        <w:t>工资福利支出</w:t>
      </w:r>
      <w:r>
        <w:rPr>
          <w:rFonts w:hint="eastAsia" w:ascii="仿宋" w:hAnsi="仿宋" w:eastAsia="仿宋" w:cs="仿宋"/>
          <w:sz w:val="32"/>
          <w:szCs w:val="32"/>
          <w:highlight w:val="none"/>
          <w:lang w:val="en-US" w:eastAsia="zh-CN"/>
        </w:rPr>
        <w:t>48.37</w:t>
      </w:r>
      <w:r>
        <w:rPr>
          <w:rFonts w:hint="default" w:ascii="仿宋" w:hAnsi="仿宋" w:eastAsia="仿宋" w:cs="仿宋"/>
          <w:sz w:val="32"/>
          <w:szCs w:val="32"/>
          <w:highlight w:val="none"/>
          <w:lang w:val="en-US" w:eastAsia="zh-CN"/>
        </w:rPr>
        <w:t>万元，</w:t>
      </w:r>
      <w:r>
        <w:rPr>
          <w:rFonts w:hint="eastAsia" w:ascii="仿宋" w:hAnsi="仿宋" w:eastAsia="仿宋" w:cs="仿宋"/>
          <w:sz w:val="32"/>
          <w:szCs w:val="32"/>
          <w:highlight w:val="none"/>
          <w:lang w:val="en-US" w:eastAsia="zh-CN"/>
        </w:rPr>
        <w:t>财政对工伤保障基金补助、事业单位医疗、住房保障支出6.36</w:t>
      </w:r>
      <w:r>
        <w:rPr>
          <w:rFonts w:hint="default" w:ascii="仿宋" w:hAnsi="仿宋" w:eastAsia="仿宋" w:cs="仿宋"/>
          <w:sz w:val="32"/>
          <w:szCs w:val="32"/>
          <w:highlight w:val="none"/>
          <w:lang w:val="en-US" w:eastAsia="zh-CN"/>
        </w:rPr>
        <w:t>万元。</w:t>
      </w:r>
    </w:p>
    <w:p>
      <w:pPr>
        <w:numPr>
          <w:ilvl w:val="0"/>
          <w:numId w:val="0"/>
        </w:numPr>
        <w:ind w:firstLine="640"/>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202</w:t>
      </w:r>
      <w:r>
        <w:rPr>
          <w:rFonts w:hint="eastAsia" w:ascii="仿宋" w:hAnsi="仿宋" w:eastAsia="仿宋" w:cs="仿宋"/>
          <w:sz w:val="32"/>
          <w:szCs w:val="32"/>
          <w:highlight w:val="none"/>
          <w:lang w:val="en-US" w:eastAsia="zh-CN"/>
        </w:rPr>
        <w:t>2</w:t>
      </w:r>
      <w:r>
        <w:rPr>
          <w:rFonts w:hint="default" w:ascii="仿宋" w:hAnsi="仿宋" w:eastAsia="仿宋" w:cs="仿宋"/>
          <w:sz w:val="32"/>
          <w:szCs w:val="32"/>
          <w:highlight w:val="none"/>
          <w:lang w:val="en-US" w:eastAsia="zh-CN"/>
        </w:rPr>
        <w:t>年项目支出</w:t>
      </w:r>
      <w:r>
        <w:rPr>
          <w:rFonts w:hint="eastAsia" w:ascii="仿宋" w:hAnsi="仿宋" w:eastAsia="仿宋" w:cs="仿宋"/>
          <w:sz w:val="32"/>
          <w:szCs w:val="32"/>
          <w:highlight w:val="none"/>
          <w:lang w:val="en-US" w:eastAsia="zh-CN"/>
        </w:rPr>
        <w:t>13.03</w:t>
      </w:r>
      <w:r>
        <w:rPr>
          <w:rFonts w:hint="default" w:ascii="仿宋" w:hAnsi="仿宋" w:eastAsia="仿宋" w:cs="仿宋"/>
          <w:sz w:val="32"/>
          <w:szCs w:val="32"/>
          <w:highlight w:val="none"/>
          <w:lang w:val="en-US" w:eastAsia="zh-CN"/>
        </w:rPr>
        <w:t>万元，其中</w:t>
      </w:r>
      <w:r>
        <w:rPr>
          <w:rFonts w:hint="eastAsia" w:ascii="仿宋" w:hAnsi="仿宋" w:eastAsia="仿宋" w:cs="仿宋"/>
          <w:sz w:val="32"/>
          <w:szCs w:val="32"/>
          <w:highlight w:val="none"/>
          <w:lang w:val="en-US" w:eastAsia="zh-CN"/>
        </w:rPr>
        <w:t>打击非法营运车辆5万元；南岳机场管理工作5万元；公交车行业管理工作2.14万元；公交车站牌维护0.89万元。</w:t>
      </w:r>
    </w:p>
    <w:p>
      <w:pPr>
        <w:numPr>
          <w:ilvl w:val="0"/>
          <w:numId w:val="0"/>
        </w:numPr>
        <w:ind w:firstLine="64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3.“三公”经费情况</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无</w:t>
      </w:r>
    </w:p>
    <w:p>
      <w:pPr>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三、部门整体支出绩效评价情况</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我中心严格按照国家财经法律法规和制度的要求，积极履职，强化管理，较好的完成了年度工作目标，加强了对各项资金的绩效管理。通过内部控制领导小组，严格遵循专款专用、独立核算的管理原则。专项项目的申报严格按照县财政资金管理的要求进行，专项资金财政拨款到位后及时进行了项目开支和资金投入。</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2022年我中心通过加强预算收支管理，不断建立健全内部管理制度，梳理内部管理流程，部门整体支出管理情况得到提升。根据2022年部门整体支出状况的概述和分析，部门整体支出绩效情况如下：</w:t>
      </w:r>
    </w:p>
    <w:p>
      <w:pPr>
        <w:numPr>
          <w:ilvl w:val="0"/>
          <w:numId w:val="2"/>
        </w:num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财政供养人员控制在预算编制以内，2022年实际人数（10人）未超编制人数（10人）；编制内在职人员控制率为100%；</w:t>
      </w:r>
    </w:p>
    <w:p>
      <w:pPr>
        <w:numPr>
          <w:ilvl w:val="0"/>
          <w:numId w:val="2"/>
        </w:numPr>
        <w:ind w:firstLine="640" w:firstLineChars="200"/>
        <w:rPr>
          <w:rFonts w:hint="default" w:ascii="仿宋" w:hAnsi="仿宋" w:eastAsia="仿宋" w:cs="仿宋"/>
          <w:sz w:val="32"/>
          <w:szCs w:val="32"/>
          <w:highlight w:val="none"/>
          <w:lang w:val="en-US" w:eastAsia="zh-CN"/>
        </w:rPr>
      </w:pPr>
      <w:r>
        <w:rPr>
          <w:rFonts w:hint="eastAsia" w:ascii="仿宋_GB2312" w:hAnsi="仿宋_GB2312" w:eastAsia="仿宋_GB2312" w:cs="仿宋_GB2312"/>
          <w:kern w:val="0"/>
          <w:sz w:val="32"/>
          <w:szCs w:val="32"/>
          <w:highlight w:val="none"/>
        </w:rPr>
        <w:t>预算完成率：</w:t>
      </w:r>
      <w:r>
        <w:rPr>
          <w:rFonts w:ascii="仿宋_GB2312" w:hAnsi="仿宋_GB2312" w:eastAsia="仿宋_GB2312" w:cs="仿宋_GB2312"/>
          <w:kern w:val="0"/>
          <w:sz w:val="32"/>
          <w:szCs w:val="32"/>
          <w:highlight w:val="none"/>
        </w:rPr>
        <w:t>100%</w:t>
      </w:r>
      <w:r>
        <w:rPr>
          <w:rFonts w:hint="eastAsia" w:ascii="仿宋_GB2312" w:hAnsi="仿宋_GB2312" w:eastAsia="仿宋_GB2312" w:cs="仿宋_GB2312"/>
          <w:kern w:val="0"/>
          <w:sz w:val="32"/>
          <w:szCs w:val="32"/>
          <w:highlight w:val="none"/>
          <w:lang w:eastAsia="zh-CN"/>
        </w:rPr>
        <w:t>；</w:t>
      </w:r>
    </w:p>
    <w:p>
      <w:pPr>
        <w:numPr>
          <w:ilvl w:val="0"/>
          <w:numId w:val="2"/>
        </w:numPr>
        <w:ind w:firstLine="640" w:firstLineChars="200"/>
        <w:rPr>
          <w:rFonts w:hint="default" w:ascii="仿宋" w:hAnsi="仿宋" w:eastAsia="仿宋" w:cs="仿宋"/>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预算调整率：108.31%。2022年预算调整数</w:t>
      </w:r>
      <w:r>
        <w:rPr>
          <w:rFonts w:hint="eastAsia" w:ascii="仿宋" w:hAnsi="仿宋" w:eastAsia="仿宋" w:cs="仿宋"/>
          <w:sz w:val="32"/>
          <w:szCs w:val="32"/>
          <w:highlight w:val="none"/>
          <w:lang w:val="en-US" w:eastAsia="zh-CN"/>
        </w:rPr>
        <w:t>67.76</w:t>
      </w:r>
      <w:r>
        <w:rPr>
          <w:rFonts w:hint="eastAsia" w:ascii="仿宋_GB2312" w:hAnsi="仿宋_GB2312" w:eastAsia="仿宋_GB2312" w:cs="仿宋_GB2312"/>
          <w:kern w:val="0"/>
          <w:sz w:val="32"/>
          <w:szCs w:val="32"/>
          <w:highlight w:val="none"/>
          <w:lang w:val="en-US" w:eastAsia="zh-CN"/>
        </w:rPr>
        <w:t>万元，2022年决算数</w:t>
      </w:r>
      <w:r>
        <w:rPr>
          <w:rFonts w:hint="eastAsia" w:ascii="仿宋" w:hAnsi="仿宋" w:eastAsia="仿宋" w:cs="仿宋"/>
          <w:sz w:val="32"/>
          <w:szCs w:val="32"/>
          <w:highlight w:val="none"/>
          <w:lang w:val="en-US" w:eastAsia="zh-CN"/>
        </w:rPr>
        <w:t>67.76</w:t>
      </w:r>
      <w:r>
        <w:rPr>
          <w:rFonts w:hint="eastAsia" w:ascii="仿宋_GB2312" w:hAnsi="仿宋_GB2312" w:eastAsia="仿宋_GB2312" w:cs="仿宋_GB2312"/>
          <w:kern w:val="0"/>
          <w:sz w:val="32"/>
          <w:szCs w:val="32"/>
          <w:highlight w:val="none"/>
          <w:lang w:val="en-US" w:eastAsia="zh-CN"/>
        </w:rPr>
        <w:t>万元。年初预算62.56万元，决算数为全年预算的108.31%，主要原因是：</w:t>
      </w:r>
      <w:r>
        <w:rPr>
          <w:rFonts w:ascii="仿宋_GB2312" w:hAnsi="仿宋_GB2312" w:eastAsia="仿宋_GB2312" w:cs="仿宋_GB2312"/>
          <w:kern w:val="0"/>
          <w:sz w:val="32"/>
          <w:szCs w:val="32"/>
          <w:highlight w:val="none"/>
        </w:rPr>
        <w:t>政策性追加人员经费</w:t>
      </w:r>
      <w:r>
        <w:rPr>
          <w:rFonts w:hint="eastAsia" w:ascii="仿宋_GB2312" w:hAnsi="仿宋_GB2312" w:eastAsia="仿宋_GB2312" w:cs="仿宋_GB2312"/>
          <w:kern w:val="0"/>
          <w:sz w:val="32"/>
          <w:szCs w:val="32"/>
          <w:highlight w:val="none"/>
          <w:lang w:eastAsia="zh-CN"/>
        </w:rPr>
        <w:t>。</w:t>
      </w:r>
    </w:p>
    <w:p>
      <w:pPr>
        <w:numPr>
          <w:ilvl w:val="0"/>
          <w:numId w:val="2"/>
        </w:numPr>
        <w:ind w:firstLine="640" w:firstLineChars="200"/>
        <w:rPr>
          <w:rFonts w:hint="default" w:ascii="仿宋" w:hAnsi="仿宋" w:eastAsia="仿宋" w:cs="仿宋"/>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政府采购执行率100%；</w:t>
      </w:r>
    </w:p>
    <w:p>
      <w:pPr>
        <w:numPr>
          <w:ilvl w:val="0"/>
          <w:numId w:val="2"/>
        </w:numPr>
        <w:ind w:firstLine="640" w:firstLineChars="200"/>
        <w:rPr>
          <w:rFonts w:hint="eastAsia" w:ascii="仿宋" w:hAnsi="仿宋" w:eastAsia="仿宋" w:cs="仿宋"/>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在资金管理上，我局制定了一系列的财务管理制度。</w:t>
      </w:r>
    </w:p>
    <w:p>
      <w:pPr>
        <w:numPr>
          <w:ilvl w:val="0"/>
          <w:numId w:val="3"/>
        </w:numPr>
        <w:ind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存在的主要问题</w:t>
      </w:r>
    </w:p>
    <w:p>
      <w:pPr>
        <w:numPr>
          <w:ilvl w:val="0"/>
          <w:numId w:val="0"/>
        </w:numPr>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val="0"/>
          <w:bCs w:val="0"/>
          <w:sz w:val="32"/>
          <w:szCs w:val="32"/>
          <w:highlight w:val="none"/>
          <w:lang w:val="en-US" w:eastAsia="zh-CN"/>
        </w:rPr>
        <w:t xml:space="preserve">  1、预算收支方面。年初预算与部门决算仍存在偏差，由于本中心非全额编制人员占比80%，未全面纳入年初预算，导致人员经费缺口大，主要体现为：社保经费、住房公积金等职工福利经费严重不足；</w:t>
      </w:r>
    </w:p>
    <w:p>
      <w:pPr>
        <w:numPr>
          <w:ilvl w:val="0"/>
          <w:numId w:val="0"/>
        </w:numPr>
        <w:ind w:firstLine="640" w:firstLineChars="20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2、结转结余方面。预算管理方面，制度执行总体较为有效，仍需进一步强化；资金使用管理需进一步加强。</w:t>
      </w:r>
    </w:p>
    <w:p>
      <w:pPr>
        <w:ind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五、改进措施及建议</w:t>
      </w:r>
    </w:p>
    <w:p>
      <w:pPr>
        <w:ind w:firstLine="640" w:firstLineChars="200"/>
        <w:rPr>
          <w:rFonts w:hint="default" w:ascii="仿宋" w:hAnsi="仿宋" w:eastAsia="仿宋" w:cs="仿宋"/>
          <w:b w:val="0"/>
          <w:bCs w:val="0"/>
          <w:sz w:val="32"/>
          <w:szCs w:val="32"/>
          <w:highlight w:val="none"/>
          <w:lang w:val="en-US" w:eastAsia="zh-CN"/>
        </w:rPr>
      </w:pPr>
      <w:r>
        <w:rPr>
          <w:rFonts w:hint="default" w:ascii="仿宋" w:hAnsi="仿宋" w:eastAsia="仿宋" w:cs="仿宋"/>
          <w:b w:val="0"/>
          <w:bCs w:val="0"/>
          <w:sz w:val="32"/>
          <w:szCs w:val="32"/>
          <w:highlight w:val="none"/>
          <w:lang w:val="en-US" w:eastAsia="zh-CN"/>
        </w:rPr>
        <w:t>1、加强财务预算管理，严格执行财务管理制度，充分发挥监督作用，严格做好预算控制，精打细算执行资金管理。</w:t>
      </w:r>
    </w:p>
    <w:p>
      <w:pPr>
        <w:ind w:firstLine="640" w:firstLineChars="200"/>
        <w:rPr>
          <w:rFonts w:hint="default" w:ascii="仿宋" w:hAnsi="仿宋" w:eastAsia="仿宋" w:cs="仿宋"/>
          <w:b w:val="0"/>
          <w:bCs w:val="0"/>
          <w:sz w:val="32"/>
          <w:szCs w:val="32"/>
          <w:highlight w:val="none"/>
          <w:lang w:val="en-US" w:eastAsia="zh-CN"/>
        </w:rPr>
      </w:pPr>
      <w:r>
        <w:rPr>
          <w:rFonts w:hint="default" w:ascii="仿宋" w:hAnsi="仿宋" w:eastAsia="仿宋" w:cs="仿宋"/>
          <w:b w:val="0"/>
          <w:bCs w:val="0"/>
          <w:sz w:val="32"/>
          <w:szCs w:val="32"/>
          <w:highlight w:val="none"/>
          <w:lang w:val="en-US" w:eastAsia="zh-CN"/>
        </w:rPr>
        <w:t>2、严格财务支出审批。抓好审核和审批两个环节，在审核审批中严把支出关，切实维护财务</w:t>
      </w:r>
      <w:r>
        <w:rPr>
          <w:rFonts w:hint="eastAsia" w:ascii="仿宋" w:hAnsi="仿宋" w:eastAsia="仿宋" w:cs="仿宋"/>
          <w:b w:val="0"/>
          <w:bCs w:val="0"/>
          <w:sz w:val="32"/>
          <w:szCs w:val="32"/>
          <w:highlight w:val="none"/>
          <w:lang w:val="en-US" w:eastAsia="zh-CN"/>
        </w:rPr>
        <w:t>制度</w:t>
      </w:r>
      <w:r>
        <w:rPr>
          <w:rFonts w:hint="default" w:ascii="仿宋" w:hAnsi="仿宋" w:eastAsia="仿宋" w:cs="仿宋"/>
          <w:b w:val="0"/>
          <w:bCs w:val="0"/>
          <w:sz w:val="32"/>
          <w:szCs w:val="32"/>
          <w:highlight w:val="none"/>
          <w:lang w:val="en-US" w:eastAsia="zh-CN"/>
        </w:rPr>
        <w:t>的严肃性。</w:t>
      </w:r>
    </w:p>
    <w:p>
      <w:pPr>
        <w:ind w:firstLine="640" w:firstLineChars="200"/>
        <w:rPr>
          <w:rFonts w:hint="default" w:ascii="仿宋" w:hAnsi="仿宋" w:eastAsia="仿宋" w:cs="仿宋"/>
          <w:b w:val="0"/>
          <w:bCs w:val="0"/>
          <w:sz w:val="32"/>
          <w:szCs w:val="32"/>
          <w:highlight w:val="none"/>
          <w:lang w:val="en-US" w:eastAsia="zh-CN"/>
        </w:rPr>
      </w:pPr>
      <w:r>
        <w:rPr>
          <w:rFonts w:hint="default" w:ascii="仿宋" w:hAnsi="仿宋" w:eastAsia="仿宋" w:cs="仿宋"/>
          <w:b w:val="0"/>
          <w:bCs w:val="0"/>
          <w:sz w:val="32"/>
          <w:szCs w:val="32"/>
          <w:highlight w:val="none"/>
          <w:lang w:val="en-US" w:eastAsia="zh-CN"/>
        </w:rPr>
        <w:t>3、强化经费管理。重点加强公用经费管理，严格控制支出，降低行政运行成本。</w:t>
      </w:r>
    </w:p>
    <w:p>
      <w:pPr>
        <w:ind w:firstLine="640" w:firstLineChars="200"/>
        <w:rPr>
          <w:rFonts w:hint="default" w:ascii="仿宋" w:hAnsi="仿宋" w:eastAsia="仿宋" w:cs="仿宋"/>
          <w:b w:val="0"/>
          <w:bCs w:val="0"/>
          <w:sz w:val="32"/>
          <w:szCs w:val="32"/>
          <w:highlight w:val="none"/>
          <w:lang w:val="en-US" w:eastAsia="zh-CN"/>
        </w:rPr>
      </w:pPr>
    </w:p>
    <w:p>
      <w:pPr>
        <w:wordWrap w:val="0"/>
        <w:ind w:firstLine="640" w:firstLineChars="200"/>
        <w:jc w:val="righ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衡南县交通运输站场服务中心</w:t>
      </w:r>
    </w:p>
    <w:p>
      <w:pPr>
        <w:wordWrap/>
        <w:ind w:firstLine="640" w:firstLineChars="200"/>
        <w:jc w:val="right"/>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2023年4月20日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6711FA"/>
    <w:multiLevelType w:val="singleLevel"/>
    <w:tmpl w:val="8C6711FA"/>
    <w:lvl w:ilvl="0" w:tentative="0">
      <w:start w:val="1"/>
      <w:numFmt w:val="chineseCounting"/>
      <w:suff w:val="nothing"/>
      <w:lvlText w:val="%1、"/>
      <w:lvlJc w:val="left"/>
      <w:rPr>
        <w:rFonts w:hint="eastAsia"/>
      </w:rPr>
    </w:lvl>
  </w:abstractNum>
  <w:abstractNum w:abstractNumId="1">
    <w:nsid w:val="5302D36B"/>
    <w:multiLevelType w:val="singleLevel"/>
    <w:tmpl w:val="5302D36B"/>
    <w:lvl w:ilvl="0" w:tentative="0">
      <w:start w:val="1"/>
      <w:numFmt w:val="decimal"/>
      <w:lvlText w:val="%1."/>
      <w:lvlJc w:val="left"/>
      <w:pPr>
        <w:tabs>
          <w:tab w:val="left" w:pos="312"/>
        </w:tabs>
      </w:pPr>
    </w:lvl>
  </w:abstractNum>
  <w:abstractNum w:abstractNumId="2">
    <w:nsid w:val="73E516C3"/>
    <w:multiLevelType w:val="singleLevel"/>
    <w:tmpl w:val="73E516C3"/>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NTY1MTBlZjNmYjU0MTcxZjM5YmFhNGEzNmEwNjUifQ=="/>
  </w:docVars>
  <w:rsids>
    <w:rsidRoot w:val="00000000"/>
    <w:rsid w:val="04DF3623"/>
    <w:rsid w:val="084604D1"/>
    <w:rsid w:val="15BA4390"/>
    <w:rsid w:val="17D93411"/>
    <w:rsid w:val="18AE2C91"/>
    <w:rsid w:val="1D594678"/>
    <w:rsid w:val="1ECE2A12"/>
    <w:rsid w:val="1F564FD4"/>
    <w:rsid w:val="214C3644"/>
    <w:rsid w:val="219D493C"/>
    <w:rsid w:val="25217F33"/>
    <w:rsid w:val="29C043C9"/>
    <w:rsid w:val="2D021B5F"/>
    <w:rsid w:val="2E4B53AF"/>
    <w:rsid w:val="312044C9"/>
    <w:rsid w:val="38194802"/>
    <w:rsid w:val="3D3221CB"/>
    <w:rsid w:val="44E5172B"/>
    <w:rsid w:val="4C7B6DED"/>
    <w:rsid w:val="50E7338E"/>
    <w:rsid w:val="52195EFA"/>
    <w:rsid w:val="53F459EC"/>
    <w:rsid w:val="566136BD"/>
    <w:rsid w:val="59F95B23"/>
    <w:rsid w:val="5D0F6CD8"/>
    <w:rsid w:val="6604103C"/>
    <w:rsid w:val="66CA0555"/>
    <w:rsid w:val="66D9405A"/>
    <w:rsid w:val="678E0B69"/>
    <w:rsid w:val="67B101D9"/>
    <w:rsid w:val="69FD44AB"/>
    <w:rsid w:val="6C7D0661"/>
    <w:rsid w:val="70AC1655"/>
    <w:rsid w:val="70CF42CE"/>
    <w:rsid w:val="71F60505"/>
    <w:rsid w:val="761F0668"/>
    <w:rsid w:val="7B734BB7"/>
    <w:rsid w:val="7D0A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1554</Words>
  <Characters>1690</Characters>
  <Lines>0</Lines>
  <Paragraphs>0</Paragraphs>
  <TotalTime>60</TotalTime>
  <ScaleCrop>false</ScaleCrop>
  <LinksUpToDate>false</LinksUpToDate>
  <CharactersWithSpaces>1699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2022-04-21T03:27:00Z</dcterms:created>
  <dc:creator>ASUS</dc:creator>
  <cp:lastModifiedBy>孙泽宇</cp:lastModifiedBy>
  <dcterms:modified xsi:type="dcterms:W3CDTF">2023-10-11T09:16:38Z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DEF82ADC4570460CA8A586E255F1F01A_13</vt:lpwstr>
  </property>
</Properties>
</file>