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bookmarkStart w:id="0" w:name="_GoBack"/>
      <w:bookmarkEnd w:id="0"/>
      <w:r>
        <w:rPr>
          <w:rFonts w:hint="eastAsia" w:ascii="方正小标宋_GBK" w:eastAsia="方正小标宋_GBK"/>
          <w:sz w:val="44"/>
          <w:szCs w:val="44"/>
          <w:lang w:val="en-US" w:eastAsia="zh-CN"/>
        </w:rPr>
        <w:t xml:space="preserve"> </w:t>
      </w: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2022年度 ）</w:t>
      </w:r>
    </w:p>
    <w:p/>
    <w:p/>
    <w:p/>
    <w:p>
      <w:pPr>
        <w:ind w:firstLine="640" w:firstLineChars="200"/>
        <w:rPr>
          <w:rFonts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农业特色产业服务中心</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314001</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 xml:space="preserve">报告日期：   2023 年 04月 </w:t>
      </w:r>
      <w:r>
        <w:rPr>
          <w:rFonts w:hint="eastAsia" w:ascii="仿宋_GB2312" w:eastAsia="仿宋_GB2312"/>
          <w:sz w:val="32"/>
          <w:szCs w:val="32"/>
          <w:lang w:val="en-US" w:eastAsia="zh-CN"/>
        </w:rPr>
        <w:t>12</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spacing w:line="600" w:lineRule="exact"/>
        <w:jc w:val="center"/>
        <w:rPr>
          <w:rFonts w:hint="eastAsia" w:ascii="黑体" w:eastAsia="黑体" w:hAnsiTheme="majorEastAsia"/>
          <w:b/>
          <w:sz w:val="44"/>
          <w:szCs w:val="36"/>
        </w:rPr>
      </w:pPr>
    </w:p>
    <w:p>
      <w:pPr>
        <w:spacing w:line="600" w:lineRule="exact"/>
        <w:jc w:val="center"/>
        <w:rPr>
          <w:rFonts w:hint="eastAsia" w:ascii="黑体" w:eastAsia="黑体" w:hAnsiTheme="majorEastAsia"/>
          <w:b/>
          <w:sz w:val="44"/>
          <w:szCs w:val="36"/>
        </w:rPr>
      </w:pPr>
      <w:r>
        <w:rPr>
          <w:rFonts w:hint="eastAsia" w:ascii="黑体" w:eastAsia="黑体" w:hAnsiTheme="majorEastAsia"/>
          <w:b/>
          <w:sz w:val="44"/>
          <w:szCs w:val="36"/>
        </w:rPr>
        <w:t>衡南县农业特色产业服务中心</w:t>
      </w:r>
    </w:p>
    <w:p>
      <w:pPr>
        <w:spacing w:line="600" w:lineRule="exact"/>
        <w:jc w:val="center"/>
        <w:rPr>
          <w:rFonts w:hint="eastAsia" w:ascii="黑体" w:eastAsia="黑体" w:hAnsiTheme="majorEastAsia"/>
          <w:b/>
          <w:sz w:val="44"/>
          <w:szCs w:val="36"/>
        </w:rPr>
      </w:pPr>
      <w:r>
        <w:rPr>
          <w:rFonts w:hint="eastAsia" w:ascii="黑体" w:eastAsia="黑体" w:hAnsiTheme="majorEastAsia"/>
          <w:b/>
          <w:sz w:val="44"/>
          <w:szCs w:val="36"/>
        </w:rPr>
        <w:t>202</w:t>
      </w:r>
      <w:r>
        <w:rPr>
          <w:rFonts w:hint="eastAsia" w:ascii="黑体" w:eastAsia="黑体" w:hAnsiTheme="majorEastAsia"/>
          <w:b/>
          <w:sz w:val="44"/>
          <w:szCs w:val="36"/>
          <w:lang w:val="en-US" w:eastAsia="zh-CN"/>
        </w:rPr>
        <w:t>2</w:t>
      </w:r>
      <w:r>
        <w:rPr>
          <w:rFonts w:hint="eastAsia" w:ascii="黑体" w:eastAsia="黑体" w:hAnsiTheme="majorEastAsia"/>
          <w:b/>
          <w:sz w:val="44"/>
          <w:szCs w:val="36"/>
        </w:rPr>
        <w:t>年整体支出绩效自评报告</w:t>
      </w:r>
    </w:p>
    <w:p>
      <w:pPr>
        <w:spacing w:line="600" w:lineRule="exact"/>
        <w:rPr>
          <w:rFonts w:hint="eastAsia" w:ascii="黑体" w:hAnsi="仿宋" w:eastAsia="黑体" w:cs="仿宋"/>
          <w:sz w:val="36"/>
          <w:szCs w:val="36"/>
        </w:rPr>
      </w:pPr>
    </w:p>
    <w:p>
      <w:pPr>
        <w:pStyle w:val="4"/>
        <w:widowControl/>
        <w:spacing w:line="600" w:lineRule="exact"/>
        <w:ind w:firstLine="600" w:firstLineChars="200"/>
        <w:rPr>
          <w:rFonts w:hint="eastAsia" w:cs="仿宋" w:asciiTheme="minorEastAsia" w:hAnsiTheme="minorEastAsia" w:eastAsiaTheme="minorEastAsia"/>
          <w:kern w:val="2"/>
          <w:sz w:val="30"/>
          <w:szCs w:val="30"/>
          <w:lang w:val="en-US" w:eastAsia="zh-CN" w:bidi="ar-SA"/>
        </w:rPr>
      </w:pPr>
      <w:r>
        <w:rPr>
          <w:rFonts w:hint="eastAsia" w:cs="仿宋" w:asciiTheme="minorEastAsia" w:hAnsiTheme="minorEastAsia" w:eastAsiaTheme="minorEastAsia"/>
          <w:kern w:val="2"/>
          <w:sz w:val="30"/>
          <w:szCs w:val="30"/>
          <w:lang w:val="en-US" w:eastAsia="zh-CN" w:bidi="ar-SA"/>
        </w:rPr>
        <w:t>为全面贯彻落实衡南县财政局关于开展2022年度财政资金绩效自评工作的通知（清财绩[2023]53号）及衡南县财政局关于做好2023年部门预算绩效目标编审工作的通知（清财绩[2022]207号）等文件精神，我中心积极组织力量对本单位的部门预算整体支出进行了绩效评价，本次评价遵循了“科学规范、公正公开、分类管理、绩效相关”的原则，运用较科学、合理的绩效评价指标、评价标准和评价方法，对本单位2022年度部门整体支出的绩效情况进行了客观、公正的评价。现将情况汇报如下：</w:t>
      </w:r>
    </w:p>
    <w:p>
      <w:pPr>
        <w:pStyle w:val="4"/>
        <w:widowControl/>
        <w:spacing w:line="600" w:lineRule="exact"/>
        <w:ind w:firstLine="643" w:firstLineChars="200"/>
        <w:rPr>
          <w:rFonts w:hint="eastAsia" w:ascii="仿宋_GB2312" w:hAnsi="仿宋_GB2312" w:eastAsia="仿宋_GB2312" w:cs="仿宋_GB2312"/>
          <w:b/>
          <w:bCs/>
          <w:sz w:val="32"/>
          <w:szCs w:val="32"/>
        </w:rPr>
      </w:pPr>
      <w:r>
        <w:rPr>
          <w:rFonts w:hint="eastAsia" w:ascii="黑体" w:hAnsi="黑体" w:eastAsia="黑体" w:cs="黑体"/>
          <w:b/>
          <w:bCs/>
          <w:sz w:val="32"/>
          <w:szCs w:val="32"/>
        </w:rPr>
        <w:t>一、部门基本情况</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（一）部门主要职责</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根据我县烟叶产业实际，农业特色产业服务中心的工作职责主要以组织烟叶生产、综合协调、督办检查、调查研究、服务烟农为重点，以增加</w:t>
      </w:r>
      <w:r>
        <w:rPr>
          <w:rFonts w:hint="eastAsia" w:cs="仿宋" w:asciiTheme="minorEastAsia" w:hAnsiTheme="minorEastAsia" w:eastAsiaTheme="minorEastAsia"/>
          <w:sz w:val="30"/>
          <w:szCs w:val="30"/>
          <w:lang w:val="en-US" w:eastAsia="zh-CN"/>
        </w:rPr>
        <w:t>烟农</w:t>
      </w:r>
      <w:r>
        <w:rPr>
          <w:rFonts w:hint="eastAsia" w:cs="仿宋" w:asciiTheme="minorEastAsia" w:hAnsiTheme="minorEastAsia" w:eastAsiaTheme="minorEastAsia"/>
          <w:sz w:val="30"/>
          <w:szCs w:val="30"/>
        </w:rPr>
        <w:t>收入、增加财政收入为目的。为县委、县政府指导烟叶产业发展当好参谋和助手，其主要职责是：</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1、研究全县烟叶产业发展战略，为县委、县政府制定烟叶产业政策和发展规划提供决策依据。</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2、负责制定烟叶生产发展的长远和年度计划，建立和完善发展烟叶生产的管理制定和目标考核方案，并组织实施，督办落实。</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3、负责组织协调烟叶生产的产前、产中、产后的全方位服务。及时协调解决生产、服务工作中的热点、难点问题。</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4、引导和示范烟叶生产走规模化、规划化、产业化、专业化、基地化之路。负责对烟叶生产乡镇完成烟叶生产任务情况进行督查、指导和考核。</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5、按照县委、县政府的要求，正确贯彻落实国家烟叶收购政策，协调行业部门与基层、烟农之间利益分配关系，切实保护和维护好农民利益，充分调动各级再生产的积极性。</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6、组织全县从烟人员和烟农开展技术培训，管理考核从烟人员。</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7、配合烟草部门制定烟叶质量攻关技术方案，并组织落实，提高我县烟叶市场竞争能力。</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8、积极向上级行业部门争取生产计划、烟基项目。协助烟草公司组织实施烟基项目建设。</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9、贯彻落实县委、县政府交办的其他中心工作。</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（二）机构设置情况</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中心设办公室、组织人事股、财务股、特色加工生产技术股、特色种植业（烟叶）生产技术、特色服务业生产技术、特色养殖业生产技术股，共计7个股室。</w:t>
      </w:r>
    </w:p>
    <w:p>
      <w:pPr>
        <w:spacing w:line="600" w:lineRule="exact"/>
        <w:ind w:firstLine="640" w:firstLineChars="200"/>
        <w:rPr>
          <w:rFonts w:hint="eastAsia" w:ascii="方正楷体简体" w:hAnsi="方正楷体简体" w:eastAsia="方正楷体简体" w:cs="方正楷体简体"/>
          <w:b/>
          <w:bCs/>
          <w:sz w:val="32"/>
          <w:szCs w:val="32"/>
        </w:rPr>
      </w:pP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（三）人员编制情况</w:t>
      </w:r>
    </w:p>
    <w:p>
      <w:pPr>
        <w:widowControl/>
        <w:wordWrap w:val="0"/>
        <w:spacing w:line="450" w:lineRule="atLeast"/>
        <w:ind w:firstLine="64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截止202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年末，我单位共有编制机构及人员情况：财政</w:t>
      </w:r>
      <w:r>
        <w:rPr>
          <w:rFonts w:hint="eastAsia" w:cs="仿宋" w:asciiTheme="minorEastAsia" w:hAnsiTheme="minorEastAsia" w:eastAsiaTheme="minorEastAsia"/>
          <w:sz w:val="30"/>
          <w:szCs w:val="30"/>
          <w:lang w:val="en-US" w:eastAsia="zh-CN"/>
        </w:rPr>
        <w:t>全额</w:t>
      </w:r>
      <w:r>
        <w:rPr>
          <w:rFonts w:hint="eastAsia" w:cs="仿宋" w:asciiTheme="minorEastAsia" w:hAnsiTheme="minorEastAsia" w:eastAsiaTheme="minorEastAsia"/>
          <w:sz w:val="30"/>
          <w:szCs w:val="30"/>
        </w:rPr>
        <w:t>拨款人员</w:t>
      </w:r>
      <w:r>
        <w:rPr>
          <w:rFonts w:hint="eastAsia" w:cs="仿宋" w:asciiTheme="minorEastAsia" w:hAnsiTheme="minorEastAsia" w:eastAsiaTheme="minorEastAsia"/>
          <w:sz w:val="30"/>
          <w:szCs w:val="30"/>
          <w:lang w:val="en-US" w:eastAsia="zh-CN"/>
        </w:rPr>
        <w:t>20</w:t>
      </w:r>
      <w:r>
        <w:rPr>
          <w:rFonts w:hint="eastAsia" w:cs="仿宋" w:asciiTheme="minorEastAsia" w:hAnsiTheme="minorEastAsia" w:eastAsiaTheme="minorEastAsia"/>
          <w:sz w:val="30"/>
          <w:szCs w:val="30"/>
        </w:rPr>
        <w:t>人，其中在职行事业编2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w:t>
      </w:r>
    </w:p>
    <w:p>
      <w:pPr>
        <w:pStyle w:val="4"/>
        <w:widowControl/>
        <w:spacing w:line="600" w:lineRule="exact"/>
        <w:ind w:firstLine="643" w:firstLineChars="200"/>
        <w:rPr>
          <w:rFonts w:hint="eastAsia" w:ascii="黑体" w:hAnsi="黑体" w:eastAsia="黑体" w:cs="黑体"/>
          <w:b/>
          <w:bCs/>
          <w:sz w:val="32"/>
          <w:szCs w:val="32"/>
        </w:rPr>
      </w:pPr>
      <w:r>
        <w:rPr>
          <w:rFonts w:hint="eastAsia" w:ascii="黑体" w:hAnsi="黑体" w:eastAsia="黑体" w:cs="黑体"/>
          <w:b/>
          <w:bCs/>
          <w:sz w:val="32"/>
          <w:szCs w:val="32"/>
        </w:rPr>
        <w:t>二、部门整体支出管理和使用情况</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（一）部门预算收支情况　</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经本级财政部门预算批复，202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年单位预算总收入3</w:t>
      </w:r>
      <w:r>
        <w:rPr>
          <w:rFonts w:hint="eastAsia" w:cs="仿宋" w:asciiTheme="minorEastAsia" w:hAnsiTheme="minorEastAsia" w:eastAsiaTheme="minorEastAsia"/>
          <w:sz w:val="30"/>
          <w:szCs w:val="30"/>
          <w:lang w:val="en-US" w:eastAsia="zh-CN"/>
        </w:rPr>
        <w:t>35.66</w:t>
      </w:r>
      <w:r>
        <w:rPr>
          <w:rFonts w:hint="eastAsia" w:cs="仿宋" w:asciiTheme="minorEastAsia" w:hAnsiTheme="minorEastAsia" w:eastAsiaTheme="minorEastAsia"/>
          <w:sz w:val="30"/>
          <w:szCs w:val="30"/>
        </w:rPr>
        <w:t>万元，其中：经费拨款3</w:t>
      </w:r>
      <w:r>
        <w:rPr>
          <w:rFonts w:hint="eastAsia" w:cs="仿宋" w:asciiTheme="minorEastAsia" w:hAnsiTheme="minorEastAsia" w:eastAsiaTheme="minorEastAsia"/>
          <w:sz w:val="30"/>
          <w:szCs w:val="30"/>
          <w:lang w:val="en-US" w:eastAsia="zh-CN"/>
        </w:rPr>
        <w:t>35.66</w:t>
      </w:r>
      <w:r>
        <w:rPr>
          <w:rFonts w:hint="eastAsia" w:cs="仿宋" w:asciiTheme="minorEastAsia" w:hAnsiTheme="minorEastAsia" w:eastAsiaTheme="minorEastAsia"/>
          <w:sz w:val="30"/>
          <w:szCs w:val="30"/>
        </w:rPr>
        <w:t>万元。</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年单位预算总支出3</w:t>
      </w:r>
      <w:r>
        <w:rPr>
          <w:rFonts w:hint="eastAsia" w:cs="仿宋" w:asciiTheme="minorEastAsia" w:hAnsiTheme="minorEastAsia" w:eastAsiaTheme="minorEastAsia"/>
          <w:sz w:val="30"/>
          <w:szCs w:val="30"/>
          <w:lang w:val="en-US" w:eastAsia="zh-CN"/>
        </w:rPr>
        <w:t>35.66</w:t>
      </w:r>
      <w:r>
        <w:rPr>
          <w:rFonts w:hint="eastAsia" w:cs="仿宋" w:asciiTheme="minorEastAsia" w:hAnsiTheme="minorEastAsia" w:eastAsiaTheme="minorEastAsia"/>
          <w:sz w:val="30"/>
          <w:szCs w:val="30"/>
        </w:rPr>
        <w:t>万元，其中：工资福利支出</w:t>
      </w:r>
      <w:r>
        <w:rPr>
          <w:rFonts w:hint="eastAsia" w:cs="仿宋" w:asciiTheme="minorEastAsia" w:hAnsiTheme="minorEastAsia" w:eastAsiaTheme="minorEastAsia"/>
          <w:sz w:val="30"/>
          <w:szCs w:val="30"/>
          <w:lang w:val="en-US" w:eastAsia="zh-CN"/>
        </w:rPr>
        <w:t>208.8</w:t>
      </w:r>
      <w:r>
        <w:rPr>
          <w:rFonts w:hint="eastAsia" w:cs="仿宋" w:asciiTheme="minorEastAsia" w:hAnsiTheme="minorEastAsia" w:eastAsiaTheme="minorEastAsia"/>
          <w:sz w:val="30"/>
          <w:szCs w:val="30"/>
        </w:rPr>
        <w:t>万元，一般商品和服务支出1</w:t>
      </w:r>
      <w:r>
        <w:rPr>
          <w:rFonts w:hint="eastAsia" w:cs="仿宋" w:asciiTheme="minorEastAsia" w:hAnsiTheme="minorEastAsia" w:eastAsiaTheme="minorEastAsia"/>
          <w:sz w:val="30"/>
          <w:szCs w:val="30"/>
          <w:lang w:val="en-US" w:eastAsia="zh-CN"/>
        </w:rPr>
        <w:t>3</w:t>
      </w:r>
      <w:r>
        <w:rPr>
          <w:rFonts w:hint="eastAsia" w:cs="仿宋" w:asciiTheme="minorEastAsia" w:hAnsiTheme="minorEastAsia" w:eastAsiaTheme="minorEastAsia"/>
          <w:sz w:val="30"/>
          <w:szCs w:val="30"/>
        </w:rPr>
        <w:t>.8万元，对个人和家庭的补助支出</w:t>
      </w:r>
      <w:r>
        <w:rPr>
          <w:rFonts w:hint="eastAsia" w:cs="仿宋" w:asciiTheme="minorEastAsia" w:hAnsiTheme="minorEastAsia" w:eastAsiaTheme="minorEastAsia"/>
          <w:sz w:val="30"/>
          <w:szCs w:val="30"/>
          <w:lang w:val="en-US" w:eastAsia="zh-CN"/>
        </w:rPr>
        <w:t>13.06</w:t>
      </w:r>
      <w:r>
        <w:rPr>
          <w:rFonts w:hint="eastAsia" w:cs="仿宋" w:asciiTheme="minorEastAsia" w:hAnsiTheme="minorEastAsia" w:eastAsiaTheme="minorEastAsia"/>
          <w:sz w:val="30"/>
          <w:szCs w:val="30"/>
        </w:rPr>
        <w:t>万元，专项商品和服务支出</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lang w:val="en-US" w:eastAsia="zh-CN"/>
        </w:rPr>
        <w:t>烟叶生产工作经费</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rPr>
        <w:t>支出</w:t>
      </w:r>
      <w:r>
        <w:rPr>
          <w:rFonts w:hint="eastAsia" w:cs="仿宋" w:asciiTheme="minorEastAsia" w:hAnsiTheme="minorEastAsia" w:eastAsiaTheme="minorEastAsia"/>
          <w:sz w:val="30"/>
          <w:szCs w:val="30"/>
          <w:lang w:val="en-US" w:eastAsia="zh-CN"/>
        </w:rPr>
        <w:t>100</w:t>
      </w:r>
      <w:r>
        <w:rPr>
          <w:rFonts w:hint="eastAsia" w:cs="仿宋" w:asciiTheme="minorEastAsia" w:hAnsiTheme="minorEastAsia" w:eastAsiaTheme="minorEastAsia"/>
          <w:sz w:val="30"/>
          <w:szCs w:val="30"/>
        </w:rPr>
        <w:t>万元。</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2022年追加预算收入</w:t>
      </w:r>
      <w:r>
        <w:rPr>
          <w:rFonts w:hint="eastAsia" w:cs="仿宋" w:asciiTheme="minorEastAsia" w:hAnsiTheme="minorEastAsia" w:eastAsiaTheme="minorEastAsia"/>
          <w:sz w:val="30"/>
          <w:szCs w:val="30"/>
          <w:lang w:val="en-US" w:eastAsia="zh-CN"/>
        </w:rPr>
        <w:t>506.73</w:t>
      </w:r>
      <w:r>
        <w:rPr>
          <w:rFonts w:hint="eastAsia" w:cs="仿宋" w:asciiTheme="minorEastAsia" w:hAnsiTheme="minorEastAsia" w:eastAsiaTheme="minorEastAsia"/>
          <w:sz w:val="30"/>
          <w:szCs w:val="30"/>
        </w:rPr>
        <w:t>万元；2022年决算总收入</w:t>
      </w:r>
      <w:r>
        <w:rPr>
          <w:rFonts w:hint="eastAsia" w:cs="仿宋" w:asciiTheme="minorEastAsia" w:hAnsiTheme="minorEastAsia" w:eastAsiaTheme="minorEastAsia"/>
          <w:sz w:val="30"/>
          <w:szCs w:val="30"/>
          <w:lang w:val="en-US" w:eastAsia="zh-CN"/>
        </w:rPr>
        <w:t>842.39</w:t>
      </w:r>
      <w:r>
        <w:rPr>
          <w:rFonts w:hint="eastAsia" w:cs="仿宋" w:asciiTheme="minorEastAsia" w:hAnsiTheme="minorEastAsia" w:eastAsiaTheme="minorEastAsia"/>
          <w:sz w:val="30"/>
          <w:szCs w:val="30"/>
        </w:rPr>
        <w:t>万元，决算总支出</w:t>
      </w:r>
      <w:r>
        <w:rPr>
          <w:rFonts w:hint="eastAsia" w:cs="仿宋" w:asciiTheme="minorEastAsia" w:hAnsiTheme="minorEastAsia" w:eastAsiaTheme="minorEastAsia"/>
          <w:sz w:val="30"/>
          <w:szCs w:val="30"/>
          <w:lang w:val="en-US" w:eastAsia="zh-CN"/>
        </w:rPr>
        <w:t>842.39</w:t>
      </w:r>
      <w:r>
        <w:rPr>
          <w:rFonts w:hint="eastAsia" w:cs="仿宋" w:asciiTheme="minorEastAsia" w:hAnsiTheme="minorEastAsia" w:eastAsiaTheme="minorEastAsia"/>
          <w:sz w:val="30"/>
          <w:szCs w:val="30"/>
        </w:rPr>
        <w:t>万元。其中：工资福利支出</w:t>
      </w:r>
      <w:r>
        <w:rPr>
          <w:rFonts w:hint="eastAsia" w:cs="仿宋" w:asciiTheme="minorEastAsia" w:hAnsiTheme="minorEastAsia" w:eastAsiaTheme="minorEastAsia"/>
          <w:sz w:val="30"/>
          <w:szCs w:val="30"/>
          <w:lang w:val="en-US" w:eastAsia="zh-CN"/>
        </w:rPr>
        <w:t>165.22</w:t>
      </w:r>
      <w:r>
        <w:rPr>
          <w:rFonts w:hint="eastAsia" w:cs="仿宋" w:asciiTheme="minorEastAsia" w:hAnsiTheme="minorEastAsia" w:eastAsiaTheme="minorEastAsia"/>
          <w:sz w:val="30"/>
          <w:szCs w:val="30"/>
        </w:rPr>
        <w:t>万元，一般商品和服务支出</w:t>
      </w:r>
      <w:r>
        <w:rPr>
          <w:rFonts w:hint="eastAsia" w:cs="仿宋" w:asciiTheme="minorEastAsia" w:hAnsiTheme="minorEastAsia" w:eastAsiaTheme="minorEastAsia"/>
          <w:sz w:val="30"/>
          <w:szCs w:val="30"/>
          <w:lang w:val="en-US" w:eastAsia="zh-CN"/>
        </w:rPr>
        <w:t>226.12</w:t>
      </w:r>
      <w:r>
        <w:rPr>
          <w:rFonts w:hint="eastAsia" w:cs="仿宋" w:asciiTheme="minorEastAsia" w:hAnsiTheme="minorEastAsia" w:eastAsiaTheme="minorEastAsia"/>
          <w:sz w:val="30"/>
          <w:szCs w:val="30"/>
        </w:rPr>
        <w:t>万元，对个人和家庭的补助</w:t>
      </w:r>
      <w:r>
        <w:rPr>
          <w:rFonts w:hint="eastAsia" w:cs="仿宋" w:asciiTheme="minorEastAsia" w:hAnsiTheme="minorEastAsia" w:eastAsiaTheme="minorEastAsia"/>
          <w:sz w:val="30"/>
          <w:szCs w:val="30"/>
          <w:lang w:val="en-US" w:eastAsia="zh-CN"/>
        </w:rPr>
        <w:t>0.79</w:t>
      </w:r>
      <w:r>
        <w:rPr>
          <w:rFonts w:hint="eastAsia" w:cs="仿宋" w:asciiTheme="minorEastAsia" w:hAnsiTheme="minorEastAsia" w:eastAsiaTheme="minorEastAsia"/>
          <w:sz w:val="30"/>
          <w:szCs w:val="30"/>
        </w:rPr>
        <w:t>万元，资本性支出</w:t>
      </w:r>
      <w:r>
        <w:rPr>
          <w:rFonts w:hint="eastAsia" w:cs="仿宋" w:asciiTheme="minorEastAsia" w:hAnsiTheme="minorEastAsia" w:eastAsiaTheme="minorEastAsia"/>
          <w:sz w:val="30"/>
          <w:szCs w:val="30"/>
          <w:lang w:val="en-US" w:eastAsia="zh-CN"/>
        </w:rPr>
        <w:t>450.26</w:t>
      </w:r>
      <w:r>
        <w:rPr>
          <w:rFonts w:hint="eastAsia" w:cs="仿宋" w:asciiTheme="minorEastAsia" w:hAnsiTheme="minorEastAsia" w:eastAsiaTheme="minorEastAsia"/>
          <w:sz w:val="30"/>
          <w:szCs w:val="30"/>
        </w:rPr>
        <w:t>万元。</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我单位2022年度财政拨款总收入</w:t>
      </w:r>
      <w:r>
        <w:rPr>
          <w:rFonts w:hint="eastAsia" w:cs="仿宋" w:asciiTheme="minorEastAsia" w:hAnsiTheme="minorEastAsia" w:eastAsiaTheme="minorEastAsia"/>
          <w:sz w:val="30"/>
          <w:szCs w:val="30"/>
          <w:lang w:val="en-US" w:eastAsia="zh-CN"/>
        </w:rPr>
        <w:t>842.39</w:t>
      </w:r>
      <w:r>
        <w:rPr>
          <w:rFonts w:hint="eastAsia" w:cs="仿宋" w:asciiTheme="minorEastAsia" w:hAnsiTheme="minorEastAsia" w:eastAsiaTheme="minorEastAsia"/>
          <w:sz w:val="30"/>
          <w:szCs w:val="30"/>
        </w:rPr>
        <w:t>万元，全年总支出</w:t>
      </w:r>
      <w:r>
        <w:rPr>
          <w:rFonts w:hint="eastAsia" w:cs="仿宋" w:asciiTheme="minorEastAsia" w:hAnsiTheme="minorEastAsia" w:eastAsiaTheme="minorEastAsia"/>
          <w:sz w:val="30"/>
          <w:szCs w:val="30"/>
          <w:lang w:val="en-US" w:eastAsia="zh-CN"/>
        </w:rPr>
        <w:t>842.39</w:t>
      </w:r>
      <w:r>
        <w:rPr>
          <w:rFonts w:hint="eastAsia" w:cs="仿宋" w:asciiTheme="minorEastAsia" w:hAnsiTheme="minorEastAsia" w:eastAsiaTheme="minorEastAsia"/>
          <w:sz w:val="30"/>
          <w:szCs w:val="30"/>
        </w:rPr>
        <w:t>万元，其中基本支出</w:t>
      </w:r>
      <w:r>
        <w:rPr>
          <w:rFonts w:hint="eastAsia" w:cs="仿宋" w:asciiTheme="minorEastAsia" w:hAnsiTheme="minorEastAsia" w:eastAsiaTheme="minorEastAsia"/>
          <w:sz w:val="30"/>
          <w:szCs w:val="30"/>
          <w:lang w:val="en-US" w:eastAsia="zh-CN"/>
        </w:rPr>
        <w:t>168.74</w:t>
      </w:r>
      <w:r>
        <w:rPr>
          <w:rFonts w:hint="eastAsia" w:cs="仿宋" w:asciiTheme="minorEastAsia" w:hAnsiTheme="minorEastAsia" w:eastAsiaTheme="minorEastAsia"/>
          <w:sz w:val="30"/>
          <w:szCs w:val="30"/>
        </w:rPr>
        <w:t>万元，项目支出</w:t>
      </w:r>
      <w:r>
        <w:rPr>
          <w:rFonts w:hint="eastAsia" w:cs="仿宋" w:asciiTheme="minorEastAsia" w:hAnsiTheme="minorEastAsia" w:eastAsiaTheme="minorEastAsia"/>
          <w:sz w:val="30"/>
          <w:szCs w:val="30"/>
          <w:lang w:val="en-US" w:eastAsia="zh-CN"/>
        </w:rPr>
        <w:t>673.65</w:t>
      </w:r>
      <w:r>
        <w:rPr>
          <w:rFonts w:hint="eastAsia" w:cs="仿宋" w:asciiTheme="minorEastAsia" w:hAnsiTheme="minorEastAsia" w:eastAsiaTheme="minorEastAsia"/>
          <w:sz w:val="30"/>
          <w:szCs w:val="30"/>
        </w:rPr>
        <w:t>万元，无结转结余数。</w:t>
      </w:r>
    </w:p>
    <w:p>
      <w:pPr>
        <w:pStyle w:val="4"/>
        <w:widowControl/>
        <w:spacing w:line="600" w:lineRule="exact"/>
        <w:ind w:firstLine="640" w:firstLineChars="200"/>
        <w:rPr>
          <w:rFonts w:hint="eastAsia" w:ascii="方正楷体简体" w:hAnsi="方正楷体简体" w:eastAsia="方正楷体简体" w:cs="方正楷体简体"/>
          <w:b/>
          <w:bCs/>
          <w:sz w:val="32"/>
          <w:szCs w:val="32"/>
        </w:rPr>
      </w:pPr>
      <w:r>
        <w:rPr>
          <w:rFonts w:hint="eastAsia" w:ascii="方正楷体简体" w:hAnsi="方正楷体简体" w:eastAsia="方正楷体简体" w:cs="方正楷体简体"/>
          <w:b/>
          <w:bCs/>
          <w:sz w:val="32"/>
          <w:szCs w:val="32"/>
        </w:rPr>
        <w:t>（二）支出分类情况</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1.基本支出</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基本支出为保障单位机构正常运转、完成日常工作任务而发生的各项支出，包括用于基本工资、津贴补贴等人员经费以及办公费、印刷费、水电费等日常公用经费。</w:t>
      </w:r>
    </w:p>
    <w:p>
      <w:pPr>
        <w:spacing w:line="600" w:lineRule="exact"/>
        <w:ind w:firstLine="600" w:firstLineChars="200"/>
        <w:rPr>
          <w:rFonts w:hint="default"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rPr>
        <w:t>2022年年初预算批复的基本支出为</w:t>
      </w:r>
      <w:r>
        <w:rPr>
          <w:rFonts w:hint="eastAsia" w:cs="仿宋" w:asciiTheme="minorEastAsia" w:hAnsiTheme="minorEastAsia" w:eastAsiaTheme="minorEastAsia"/>
          <w:sz w:val="30"/>
          <w:szCs w:val="30"/>
          <w:lang w:val="en-US" w:eastAsia="zh-CN"/>
        </w:rPr>
        <w:t>235.66</w:t>
      </w:r>
      <w:r>
        <w:rPr>
          <w:rFonts w:hint="eastAsia" w:cs="仿宋" w:asciiTheme="minorEastAsia" w:hAnsiTheme="minorEastAsia" w:eastAsiaTheme="minorEastAsia"/>
          <w:sz w:val="30"/>
          <w:szCs w:val="30"/>
        </w:rPr>
        <w:t>万元，2022年决算基本支出</w:t>
      </w:r>
      <w:r>
        <w:rPr>
          <w:rFonts w:hint="eastAsia" w:cs="仿宋" w:asciiTheme="minorEastAsia" w:hAnsiTheme="minorEastAsia" w:eastAsiaTheme="minorEastAsia"/>
          <w:sz w:val="30"/>
          <w:szCs w:val="30"/>
          <w:lang w:val="en-US" w:eastAsia="zh-CN"/>
        </w:rPr>
        <w:t>168.74</w:t>
      </w:r>
      <w:r>
        <w:rPr>
          <w:rFonts w:hint="eastAsia" w:cs="仿宋" w:asciiTheme="minorEastAsia" w:hAnsiTheme="minorEastAsia" w:eastAsiaTheme="minorEastAsia"/>
          <w:sz w:val="30"/>
          <w:szCs w:val="30"/>
        </w:rPr>
        <w:t>万元，其中：工资福利支出</w:t>
      </w:r>
      <w:r>
        <w:rPr>
          <w:rFonts w:hint="eastAsia" w:cs="仿宋" w:asciiTheme="minorEastAsia" w:hAnsiTheme="minorEastAsia" w:eastAsiaTheme="minorEastAsia"/>
          <w:sz w:val="30"/>
          <w:szCs w:val="30"/>
          <w:lang w:val="en-US" w:eastAsia="zh-CN"/>
        </w:rPr>
        <w:t>165.22</w:t>
      </w:r>
      <w:r>
        <w:rPr>
          <w:rFonts w:hint="eastAsia" w:cs="仿宋" w:asciiTheme="minorEastAsia" w:hAnsiTheme="minorEastAsia" w:eastAsiaTheme="minorEastAsia"/>
          <w:sz w:val="30"/>
          <w:szCs w:val="30"/>
        </w:rPr>
        <w:t>万元，一般商品和服务支出</w:t>
      </w:r>
      <w:r>
        <w:rPr>
          <w:rFonts w:hint="eastAsia" w:cs="仿宋" w:asciiTheme="minorEastAsia" w:hAnsiTheme="minorEastAsia" w:eastAsiaTheme="minorEastAsia"/>
          <w:sz w:val="30"/>
          <w:szCs w:val="30"/>
          <w:lang w:val="en-US" w:eastAsia="zh-CN"/>
        </w:rPr>
        <w:t>2.9</w:t>
      </w:r>
      <w:r>
        <w:rPr>
          <w:rFonts w:hint="eastAsia" w:cs="仿宋" w:asciiTheme="minorEastAsia" w:hAnsiTheme="minorEastAsia" w:eastAsiaTheme="minorEastAsia"/>
          <w:sz w:val="30"/>
          <w:szCs w:val="30"/>
        </w:rPr>
        <w:t>万元，对个人和家庭的补助</w:t>
      </w:r>
      <w:r>
        <w:rPr>
          <w:rFonts w:hint="eastAsia" w:cs="仿宋" w:asciiTheme="minorEastAsia" w:hAnsiTheme="minorEastAsia" w:eastAsiaTheme="minorEastAsia"/>
          <w:sz w:val="30"/>
          <w:szCs w:val="30"/>
          <w:lang w:val="en-US" w:eastAsia="zh-CN"/>
        </w:rPr>
        <w:t>0.62</w:t>
      </w:r>
      <w:r>
        <w:rPr>
          <w:rFonts w:hint="eastAsia" w:cs="仿宋" w:asciiTheme="minorEastAsia" w:hAnsiTheme="minorEastAsia" w:eastAsiaTheme="minorEastAsia"/>
          <w:sz w:val="30"/>
          <w:szCs w:val="30"/>
        </w:rPr>
        <w:t>万元。决算与预算比较</w:t>
      </w:r>
      <w:r>
        <w:rPr>
          <w:rFonts w:hint="eastAsia" w:cs="仿宋" w:asciiTheme="minorEastAsia" w:hAnsiTheme="minorEastAsia" w:eastAsiaTheme="minorEastAsia"/>
          <w:sz w:val="30"/>
          <w:szCs w:val="30"/>
          <w:lang w:val="en-US" w:eastAsia="zh-CN"/>
        </w:rPr>
        <w:t>减少</w:t>
      </w:r>
      <w:r>
        <w:rPr>
          <w:rFonts w:hint="eastAsia" w:cs="仿宋" w:asciiTheme="minorEastAsia" w:hAnsiTheme="minorEastAsia" w:eastAsiaTheme="minorEastAsia"/>
          <w:sz w:val="30"/>
          <w:szCs w:val="30"/>
        </w:rPr>
        <w:t>的主要原因是</w:t>
      </w:r>
      <w:r>
        <w:rPr>
          <w:rFonts w:hint="eastAsia" w:cs="仿宋" w:asciiTheme="minorEastAsia" w:hAnsiTheme="minorEastAsia" w:eastAsiaTheme="minorEastAsia"/>
          <w:sz w:val="30"/>
          <w:szCs w:val="30"/>
          <w:lang w:val="en-US" w:eastAsia="zh-CN"/>
        </w:rPr>
        <w:t>2022年7-12月的住房公积金、津补贴等基本支出在2023年初支出。</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2.</w:t>
      </w:r>
      <w:r>
        <w:rPr>
          <w:rFonts w:hint="eastAsia" w:cs="仿宋" w:asciiTheme="minorEastAsia" w:hAnsiTheme="minorEastAsia" w:eastAsiaTheme="minorEastAsia"/>
          <w:b/>
          <w:sz w:val="30"/>
          <w:szCs w:val="30"/>
        </w:rPr>
        <w:t>“三公”经费支出使用和管理情况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年公务接待费用0万元，公务用车购置及运行维护费0万元，因公出国（境）费0万元，各项费用均</w:t>
      </w:r>
      <w:r>
        <w:rPr>
          <w:rFonts w:hint="eastAsia" w:cs="仿宋" w:asciiTheme="minorEastAsia" w:hAnsiTheme="minorEastAsia" w:eastAsiaTheme="minorEastAsia"/>
          <w:sz w:val="30"/>
          <w:szCs w:val="30"/>
          <w:lang w:val="en-US" w:eastAsia="zh-CN"/>
        </w:rPr>
        <w:t>严格</w:t>
      </w:r>
      <w:r>
        <w:rPr>
          <w:rFonts w:hint="eastAsia" w:cs="仿宋" w:asciiTheme="minorEastAsia" w:hAnsiTheme="minorEastAsia" w:eastAsiaTheme="minorEastAsia"/>
          <w:sz w:val="30"/>
          <w:szCs w:val="30"/>
        </w:rPr>
        <w:t>控制在预算范围内。</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3.项目支出</w:t>
      </w:r>
    </w:p>
    <w:p>
      <w:pPr>
        <w:spacing w:line="600" w:lineRule="exact"/>
        <w:ind w:firstLine="600" w:firstLineChars="200"/>
        <w:rPr>
          <w:rFonts w:hint="eastAsia"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lang w:val="en-US" w:eastAsia="zh-CN"/>
        </w:rPr>
        <w:t>2022年决算项目支出673.65万元，其中：一般公共服务支出299.89万元，全部支付2021年全县镇村两级烟叶奖励资金；农林水支出373.76万元，主要用于支付2021年镇村两级烟叶奖励资金剩余部分、烤房维修、“两烟”市场整治及乡村振兴支出。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hint="eastAsia" w:ascii="黑体" w:eastAsia="黑体" w:cs="仿宋" w:hAnsiTheme="minorEastAsia"/>
          <w:sz w:val="30"/>
          <w:szCs w:val="30"/>
        </w:rPr>
      </w:pPr>
      <w:r>
        <w:rPr>
          <w:rFonts w:hint="eastAsia" w:ascii="方正楷体简体" w:hAnsi="方正楷体简体" w:eastAsia="方正楷体简体" w:cs="方正楷体简体"/>
          <w:b/>
          <w:bCs/>
          <w:kern w:val="0"/>
          <w:sz w:val="32"/>
          <w:szCs w:val="32"/>
          <w:lang w:val="en-US" w:eastAsia="zh-CN" w:bidi="ar-SA"/>
        </w:rPr>
        <w:t>三、部门整体支出绩效情况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对照有关规定，我中心从预算编制、预算配置、预算执行和管理等方面对202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年部门整体支出绩效开展了评价，具体情况如下：</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1.</w:t>
      </w:r>
      <w:r>
        <w:rPr>
          <w:rFonts w:hint="eastAsia" w:cs="仿宋" w:asciiTheme="minorEastAsia" w:hAnsiTheme="minorEastAsia" w:eastAsiaTheme="minorEastAsia"/>
          <w:b/>
          <w:sz w:val="30"/>
          <w:szCs w:val="30"/>
        </w:rPr>
        <w:t>预算配置指标</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编制数2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人，在职人员2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人，在编制控制范围内。 “三公经费”控制较好。</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2.</w:t>
      </w:r>
      <w:r>
        <w:rPr>
          <w:rFonts w:hint="eastAsia" w:cs="仿宋" w:asciiTheme="minorEastAsia" w:hAnsiTheme="minorEastAsia" w:eastAsiaTheme="minorEastAsia"/>
          <w:b/>
          <w:sz w:val="30"/>
          <w:szCs w:val="30"/>
        </w:rPr>
        <w:t>预算执行指标</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年支出决算为</w:t>
      </w:r>
      <w:r>
        <w:rPr>
          <w:rFonts w:hint="eastAsia" w:cs="仿宋" w:asciiTheme="minorEastAsia" w:hAnsiTheme="minorEastAsia" w:eastAsiaTheme="minorEastAsia"/>
          <w:sz w:val="30"/>
          <w:szCs w:val="30"/>
          <w:lang w:val="en-US" w:eastAsia="zh-CN"/>
        </w:rPr>
        <w:t>842.39</w:t>
      </w:r>
      <w:r>
        <w:rPr>
          <w:rFonts w:hint="eastAsia" w:cs="仿宋" w:asciiTheme="minorEastAsia" w:hAnsiTheme="minorEastAsia" w:eastAsiaTheme="minorEastAsia"/>
          <w:sz w:val="30"/>
          <w:szCs w:val="30"/>
        </w:rPr>
        <w:t>万元，为全年预算的</w:t>
      </w:r>
      <w:r>
        <w:rPr>
          <w:rFonts w:hint="eastAsia" w:cs="仿宋" w:asciiTheme="minorEastAsia" w:hAnsiTheme="minorEastAsia" w:eastAsiaTheme="minorEastAsia"/>
          <w:sz w:val="30"/>
          <w:szCs w:val="30"/>
          <w:lang w:val="en-US" w:eastAsia="zh-CN"/>
        </w:rPr>
        <w:t>251</w:t>
      </w:r>
      <w:r>
        <w:rPr>
          <w:rFonts w:hint="eastAsia" w:cs="仿宋" w:asciiTheme="minorEastAsia" w:hAnsiTheme="minorEastAsia" w:eastAsiaTheme="minorEastAsia"/>
          <w:sz w:val="30"/>
          <w:szCs w:val="30"/>
        </w:rPr>
        <w:t>%。“三公经费”支出0万元，“三公经费”节约100%,成效显著。</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3.</w:t>
      </w:r>
      <w:r>
        <w:rPr>
          <w:rFonts w:hint="eastAsia" w:cs="仿宋" w:asciiTheme="minorEastAsia" w:hAnsiTheme="minorEastAsia" w:eastAsiaTheme="minorEastAsia"/>
          <w:b/>
          <w:sz w:val="30"/>
          <w:szCs w:val="30"/>
        </w:rPr>
        <w:t>预算管理指标</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年我中心预算管理各项指标控制较好</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lang w:val="en-US" w:eastAsia="zh-CN"/>
        </w:rPr>
        <w:t>资金支付都已完成</w:t>
      </w:r>
      <w:r>
        <w:rPr>
          <w:rFonts w:hint="eastAsia" w:cs="仿宋" w:asciiTheme="minorEastAsia" w:hAnsiTheme="minorEastAsia" w:eastAsiaTheme="minorEastAsia"/>
          <w:sz w:val="30"/>
          <w:szCs w:val="30"/>
        </w:rPr>
        <w:t>。</w:t>
      </w:r>
    </w:p>
    <w:p>
      <w:pPr>
        <w:spacing w:line="600" w:lineRule="exact"/>
        <w:ind w:firstLine="602" w:firstLineChars="200"/>
        <w:rPr>
          <w:rFonts w:hint="eastAsia" w:cs="仿宋" w:asciiTheme="minorEastAsia" w:hAnsiTheme="minorEastAsia" w:eastAsiaTheme="minorEastAsia"/>
          <w:b/>
          <w:sz w:val="30"/>
          <w:szCs w:val="30"/>
          <w:lang w:val="en-US" w:eastAsia="zh-CN"/>
        </w:rPr>
      </w:pPr>
      <w:r>
        <w:rPr>
          <w:rFonts w:hint="eastAsia" w:cs="仿宋" w:asciiTheme="minorEastAsia" w:hAnsiTheme="minorEastAsia" w:eastAsiaTheme="minorEastAsia"/>
          <w:b/>
          <w:sz w:val="30"/>
          <w:szCs w:val="30"/>
          <w:lang w:val="en-US" w:eastAsia="zh-CN"/>
        </w:rPr>
        <w:t>4.职责履行完成情况</w:t>
      </w:r>
    </w:p>
    <w:p>
      <w:pPr>
        <w:ind w:firstLine="560" w:firstLineChars="200"/>
        <w:rPr>
          <w:rFonts w:hint="default" w:ascii="宋体" w:hAnsi="宋体" w:eastAsia="宋体" w:cs="宋体"/>
          <w:sz w:val="28"/>
          <w:szCs w:val="36"/>
          <w:lang w:val="en-US" w:eastAsia="zh-CN"/>
        </w:rPr>
      </w:pPr>
      <w:r>
        <w:rPr>
          <w:rFonts w:hint="eastAsia" w:ascii="宋体" w:hAnsi="宋体" w:eastAsia="宋体" w:cs="宋体"/>
          <w:sz w:val="28"/>
          <w:szCs w:val="36"/>
          <w:lang w:val="en-US" w:eastAsia="zh-CN"/>
        </w:rPr>
        <w:t>2022年全县烟叶生产工作在许县长的高度重视下，在小冬和宏辉两位副县长的具体领导下，9个种烟乡镇（街道）、65个种烟村和264户烟农的共同努力，圆满完成了计划任务。全县计划种植1.6万亩，实际种植1.63万亩；计划收购3.9万担，实际收购3.95万担（比2021年的3.13万担增加0.82万担）；实现烟叶税收14</w:t>
      </w:r>
      <w:r>
        <w:rPr>
          <w:rFonts w:hint="eastAsia" w:ascii="宋体" w:hAnsi="宋体" w:cs="宋体"/>
          <w:sz w:val="28"/>
          <w:szCs w:val="36"/>
          <w:lang w:val="en-US" w:eastAsia="zh-CN"/>
        </w:rPr>
        <w:t>10</w:t>
      </w:r>
      <w:r>
        <w:rPr>
          <w:rFonts w:hint="eastAsia" w:ascii="宋体" w:hAnsi="宋体" w:eastAsia="宋体" w:cs="宋体"/>
          <w:sz w:val="28"/>
          <w:szCs w:val="36"/>
          <w:lang w:val="en-US" w:eastAsia="zh-CN"/>
        </w:rPr>
        <w:t>万元，比2021年的1012万元增加39</w:t>
      </w:r>
      <w:r>
        <w:rPr>
          <w:rFonts w:hint="eastAsia" w:ascii="宋体" w:hAnsi="宋体" w:cs="宋体"/>
          <w:sz w:val="28"/>
          <w:szCs w:val="36"/>
          <w:lang w:val="en-US" w:eastAsia="zh-CN"/>
        </w:rPr>
        <w:t>8</w:t>
      </w:r>
      <w:r>
        <w:rPr>
          <w:rFonts w:hint="eastAsia" w:ascii="宋体" w:hAnsi="宋体" w:eastAsia="宋体" w:cs="宋体"/>
          <w:sz w:val="28"/>
          <w:szCs w:val="36"/>
          <w:lang w:val="en-US" w:eastAsia="zh-CN"/>
        </w:rPr>
        <w:t>万元，同比增长39%。全县烟叶收购均价为16.19元/斤，高于全市平均水平0.4元/斤，加补贴后的全县收购均价为17.65元/斤。全县种烟亩平收入为4289元，亩平创税865元。</w:t>
      </w:r>
      <w:r>
        <w:rPr>
          <w:rFonts w:hint="eastAsia" w:ascii="宋体" w:hAnsi="宋体" w:cs="宋体"/>
          <w:sz w:val="28"/>
          <w:szCs w:val="36"/>
          <w:lang w:val="en-US" w:eastAsia="zh-CN"/>
        </w:rPr>
        <w:t>圆满完成2022年全县烟叶生产工作，做到了为烟农创收，为政府创税。</w:t>
      </w:r>
    </w:p>
    <w:p>
      <w:pPr>
        <w:pStyle w:val="4"/>
        <w:widowControl/>
        <w:spacing w:line="600" w:lineRule="exact"/>
        <w:ind w:firstLine="640" w:firstLineChars="200"/>
        <w:rPr>
          <w:rFonts w:hint="eastAsia" w:ascii="仿宋_GB2312" w:hAnsi="仿宋_GB2312" w:eastAsia="仿宋_GB2312" w:cs="仿宋_GB2312"/>
          <w:sz w:val="32"/>
          <w:szCs w:val="32"/>
        </w:rPr>
      </w:pPr>
      <w:r>
        <w:rPr>
          <w:rFonts w:hint="eastAsia" w:ascii="方正楷体简体" w:hAnsi="方正楷体简体" w:eastAsia="方正楷体简体" w:cs="方正楷体简体"/>
          <w:b/>
          <w:bCs/>
          <w:sz w:val="32"/>
          <w:szCs w:val="32"/>
          <w:lang w:val="en-US" w:eastAsia="zh-CN"/>
        </w:rPr>
        <w:t>四、</w:t>
      </w:r>
      <w:r>
        <w:rPr>
          <w:rFonts w:hint="eastAsia" w:ascii="方正楷体简体" w:hAnsi="方正楷体简体" w:eastAsia="方正楷体简体" w:cs="方正楷体简体"/>
          <w:b/>
          <w:bCs/>
          <w:sz w:val="32"/>
          <w:szCs w:val="32"/>
        </w:rPr>
        <w:t>存在绩效管理问题。</w:t>
      </w:r>
    </w:p>
    <w:p>
      <w:pPr>
        <w:pStyle w:val="4"/>
        <w:widowControl/>
        <w:spacing w:line="600" w:lineRule="exact"/>
        <w:ind w:firstLine="562" w:firstLineChars="200"/>
        <w:rPr>
          <w:rFonts w:hint="eastAsia" w:ascii="宋体" w:hAnsi="宋体" w:eastAsia="宋体" w:cs="宋体"/>
          <w:kern w:val="2"/>
          <w:sz w:val="28"/>
          <w:szCs w:val="36"/>
          <w:lang w:val="en-US" w:eastAsia="zh-CN" w:bidi="ar-SA"/>
        </w:rPr>
      </w:pPr>
      <w:r>
        <w:rPr>
          <w:rFonts w:hint="eastAsia" w:ascii="宋体" w:hAnsi="宋体" w:eastAsia="宋体" w:cs="宋体"/>
          <w:b/>
          <w:bCs/>
          <w:kern w:val="2"/>
          <w:sz w:val="28"/>
          <w:szCs w:val="36"/>
          <w:lang w:val="en-US" w:eastAsia="zh-CN" w:bidi="ar-SA"/>
        </w:rPr>
        <w:t>1、</w:t>
      </w:r>
      <w:r>
        <w:rPr>
          <w:rFonts w:hint="eastAsia" w:ascii="宋体" w:hAnsi="宋体" w:eastAsia="宋体" w:cs="宋体"/>
          <w:kern w:val="2"/>
          <w:sz w:val="28"/>
          <w:szCs w:val="36"/>
          <w:lang w:val="en-US" w:eastAsia="zh-CN" w:bidi="ar-SA"/>
        </w:rPr>
        <w:t>年初编制的预算不够精准，预算与决算相差较大。年内预算追加较大，预算控制率较低，影响单位评分及评价等次。</w:t>
      </w:r>
    </w:p>
    <w:p>
      <w:pPr>
        <w:pStyle w:val="4"/>
        <w:widowControl/>
        <w:spacing w:line="600" w:lineRule="exact"/>
        <w:ind w:firstLine="562" w:firstLineChars="200"/>
        <w:rPr>
          <w:rFonts w:hint="eastAsia" w:ascii="宋体" w:hAnsi="宋体" w:eastAsia="宋体" w:cs="宋体"/>
          <w:kern w:val="2"/>
          <w:sz w:val="28"/>
          <w:szCs w:val="36"/>
          <w:lang w:val="en-US" w:eastAsia="zh-CN" w:bidi="ar-SA"/>
        </w:rPr>
      </w:pPr>
      <w:r>
        <w:rPr>
          <w:rFonts w:hint="eastAsia" w:ascii="宋体" w:hAnsi="宋体" w:eastAsia="宋体" w:cs="宋体"/>
          <w:b/>
          <w:bCs/>
          <w:kern w:val="2"/>
          <w:sz w:val="28"/>
          <w:szCs w:val="36"/>
          <w:lang w:val="en-US" w:eastAsia="zh-CN" w:bidi="ar-SA"/>
        </w:rPr>
        <w:t>2、</w:t>
      </w:r>
      <w:r>
        <w:rPr>
          <w:rFonts w:hint="eastAsia" w:ascii="宋体" w:hAnsi="宋体" w:eastAsia="宋体" w:cs="宋体"/>
          <w:kern w:val="2"/>
          <w:sz w:val="28"/>
          <w:szCs w:val="36"/>
          <w:lang w:val="en-US" w:eastAsia="zh-CN" w:bidi="ar-SA"/>
        </w:rPr>
        <w:t>财政预算资金到位比较迟缓，各项目经费支付经常卡在年底，支付压力大。预算执行情况还有待加强。</w:t>
      </w:r>
    </w:p>
    <w:p>
      <w:pPr>
        <w:pStyle w:val="4"/>
        <w:widowControl/>
        <w:spacing w:line="600" w:lineRule="exact"/>
        <w:ind w:firstLine="562" w:firstLineChars="200"/>
        <w:rPr>
          <w:rFonts w:hint="eastAsia" w:ascii="宋体" w:hAnsi="宋体" w:eastAsia="宋体" w:cs="宋体"/>
          <w:kern w:val="2"/>
          <w:sz w:val="28"/>
          <w:szCs w:val="36"/>
          <w:lang w:val="en-US" w:eastAsia="zh-CN" w:bidi="ar-SA"/>
        </w:rPr>
      </w:pPr>
      <w:r>
        <w:rPr>
          <w:rFonts w:hint="eastAsia" w:ascii="宋体" w:hAnsi="宋体" w:eastAsia="宋体" w:cs="宋体"/>
          <w:b/>
          <w:bCs/>
          <w:kern w:val="2"/>
          <w:sz w:val="28"/>
          <w:szCs w:val="36"/>
          <w:lang w:val="en-US" w:eastAsia="zh-CN" w:bidi="ar-SA"/>
        </w:rPr>
        <w:t>3、</w:t>
      </w:r>
      <w:r>
        <w:rPr>
          <w:rFonts w:hint="eastAsia" w:ascii="宋体" w:hAnsi="宋体" w:eastAsia="宋体" w:cs="宋体"/>
          <w:kern w:val="2"/>
          <w:sz w:val="28"/>
          <w:szCs w:val="36"/>
          <w:lang w:val="en-US" w:eastAsia="zh-CN" w:bidi="ar-SA"/>
        </w:rPr>
        <w:t>财务制度执行力有待加强，资金使用计划有待细化。</w:t>
      </w:r>
    </w:p>
    <w:p>
      <w:pPr>
        <w:pStyle w:val="4"/>
        <w:widowControl/>
        <w:spacing w:line="600" w:lineRule="exact"/>
        <w:ind w:firstLine="643" w:firstLineChars="200"/>
        <w:rPr>
          <w:rFonts w:hint="eastAsia" w:ascii="仿宋_GB2312" w:hAnsi="仿宋_GB2312" w:eastAsia="仿宋_GB2312" w:cs="仿宋_GB2312"/>
          <w:b/>
          <w:sz w:val="32"/>
          <w:szCs w:val="32"/>
        </w:rPr>
      </w:pPr>
      <w:r>
        <w:rPr>
          <w:rFonts w:hint="eastAsia" w:ascii="黑体" w:hAnsi="黑体" w:eastAsia="黑体" w:cs="黑体"/>
          <w:b/>
          <w:bCs/>
          <w:sz w:val="32"/>
          <w:szCs w:val="32"/>
        </w:rPr>
        <w:t>五、有关建议</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针对上述存在的问题及我中心整体支出管理工作的需要，拟实施的改进措施如下：</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一）全面精准预算编制工作。进一步强化中心机关各股室的预算管理意识，严格按照预算编制的相关制度和要求，公用经费根据单位的年度工作重点和项目专项工作规划，本着“勤俭节约、保障运转”的原则进行预算的编制。编制范围尽可能的全面、完整，进一步提高预算编制的科学性、合理性、严谨性和可控性，尽最大可能减少预决算执行差异。</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二）加强预算编制的前瞻性。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三）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pPr>
        <w:spacing w:line="600" w:lineRule="exact"/>
        <w:ind w:left="5396" w:leftChars="284" w:hanging="4800" w:hangingChars="16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 xml:space="preserve">                      </w:t>
      </w:r>
    </w:p>
    <w:p>
      <w:pPr>
        <w:rPr>
          <w:rFonts w:ascii="仿宋" w:hAnsi="仿宋" w:eastAsia="仿宋" w:cs="仿宋"/>
          <w:sz w:val="30"/>
          <w:szCs w:val="30"/>
        </w:rPr>
      </w:pPr>
    </w:p>
    <w:sectPr>
      <w:footerReference r:id="rId3" w:type="default"/>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snapToGrid w:val="0"/>
                            <w:rPr>
                              <w:sz w:val="24"/>
                            </w:rPr>
                          </w:pPr>
                          <w:r>
                            <w:rPr>
                              <w:sz w:val="24"/>
                            </w:rPr>
                            <w:fldChar w:fldCharType="begin"/>
                          </w:r>
                          <w:r>
                            <w:rPr>
                              <w:sz w:val="24"/>
                            </w:rPr>
                            <w:instrText xml:space="preserve"> PAGE  \* MERGEFORMAT </w:instrText>
                          </w:r>
                          <w:r>
                            <w:rPr>
                              <w:sz w:val="24"/>
                            </w:rPr>
                            <w:fldChar w:fldCharType="separate"/>
                          </w:r>
                          <w:r>
                            <w:t>- 1 -</w:t>
                          </w:r>
                          <w:r>
                            <w:rPr>
                              <w:sz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pPr>
                      <w:snapToGrid w:val="0"/>
                      <w:rPr>
                        <w:sz w:val="24"/>
                      </w:rPr>
                    </w:pPr>
                    <w:r>
                      <w:rPr>
                        <w:sz w:val="24"/>
                      </w:rPr>
                      <w:fldChar w:fldCharType="begin"/>
                    </w:r>
                    <w:r>
                      <w:rPr>
                        <w:sz w:val="24"/>
                      </w:rPr>
                      <w:instrText xml:space="preserve"> PAGE  \* MERGEFORMAT </w:instrText>
                    </w:r>
                    <w:r>
                      <w:rPr>
                        <w:sz w:val="24"/>
                      </w:rPr>
                      <w:fldChar w:fldCharType="separate"/>
                    </w:r>
                    <w:r>
                      <w:t>- 1 -</w:t>
                    </w:r>
                    <w:r>
                      <w:rPr>
                        <w:sz w:val="24"/>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EB188B"/>
    <w:rsid w:val="00012302"/>
    <w:rsid w:val="0001784B"/>
    <w:rsid w:val="00030776"/>
    <w:rsid w:val="0005316B"/>
    <w:rsid w:val="00061F98"/>
    <w:rsid w:val="00065B7C"/>
    <w:rsid w:val="000A5609"/>
    <w:rsid w:val="000D0A57"/>
    <w:rsid w:val="000E043E"/>
    <w:rsid w:val="000E20F6"/>
    <w:rsid w:val="001205C8"/>
    <w:rsid w:val="002200D7"/>
    <w:rsid w:val="00226F6D"/>
    <w:rsid w:val="00304FE7"/>
    <w:rsid w:val="00393F3D"/>
    <w:rsid w:val="00417323"/>
    <w:rsid w:val="004541F4"/>
    <w:rsid w:val="00471F19"/>
    <w:rsid w:val="004C6436"/>
    <w:rsid w:val="004C7BAE"/>
    <w:rsid w:val="004F53C2"/>
    <w:rsid w:val="005F5EAD"/>
    <w:rsid w:val="00603AD6"/>
    <w:rsid w:val="00684760"/>
    <w:rsid w:val="006B33E1"/>
    <w:rsid w:val="007A2029"/>
    <w:rsid w:val="007E6580"/>
    <w:rsid w:val="008922EE"/>
    <w:rsid w:val="00896EFA"/>
    <w:rsid w:val="008E2DBB"/>
    <w:rsid w:val="00920B04"/>
    <w:rsid w:val="009C1784"/>
    <w:rsid w:val="009E3188"/>
    <w:rsid w:val="00A04BD6"/>
    <w:rsid w:val="00A152AC"/>
    <w:rsid w:val="00A427C4"/>
    <w:rsid w:val="00A82C2A"/>
    <w:rsid w:val="00BA5B00"/>
    <w:rsid w:val="00C17969"/>
    <w:rsid w:val="00C34A86"/>
    <w:rsid w:val="00CE4A8A"/>
    <w:rsid w:val="00CE722B"/>
    <w:rsid w:val="00CF7E1A"/>
    <w:rsid w:val="00DC5B63"/>
    <w:rsid w:val="00E0198C"/>
    <w:rsid w:val="00EB2AF8"/>
    <w:rsid w:val="00FE1939"/>
    <w:rsid w:val="00FF2CD9"/>
    <w:rsid w:val="012E7704"/>
    <w:rsid w:val="0A474839"/>
    <w:rsid w:val="0EA112B4"/>
    <w:rsid w:val="0F186C24"/>
    <w:rsid w:val="11C15C84"/>
    <w:rsid w:val="1D791FAC"/>
    <w:rsid w:val="1E753F67"/>
    <w:rsid w:val="1F9201E2"/>
    <w:rsid w:val="1FAF006E"/>
    <w:rsid w:val="2290264C"/>
    <w:rsid w:val="23B16569"/>
    <w:rsid w:val="26B6121A"/>
    <w:rsid w:val="29656C03"/>
    <w:rsid w:val="2EFD2256"/>
    <w:rsid w:val="328441B3"/>
    <w:rsid w:val="34682CDC"/>
    <w:rsid w:val="360746DB"/>
    <w:rsid w:val="36D759C4"/>
    <w:rsid w:val="36EB188B"/>
    <w:rsid w:val="3C25417C"/>
    <w:rsid w:val="3C951D92"/>
    <w:rsid w:val="3CDD3EB4"/>
    <w:rsid w:val="3FA430E0"/>
    <w:rsid w:val="4109486E"/>
    <w:rsid w:val="41A52131"/>
    <w:rsid w:val="450F0D05"/>
    <w:rsid w:val="47CB450D"/>
    <w:rsid w:val="4BF90470"/>
    <w:rsid w:val="4EC27BB6"/>
    <w:rsid w:val="53BD49BF"/>
    <w:rsid w:val="545D042E"/>
    <w:rsid w:val="549617E0"/>
    <w:rsid w:val="55B7631A"/>
    <w:rsid w:val="584A19FF"/>
    <w:rsid w:val="5CBA6956"/>
    <w:rsid w:val="5E245913"/>
    <w:rsid w:val="605D69B3"/>
    <w:rsid w:val="69B35934"/>
    <w:rsid w:val="6AF31CA5"/>
    <w:rsid w:val="72BB6AC3"/>
    <w:rsid w:val="72DF475D"/>
    <w:rsid w:val="792E7F09"/>
    <w:rsid w:val="7C4E28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kern w:val="0"/>
      <w:sz w:val="24"/>
    </w:rPr>
  </w:style>
  <w:style w:type="character" w:customStyle="1" w:styleId="7">
    <w:name w:val="页眉 Char"/>
    <w:basedOn w:val="6"/>
    <w:link w:val="3"/>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Pages>
  <Words>392</Words>
  <Characters>2237</Characters>
  <Lines>18</Lines>
  <Paragraphs>5</Paragraphs>
  <TotalTime>0</TotalTime>
  <ScaleCrop>false</ScaleCrop>
  <LinksUpToDate>false</LinksUpToDate>
  <CharactersWithSpaces>2624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2020-06-23T02:12:00Z</dcterms:created>
  <dc:creator>Ling～</dc:creator>
  <cp:lastModifiedBy>孙泽宇</cp:lastModifiedBy>
  <cp:lastPrinted>2023-04-12T02:22:00Z</cp:lastPrinted>
  <dcterms:modified xsi:type="dcterms:W3CDTF">2023-10-11T09:12:52Z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5B4769AF29D047689997CE510055AA88_13</vt:lpwstr>
  </property>
</Properties>
</file>