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eastAsia="方正小标宋简体"/>
          <w:sz w:val="44"/>
          <w:szCs w:val="44"/>
        </w:rPr>
      </w:pPr>
      <w:bookmarkStart w:id="0" w:name="_GoBack"/>
      <w:bookmarkEnd w:id="0"/>
      <w:r>
        <w:rPr>
          <w:rFonts w:hint="eastAsia" w:eastAsia="方正小标宋简体"/>
          <w:sz w:val="44"/>
          <w:szCs w:val="44"/>
        </w:rPr>
        <w:t>衡南县红色教育基地服务中心</w:t>
      </w:r>
    </w:p>
    <w:p>
      <w:pPr>
        <w:spacing w:line="600" w:lineRule="exact"/>
        <w:jc w:val="center"/>
        <w:rPr>
          <w:rFonts w:eastAsia="方正小标宋简体"/>
          <w:sz w:val="44"/>
          <w:szCs w:val="44"/>
        </w:rPr>
      </w:pPr>
      <w:r>
        <w:rPr>
          <w:rFonts w:eastAsia="方正小标宋简体"/>
          <w:sz w:val="44"/>
          <w:szCs w:val="44"/>
        </w:rPr>
        <w:t>20</w:t>
      </w:r>
      <w:r>
        <w:rPr>
          <w:rFonts w:hint="eastAsia" w:eastAsia="方正小标宋简体"/>
          <w:sz w:val="44"/>
          <w:szCs w:val="44"/>
        </w:rPr>
        <w:t>22年</w:t>
      </w:r>
      <w:r>
        <w:rPr>
          <w:rFonts w:eastAsia="方正小标宋简体"/>
          <w:sz w:val="44"/>
          <w:szCs w:val="44"/>
        </w:rPr>
        <w:t>整体支出绩效评价报告</w:t>
      </w:r>
    </w:p>
    <w:p>
      <w:pPr>
        <w:spacing w:line="600" w:lineRule="exact"/>
        <w:jc w:val="left"/>
        <w:rPr>
          <w:rFonts w:ascii="仿宋" w:hAnsi="仿宋" w:eastAsia="仿宋" w:cs="仿宋_GB2312"/>
          <w:sz w:val="32"/>
          <w:szCs w:val="32"/>
        </w:rPr>
      </w:pPr>
    </w:p>
    <w:p>
      <w:pPr>
        <w:pStyle w:val="5"/>
        <w:spacing w:line="360" w:lineRule="atLeast"/>
        <w:ind w:firstLine="640" w:firstLineChars="200"/>
        <w:rPr>
          <w:rFonts w:ascii="仿宋" w:hAnsi="仿宋" w:eastAsia="仿宋" w:cs="仿宋_GB2312"/>
          <w:kern w:val="2"/>
          <w:sz w:val="32"/>
          <w:szCs w:val="32"/>
        </w:rPr>
      </w:pPr>
      <w:r>
        <w:rPr>
          <w:rFonts w:hint="eastAsia" w:ascii="仿宋" w:hAnsi="仿宋" w:eastAsia="仿宋" w:cs="Times New Roman"/>
          <w:kern w:val="2"/>
          <w:sz w:val="32"/>
          <w:szCs w:val="32"/>
        </w:rPr>
        <w:t>根据《湖南省委办公厅  湖南省人民政府办公厅关于全面实施预算绩效管理的意见》（湘办发【2019】10号）、财政部《项目支出绩效评价管理办法》（财预【2020】10号）、《湖南省预算绩效目标管理办法》（湘财绩【2020】7号）和《衡南县预算绩效管理工作考核办法》（清财绩【2021】66号）等文件要求，我中心对2022年度部门整体支出绩效进行了全面综合评价，现将情况报告如下：</w:t>
      </w:r>
    </w:p>
    <w:p>
      <w:pPr>
        <w:pStyle w:val="5"/>
        <w:spacing w:line="360" w:lineRule="atLeast"/>
        <w:ind w:firstLine="480"/>
        <w:rPr>
          <w:rFonts w:ascii="黑体" w:hAnsi="黑体" w:eastAsia="黑体" w:cs="黑体"/>
          <w:b/>
          <w:color w:val="000000" w:themeColor="text1"/>
          <w:sz w:val="32"/>
          <w:szCs w:val="32"/>
          <w14:textFill>
            <w14:solidFill>
              <w14:schemeClr w14:val="tx1"/>
            </w14:solidFill>
          </w14:textFill>
        </w:rPr>
      </w:pPr>
      <w:r>
        <w:rPr>
          <w:rFonts w:hint="eastAsia" w:ascii="黑体" w:hAnsi="黑体" w:eastAsia="黑体" w:cs="黑体"/>
          <w:b/>
          <w:color w:val="000000" w:themeColor="text1"/>
          <w:sz w:val="32"/>
          <w:szCs w:val="32"/>
          <w14:textFill>
            <w14:solidFill>
              <w14:schemeClr w14:val="tx1"/>
            </w14:solidFill>
          </w14:textFill>
        </w:rPr>
        <w:t>一、部门概况</w:t>
      </w:r>
    </w:p>
    <w:p>
      <w:pPr>
        <w:pStyle w:val="5"/>
        <w:spacing w:line="360" w:lineRule="atLeast"/>
        <w:ind w:firstLine="480"/>
        <w:rPr>
          <w:rFonts w:ascii="仿宋" w:hAnsi="仿宋" w:eastAsia="仿宋" w:cs="黑体"/>
          <w:sz w:val="32"/>
          <w:szCs w:val="32"/>
        </w:rPr>
      </w:pPr>
      <w:r>
        <w:rPr>
          <w:rFonts w:hint="eastAsia" w:ascii="楷体" w:hAnsi="楷体" w:eastAsia="楷体" w:cs="楷体"/>
          <w:b/>
          <w:color w:val="000000" w:themeColor="text1"/>
          <w:sz w:val="32"/>
          <w:szCs w:val="32"/>
          <w14:textFill>
            <w14:solidFill>
              <w14:schemeClr w14:val="tx1"/>
            </w14:solidFill>
          </w14:textFill>
        </w:rPr>
        <w:t>（一）部门职责。</w:t>
      </w:r>
      <w:r>
        <w:rPr>
          <w:rFonts w:hint="eastAsia" w:ascii="仿宋" w:hAnsi="仿宋" w:eastAsia="仿宋"/>
          <w:sz w:val="32"/>
          <w:szCs w:val="32"/>
        </w:rPr>
        <w:t>衡南县红色教育基地服务中心隶属于衡南县退役军人事务局，系一个正科级全额财政拨款事业单位。其</w:t>
      </w:r>
      <w:r>
        <w:rPr>
          <w:rFonts w:hint="eastAsia" w:ascii="仿宋" w:hAnsi="仿宋" w:eastAsia="仿宋" w:cs="黑体"/>
          <w:sz w:val="32"/>
          <w:szCs w:val="32"/>
        </w:rPr>
        <w:t>主要工作职责如下：</w:t>
      </w:r>
    </w:p>
    <w:p>
      <w:pPr>
        <w:pStyle w:val="5"/>
        <w:spacing w:line="360" w:lineRule="atLeast"/>
        <w:ind w:firstLine="480"/>
        <w:rPr>
          <w:rFonts w:ascii="仿宋" w:hAnsi="仿宋" w:eastAsia="仿宋"/>
          <w:sz w:val="32"/>
          <w:szCs w:val="32"/>
        </w:rPr>
      </w:pPr>
      <w:r>
        <w:rPr>
          <w:rFonts w:hint="eastAsia" w:ascii="仿宋" w:hAnsi="仿宋" w:eastAsia="仿宋"/>
          <w:sz w:val="32"/>
          <w:szCs w:val="32"/>
        </w:rPr>
        <w:t>1.负责宣传、贯彻党和国家有关红色资源保护和利用、烈士纪念等方面的方针政策和法律法规；参与拟定全县红色资源、烈士纪念等方面的政策措施、发展规划，并组织实施。</w:t>
      </w:r>
    </w:p>
    <w:p>
      <w:pPr>
        <w:pStyle w:val="5"/>
        <w:spacing w:line="360" w:lineRule="atLeast"/>
        <w:ind w:firstLine="480"/>
        <w:rPr>
          <w:rFonts w:ascii="仿宋" w:hAnsi="仿宋" w:eastAsia="仿宋"/>
          <w:sz w:val="32"/>
          <w:szCs w:val="32"/>
        </w:rPr>
      </w:pPr>
      <w:r>
        <w:rPr>
          <w:rFonts w:hint="eastAsia" w:ascii="仿宋" w:hAnsi="仿宋" w:eastAsia="仿宋"/>
          <w:sz w:val="32"/>
          <w:szCs w:val="32"/>
        </w:rPr>
        <w:t>2.承担全县红色资源、烈士及其纪念设施的普查、调查、勘探、征集、鉴定、修缮、建档和名录申报、保护管理、传承利用等事务性工作，充分发挥红色资源培根铸魂作用，推进红色资源保护和利用、烈士纪念等方面体制机制创新，促进融合发展。</w:t>
      </w:r>
    </w:p>
    <w:p>
      <w:pPr>
        <w:pStyle w:val="5"/>
        <w:spacing w:line="360" w:lineRule="atLeast"/>
        <w:ind w:firstLine="480"/>
        <w:rPr>
          <w:rFonts w:ascii="仿宋" w:hAnsi="仿宋" w:eastAsia="仿宋"/>
          <w:sz w:val="32"/>
          <w:szCs w:val="32"/>
        </w:rPr>
      </w:pPr>
      <w:r>
        <w:rPr>
          <w:rFonts w:hint="eastAsia" w:ascii="仿宋" w:hAnsi="仿宋" w:eastAsia="仿宋"/>
          <w:sz w:val="32"/>
          <w:szCs w:val="32"/>
        </w:rPr>
        <w:t>3.统筹规划全县红色教育基地、烈士纪念设施的信息化、标准化、智能化建设并组织实施，加强对外交流与合作。</w:t>
      </w:r>
    </w:p>
    <w:p>
      <w:pPr>
        <w:pStyle w:val="5"/>
        <w:spacing w:line="360" w:lineRule="atLeast"/>
        <w:ind w:firstLine="480"/>
        <w:rPr>
          <w:rFonts w:ascii="仿宋" w:hAnsi="仿宋" w:eastAsia="仿宋"/>
          <w:sz w:val="32"/>
          <w:szCs w:val="32"/>
        </w:rPr>
      </w:pPr>
      <w:r>
        <w:rPr>
          <w:rFonts w:hint="eastAsia" w:ascii="仿宋" w:hAnsi="仿宋" w:eastAsia="仿宋"/>
          <w:sz w:val="32"/>
          <w:szCs w:val="32"/>
        </w:rPr>
        <w:t>4.指导与协调全县红色教育基地的产业发展，促进其经营主体、经营模式多样化和投资渠道多元化；开展红色资源文化创意研发，培育孵化新型业态。</w:t>
      </w:r>
    </w:p>
    <w:p>
      <w:pPr>
        <w:pStyle w:val="5"/>
        <w:spacing w:line="360" w:lineRule="atLeast"/>
        <w:ind w:firstLine="480"/>
        <w:rPr>
          <w:rFonts w:ascii="仿宋" w:hAnsi="仿宋" w:eastAsia="仿宋"/>
          <w:sz w:val="32"/>
          <w:szCs w:val="32"/>
        </w:rPr>
      </w:pPr>
      <w:r>
        <w:rPr>
          <w:rFonts w:hint="eastAsia" w:ascii="仿宋" w:hAnsi="仿宋" w:eastAsia="仿宋"/>
          <w:sz w:val="32"/>
          <w:szCs w:val="32"/>
        </w:rPr>
        <w:t>5.承担红色教育基地、烈士纪念设施的公共服务体系建设，加强基础设施、组织网络、人才队伍建设，强化经费投入保障等事务性工作。</w:t>
      </w:r>
    </w:p>
    <w:p>
      <w:pPr>
        <w:pStyle w:val="5"/>
        <w:spacing w:line="360" w:lineRule="atLeast"/>
        <w:ind w:firstLine="480"/>
        <w:rPr>
          <w:rFonts w:ascii="仿宋" w:hAnsi="仿宋" w:eastAsia="仿宋"/>
          <w:sz w:val="32"/>
          <w:szCs w:val="32"/>
        </w:rPr>
      </w:pPr>
      <w:r>
        <w:rPr>
          <w:rFonts w:hint="eastAsia" w:ascii="仿宋" w:hAnsi="仿宋" w:eastAsia="仿宋"/>
          <w:sz w:val="32"/>
          <w:szCs w:val="32"/>
        </w:rPr>
        <w:t>6.承担全县红色教育基地、烈士及其纪念设施相关资料的收集、展陈，做好全县各红色教育基地和烈士纪念设施保护等基础性工作和宣传推广工作。</w:t>
      </w:r>
    </w:p>
    <w:p>
      <w:pPr>
        <w:pStyle w:val="5"/>
        <w:spacing w:line="360" w:lineRule="atLeast"/>
        <w:ind w:firstLine="480"/>
        <w:rPr>
          <w:rFonts w:ascii="仿宋" w:hAnsi="仿宋" w:eastAsia="仿宋"/>
          <w:sz w:val="32"/>
          <w:szCs w:val="32"/>
        </w:rPr>
      </w:pPr>
      <w:r>
        <w:rPr>
          <w:rFonts w:hint="eastAsia" w:ascii="仿宋" w:hAnsi="仿宋" w:eastAsia="仿宋"/>
          <w:sz w:val="32"/>
          <w:szCs w:val="32"/>
        </w:rPr>
        <w:t>7.充分利用已有的红色教育基地开展好爱国主义教育、国防教育、廉政教育、革命传统教育和国家安全教育等，突出其教育培训功能，赓续红色精神，传承红色基因，树立红色教育和研学品牌。</w:t>
      </w:r>
    </w:p>
    <w:p>
      <w:pPr>
        <w:pStyle w:val="5"/>
        <w:spacing w:line="360" w:lineRule="atLeast"/>
        <w:ind w:firstLine="480"/>
        <w:rPr>
          <w:rFonts w:ascii="仿宋" w:hAnsi="仿宋" w:eastAsia="仿宋"/>
          <w:sz w:val="32"/>
          <w:szCs w:val="32"/>
        </w:rPr>
      </w:pPr>
      <w:r>
        <w:rPr>
          <w:rFonts w:hint="eastAsia" w:ascii="仿宋" w:hAnsi="仿宋" w:eastAsia="仿宋"/>
          <w:sz w:val="32"/>
          <w:szCs w:val="32"/>
        </w:rPr>
        <w:t>8.承担烈士纪念设施的日常维护与维修、革命烈士骨灰的安葬、为社会各界及烈士亲属提供祭扫服务等事务性工作。</w:t>
      </w:r>
    </w:p>
    <w:p>
      <w:pPr>
        <w:pStyle w:val="5"/>
        <w:spacing w:line="360" w:lineRule="atLeast"/>
        <w:ind w:firstLine="480"/>
        <w:rPr>
          <w:rFonts w:ascii="仿宋" w:hAnsi="仿宋" w:eastAsia="仿宋" w:cs="黑体"/>
          <w:sz w:val="32"/>
          <w:szCs w:val="32"/>
        </w:rPr>
      </w:pPr>
      <w:r>
        <w:rPr>
          <w:rFonts w:hint="eastAsia" w:ascii="仿宋" w:hAnsi="仿宋" w:eastAsia="仿宋"/>
          <w:sz w:val="32"/>
          <w:szCs w:val="32"/>
        </w:rPr>
        <w:t>9.完成县退役军人事务局交办的其他工作任务。</w:t>
      </w:r>
    </w:p>
    <w:p>
      <w:pPr>
        <w:pStyle w:val="2"/>
        <w:ind w:firstLine="643"/>
        <w:rPr>
          <w:rFonts w:ascii="仿宋" w:hAnsi="仿宋" w:eastAsia="仿宋" w:cs="宋体"/>
          <w:kern w:val="0"/>
          <w:sz w:val="32"/>
          <w:szCs w:val="32"/>
        </w:rPr>
      </w:pPr>
      <w:r>
        <w:rPr>
          <w:rFonts w:hint="eastAsia" w:ascii="楷体_GB2312" w:hAnsi="楷体_GB2312" w:eastAsia="楷体_GB2312" w:cs="楷体_GB2312"/>
          <w:b/>
          <w:sz w:val="32"/>
          <w:szCs w:val="32"/>
        </w:rPr>
        <w:t>（二）机构设置情况。</w:t>
      </w:r>
      <w:r>
        <w:rPr>
          <w:rFonts w:hint="eastAsia" w:ascii="仿宋" w:hAnsi="仿宋" w:eastAsia="仿宋" w:cs="宋体"/>
          <w:kern w:val="0"/>
          <w:sz w:val="32"/>
          <w:szCs w:val="32"/>
        </w:rPr>
        <w:t>衡南县红色教育基地服务中心内设办公室、政工宣教股、场馆管理股、资源开发股等四股室，辖归园管理所、烈士陵园管理所、桐梓山工农游击队指挥部旧址管理所、战斗英雄罗亮泗陈列馆管理所等正股级公益一类事业单位。</w:t>
      </w:r>
    </w:p>
    <w:p>
      <w:pPr>
        <w:spacing w:line="600" w:lineRule="exact"/>
        <w:ind w:firstLine="643" w:firstLineChars="200"/>
        <w:rPr>
          <w:rFonts w:ascii="仿宋" w:hAnsi="仿宋" w:eastAsia="仿宋" w:cs="仿宋"/>
          <w:sz w:val="32"/>
          <w:szCs w:val="32"/>
        </w:rPr>
      </w:pPr>
      <w:r>
        <w:rPr>
          <w:rFonts w:hint="eastAsia" w:ascii="楷体_GB2312" w:hAnsi="楷体_GB2312" w:eastAsia="楷体_GB2312" w:cs="楷体_GB2312"/>
          <w:b/>
          <w:sz w:val="32"/>
          <w:szCs w:val="32"/>
        </w:rPr>
        <w:t>（三）人员编制情况。</w:t>
      </w:r>
      <w:r>
        <w:rPr>
          <w:rFonts w:hint="eastAsia" w:ascii="仿宋" w:hAnsi="仿宋" w:eastAsia="仿宋" w:cs="宋体"/>
          <w:kern w:val="0"/>
          <w:sz w:val="32"/>
          <w:szCs w:val="32"/>
        </w:rPr>
        <w:t>衡南县红色教育基地服务中心定编21人，实有在编在岗人员</w:t>
      </w:r>
      <w:r>
        <w:rPr>
          <w:rFonts w:hint="eastAsia" w:ascii="仿宋" w:hAnsi="仿宋" w:eastAsia="仿宋" w:cs="仿宋"/>
          <w:kern w:val="0"/>
          <w:sz w:val="32"/>
          <w:szCs w:val="32"/>
        </w:rPr>
        <w:t>4人，无</w:t>
      </w:r>
      <w:r>
        <w:rPr>
          <w:rFonts w:hint="eastAsia" w:ascii="仿宋" w:hAnsi="仿宋" w:eastAsia="仿宋" w:cs="仿宋"/>
          <w:sz w:val="32"/>
          <w:szCs w:val="32"/>
        </w:rPr>
        <w:t>退休人员。</w:t>
      </w:r>
      <w:r>
        <w:rPr>
          <w:rFonts w:hint="eastAsia" w:ascii="仿宋" w:hAnsi="仿宋" w:eastAsia="仿宋" w:cs="宋体"/>
          <w:kern w:val="0"/>
          <w:sz w:val="32"/>
          <w:szCs w:val="32"/>
        </w:rPr>
        <w:t>归园管理所通过购买服务，有长期临聘人员11人。</w:t>
      </w:r>
    </w:p>
    <w:p>
      <w:pPr>
        <w:widowControl/>
        <w:wordWrap w:val="0"/>
        <w:spacing w:line="450" w:lineRule="atLeast"/>
        <w:ind w:firstLine="640" w:firstLineChars="200"/>
        <w:rPr>
          <w:rFonts w:ascii="黑体" w:hAnsi="黑体" w:eastAsia="黑体" w:cs="黑体"/>
          <w:bCs/>
          <w:kern w:val="0"/>
          <w:sz w:val="32"/>
          <w:szCs w:val="32"/>
        </w:rPr>
      </w:pPr>
      <w:r>
        <w:rPr>
          <w:rFonts w:hint="eastAsia" w:ascii="黑体" w:hAnsi="黑体" w:eastAsia="黑体" w:cs="黑体"/>
          <w:bCs/>
          <w:kern w:val="0"/>
          <w:sz w:val="32"/>
          <w:szCs w:val="32"/>
        </w:rPr>
        <w:t>二、部门整体支出管理及使用情况</w:t>
      </w:r>
    </w:p>
    <w:p>
      <w:pPr>
        <w:spacing w:line="600" w:lineRule="exact"/>
        <w:ind w:firstLine="643" w:firstLineChars="200"/>
        <w:rPr>
          <w:rFonts w:ascii="楷体" w:hAnsi="楷体" w:eastAsia="楷体" w:cs="楷体"/>
          <w:b/>
          <w:color w:val="000000" w:themeColor="text1"/>
          <w:sz w:val="32"/>
          <w:szCs w:val="32"/>
          <w14:textFill>
            <w14:solidFill>
              <w14:schemeClr w14:val="tx1"/>
            </w14:solidFill>
          </w14:textFill>
        </w:rPr>
      </w:pPr>
      <w:r>
        <w:rPr>
          <w:rFonts w:hint="eastAsia" w:ascii="楷体" w:hAnsi="楷体" w:eastAsia="楷体" w:cs="楷体"/>
          <w:b/>
          <w:color w:val="000000" w:themeColor="text1"/>
          <w:sz w:val="32"/>
          <w:szCs w:val="32"/>
          <w14:textFill>
            <w14:solidFill>
              <w14:schemeClr w14:val="tx1"/>
            </w14:solidFill>
          </w14:textFill>
        </w:rPr>
        <w:t>（一）2022年部门预算收支情况。</w:t>
      </w:r>
    </w:p>
    <w:p>
      <w:pPr>
        <w:spacing w:line="600" w:lineRule="exact"/>
        <w:ind w:firstLine="800" w:firstLineChars="250"/>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宋体"/>
          <w:color w:val="000000" w:themeColor="text1"/>
          <w:kern w:val="0"/>
          <w:sz w:val="32"/>
          <w:szCs w:val="32"/>
          <w14:textFill>
            <w14:solidFill>
              <w14:schemeClr w14:val="tx1"/>
            </w14:solidFill>
          </w14:textFill>
        </w:rPr>
        <w:t>按照综合预算的原则，所有收入和支出均纳入预算管理。2022年,衡南县红色教育基地服务中心年初预算为</w:t>
      </w:r>
      <w:r>
        <w:rPr>
          <w:rFonts w:hint="eastAsia" w:ascii="宋体" w:hAnsi="宋体" w:cs="宋体"/>
          <w:color w:val="000000" w:themeColor="text1"/>
          <w:sz w:val="32"/>
          <w:szCs w:val="32"/>
          <w14:textFill>
            <w14:solidFill>
              <w14:schemeClr w14:val="tx1"/>
            </w14:solidFill>
          </w14:textFill>
        </w:rPr>
        <w:t>30</w:t>
      </w:r>
      <w:r>
        <w:rPr>
          <w:rFonts w:hint="eastAsia" w:ascii="仿宋" w:hAnsi="仿宋" w:eastAsia="仿宋" w:cs="宋体"/>
          <w:color w:val="000000" w:themeColor="text1"/>
          <w:kern w:val="0"/>
          <w:sz w:val="32"/>
          <w:szCs w:val="32"/>
          <w14:textFill>
            <w14:solidFill>
              <w14:schemeClr w14:val="tx1"/>
            </w14:solidFill>
          </w14:textFill>
        </w:rPr>
        <w:t>万元，均为财政拨款</w:t>
      </w:r>
      <w:r>
        <w:rPr>
          <w:rFonts w:hint="eastAsia" w:ascii="宋体" w:hAnsi="宋体" w:cs="宋体"/>
          <w:color w:val="000000" w:themeColor="text1"/>
          <w:sz w:val="32"/>
          <w:szCs w:val="32"/>
          <w14:textFill>
            <w14:solidFill>
              <w14:schemeClr w14:val="tx1"/>
            </w14:solidFill>
          </w14:textFill>
        </w:rPr>
        <w:t>。</w:t>
      </w:r>
    </w:p>
    <w:p>
      <w:pPr>
        <w:pStyle w:val="5"/>
        <w:spacing w:line="360" w:lineRule="atLeast"/>
        <w:ind w:firstLine="600" w:firstLineChars="200"/>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2022年预算收入调整数为141.33万元，其中：</w:t>
      </w:r>
      <w:r>
        <w:rPr>
          <w:rFonts w:hint="eastAsia" w:ascii="仿宋" w:hAnsi="仿宋" w:eastAsia="仿宋" w:cs="仿宋"/>
          <w:color w:val="000000" w:themeColor="text1"/>
          <w:sz w:val="32"/>
          <w:szCs w:val="32"/>
          <w14:textFill>
            <w14:solidFill>
              <w14:schemeClr w14:val="tx1"/>
            </w14:solidFill>
          </w14:textFill>
        </w:rPr>
        <w:t>一般公共预算拔款资金141.33万元（其中：本级追加111.33万元，上级补助0万元,上年结转0万元。），</w:t>
      </w:r>
      <w:r>
        <w:rPr>
          <w:rFonts w:hint="eastAsia" w:ascii="仿宋" w:hAnsi="仿宋" w:eastAsia="仿宋"/>
          <w:color w:val="000000" w:themeColor="text1"/>
          <w:sz w:val="32"/>
          <w:szCs w:val="32"/>
          <w14:textFill>
            <w14:solidFill>
              <w14:schemeClr w14:val="tx1"/>
            </w14:solidFill>
          </w14:textFill>
        </w:rPr>
        <w:t>占收支总比100%；</w:t>
      </w:r>
      <w:r>
        <w:rPr>
          <w:rFonts w:hint="eastAsia" w:ascii="仿宋" w:hAnsi="仿宋" w:eastAsia="仿宋" w:cs="仿宋"/>
          <w:color w:val="000000" w:themeColor="text1"/>
          <w:sz w:val="32"/>
          <w:szCs w:val="32"/>
          <w14:textFill>
            <w14:solidFill>
              <w14:schemeClr w14:val="tx1"/>
            </w14:solidFill>
          </w14:textFill>
        </w:rPr>
        <w:t>政府性基金0万元，</w:t>
      </w:r>
      <w:r>
        <w:rPr>
          <w:rFonts w:hint="eastAsia" w:ascii="仿宋" w:hAnsi="仿宋" w:eastAsia="仿宋"/>
          <w:color w:val="000000" w:themeColor="text1"/>
          <w:sz w:val="32"/>
          <w:szCs w:val="32"/>
          <w14:textFill>
            <w14:solidFill>
              <w14:schemeClr w14:val="tx1"/>
            </w14:solidFill>
          </w14:textFill>
        </w:rPr>
        <w:t>占收支总比0%</w:t>
      </w:r>
      <w:r>
        <w:rPr>
          <w:rFonts w:hint="eastAsia" w:ascii="仿宋" w:hAnsi="仿宋" w:eastAsia="仿宋" w:cs="仿宋"/>
          <w:color w:val="000000" w:themeColor="text1"/>
          <w:sz w:val="32"/>
          <w:szCs w:val="32"/>
          <w14:textFill>
            <w14:solidFill>
              <w14:schemeClr w14:val="tx1"/>
            </w14:solidFill>
          </w14:textFill>
        </w:rPr>
        <w:t>；其他收入0万元，</w:t>
      </w:r>
      <w:r>
        <w:rPr>
          <w:rFonts w:hint="eastAsia" w:ascii="仿宋" w:hAnsi="仿宋" w:eastAsia="仿宋"/>
          <w:color w:val="000000" w:themeColor="text1"/>
          <w:sz w:val="32"/>
          <w:szCs w:val="32"/>
          <w14:textFill>
            <w14:solidFill>
              <w14:schemeClr w14:val="tx1"/>
            </w14:solidFill>
          </w14:textFill>
        </w:rPr>
        <w:t>占收支总比0%</w:t>
      </w:r>
      <w:r>
        <w:rPr>
          <w:rFonts w:hint="eastAsia" w:ascii="仿宋" w:hAnsi="仿宋" w:eastAsia="仿宋" w:cs="仿宋"/>
          <w:color w:val="000000" w:themeColor="text1"/>
          <w:sz w:val="30"/>
          <w:szCs w:val="30"/>
          <w14:textFill>
            <w14:solidFill>
              <w14:schemeClr w14:val="tx1"/>
            </w14:solidFill>
          </w14:textFill>
        </w:rPr>
        <w:t>。</w:t>
      </w:r>
    </w:p>
    <w:p>
      <w:pPr>
        <w:spacing w:line="600" w:lineRule="exact"/>
        <w:ind w:firstLine="643" w:firstLineChars="200"/>
        <w:rPr>
          <w:rFonts w:ascii="楷体" w:hAnsi="楷体" w:eastAsia="楷体" w:cs="楷体"/>
          <w:b/>
          <w:color w:val="000000" w:themeColor="text1"/>
          <w:sz w:val="32"/>
          <w:szCs w:val="32"/>
          <w14:textFill>
            <w14:solidFill>
              <w14:schemeClr w14:val="tx1"/>
            </w14:solidFill>
          </w14:textFill>
        </w:rPr>
      </w:pPr>
      <w:r>
        <w:rPr>
          <w:rFonts w:hint="eastAsia" w:ascii="楷体" w:hAnsi="楷体" w:eastAsia="楷体" w:cs="楷体"/>
          <w:b/>
          <w:color w:val="000000" w:themeColor="text1"/>
          <w:sz w:val="32"/>
          <w:szCs w:val="32"/>
          <w14:textFill>
            <w14:solidFill>
              <w14:schemeClr w14:val="tx1"/>
            </w14:solidFill>
          </w14:textFill>
        </w:rPr>
        <w:t>（二）2022年部门决算情况</w:t>
      </w:r>
    </w:p>
    <w:p>
      <w:pPr>
        <w:pStyle w:val="5"/>
        <w:spacing w:line="360" w:lineRule="atLeast"/>
        <w:ind w:firstLine="803" w:firstLineChars="25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1.决算资金</w:t>
      </w:r>
      <w:r>
        <w:rPr>
          <w:rFonts w:hint="eastAsia" w:ascii="仿宋" w:hAnsi="仿宋" w:eastAsia="仿宋"/>
          <w:b/>
          <w:color w:val="000000" w:themeColor="text1"/>
          <w:sz w:val="32"/>
          <w:szCs w:val="32"/>
          <w14:textFill>
            <w14:solidFill>
              <w14:schemeClr w14:val="tx1"/>
            </w14:solidFill>
          </w14:textFill>
        </w:rPr>
        <w:t>来源情况。</w:t>
      </w:r>
      <w:r>
        <w:rPr>
          <w:rFonts w:hint="eastAsia" w:ascii="仿宋" w:hAnsi="仿宋" w:eastAsia="仿宋" w:cs="仿宋"/>
          <w:color w:val="000000" w:themeColor="text1"/>
          <w:sz w:val="32"/>
          <w:szCs w:val="32"/>
          <w14:textFill>
            <w14:solidFill>
              <w14:schemeClr w14:val="tx1"/>
            </w14:solidFill>
          </w14:textFill>
        </w:rPr>
        <w:t>衡南县红色教育基地服务中心2022年决算资金来源共141.33万元，其中：一般公共预算拔款资金141.33万元（其中：本级追加111.33万元，上级补助0万元。），</w:t>
      </w:r>
      <w:r>
        <w:rPr>
          <w:rFonts w:hint="eastAsia" w:ascii="仿宋" w:hAnsi="仿宋" w:eastAsia="仿宋"/>
          <w:color w:val="000000" w:themeColor="text1"/>
          <w:sz w:val="32"/>
          <w:szCs w:val="32"/>
          <w14:textFill>
            <w14:solidFill>
              <w14:schemeClr w14:val="tx1"/>
            </w14:solidFill>
          </w14:textFill>
        </w:rPr>
        <w:t>占收支总比100%；</w:t>
      </w:r>
      <w:r>
        <w:rPr>
          <w:rFonts w:hint="eastAsia" w:ascii="仿宋" w:hAnsi="仿宋" w:eastAsia="仿宋" w:cs="仿宋"/>
          <w:color w:val="000000" w:themeColor="text1"/>
          <w:sz w:val="32"/>
          <w:szCs w:val="32"/>
          <w14:textFill>
            <w14:solidFill>
              <w14:schemeClr w14:val="tx1"/>
            </w14:solidFill>
          </w14:textFill>
        </w:rPr>
        <w:t>政府性基金0万元，</w:t>
      </w:r>
      <w:r>
        <w:rPr>
          <w:rFonts w:hint="eastAsia" w:ascii="仿宋" w:hAnsi="仿宋" w:eastAsia="仿宋"/>
          <w:color w:val="000000" w:themeColor="text1"/>
          <w:sz w:val="32"/>
          <w:szCs w:val="32"/>
          <w14:textFill>
            <w14:solidFill>
              <w14:schemeClr w14:val="tx1"/>
            </w14:solidFill>
          </w14:textFill>
        </w:rPr>
        <w:t>占收支总比0%</w:t>
      </w:r>
      <w:r>
        <w:rPr>
          <w:rFonts w:hint="eastAsia" w:ascii="仿宋" w:hAnsi="仿宋" w:eastAsia="仿宋" w:cs="仿宋"/>
          <w:color w:val="000000" w:themeColor="text1"/>
          <w:sz w:val="32"/>
          <w:szCs w:val="32"/>
          <w14:textFill>
            <w14:solidFill>
              <w14:schemeClr w14:val="tx1"/>
            </w14:solidFill>
          </w14:textFill>
        </w:rPr>
        <w:t>；其他收入0万元，</w:t>
      </w:r>
      <w:r>
        <w:rPr>
          <w:rFonts w:hint="eastAsia" w:ascii="仿宋" w:hAnsi="仿宋" w:eastAsia="仿宋"/>
          <w:color w:val="000000" w:themeColor="text1"/>
          <w:sz w:val="32"/>
          <w:szCs w:val="32"/>
          <w14:textFill>
            <w14:solidFill>
              <w14:schemeClr w14:val="tx1"/>
            </w14:solidFill>
          </w14:textFill>
        </w:rPr>
        <w:t>占收支总比0%。</w:t>
      </w:r>
    </w:p>
    <w:p>
      <w:pPr>
        <w:spacing w:line="600" w:lineRule="exact"/>
        <w:ind w:firstLine="643"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2.决算</w:t>
      </w:r>
      <w:r>
        <w:rPr>
          <w:rFonts w:hint="eastAsia" w:ascii="仿宋" w:hAnsi="仿宋" w:eastAsia="仿宋"/>
          <w:b/>
          <w:color w:val="000000" w:themeColor="text1"/>
          <w:sz w:val="32"/>
          <w:szCs w:val="32"/>
          <w14:textFill>
            <w14:solidFill>
              <w14:schemeClr w14:val="tx1"/>
            </w14:solidFill>
          </w14:textFill>
        </w:rPr>
        <w:t>资金使用情况。</w:t>
      </w:r>
      <w:r>
        <w:rPr>
          <w:rFonts w:hint="eastAsia" w:ascii="仿宋" w:hAnsi="仿宋" w:eastAsia="仿宋" w:cs="仿宋"/>
          <w:color w:val="000000" w:themeColor="text1"/>
          <w:sz w:val="32"/>
          <w:szCs w:val="32"/>
          <w14:textFill>
            <w14:solidFill>
              <w14:schemeClr w14:val="tx1"/>
            </w14:solidFill>
          </w14:textFill>
        </w:rPr>
        <w:t>衡南县红色教育基地服务中心2022年度支出合计141.33万元。其中：基本支出1.9万元，占总支出的1.35％；项目支出139.43万元，占总支出的98.65％。</w:t>
      </w:r>
    </w:p>
    <w:p>
      <w:pPr>
        <w:spacing w:line="600" w:lineRule="exact"/>
        <w:ind w:firstLine="643" w:firstLineChars="200"/>
        <w:rPr>
          <w:rFonts w:ascii="楷体" w:hAnsi="楷体" w:eastAsia="楷体" w:cs="楷体"/>
          <w:b/>
          <w:color w:val="000000" w:themeColor="text1"/>
          <w:sz w:val="32"/>
          <w:szCs w:val="32"/>
          <w14:textFill>
            <w14:solidFill>
              <w14:schemeClr w14:val="tx1"/>
            </w14:solidFill>
          </w14:textFill>
        </w:rPr>
      </w:pPr>
      <w:r>
        <w:rPr>
          <w:rFonts w:hint="eastAsia" w:ascii="楷体" w:hAnsi="楷体" w:eastAsia="楷体" w:cs="楷体"/>
          <w:b/>
          <w:color w:val="000000" w:themeColor="text1"/>
          <w:sz w:val="32"/>
          <w:szCs w:val="32"/>
          <w14:textFill>
            <w14:solidFill>
              <w14:schemeClr w14:val="tx1"/>
            </w14:solidFill>
          </w14:textFill>
        </w:rPr>
        <w:t>（三）2022年决算支出分类情况</w:t>
      </w:r>
    </w:p>
    <w:p>
      <w:pPr>
        <w:spacing w:line="600" w:lineRule="exact"/>
        <w:ind w:firstLine="643" w:firstLineChars="200"/>
        <w:rPr>
          <w:color w:val="000000" w:themeColor="text1"/>
          <w14:textFill>
            <w14:solidFill>
              <w14:schemeClr w14:val="tx1"/>
            </w14:solidFill>
          </w14:textFill>
        </w:rPr>
      </w:pPr>
      <w:r>
        <w:rPr>
          <w:rFonts w:hint="eastAsia" w:ascii="楷体" w:hAnsi="楷体" w:eastAsia="楷体" w:cs="楷体"/>
          <w:b/>
          <w:color w:val="000000" w:themeColor="text1"/>
          <w:sz w:val="32"/>
          <w:szCs w:val="32"/>
          <w14:textFill>
            <w14:solidFill>
              <w14:schemeClr w14:val="tx1"/>
            </w14:solidFill>
          </w14:textFill>
        </w:rPr>
        <w:t>1.基本支出情况。</w:t>
      </w:r>
      <w:r>
        <w:rPr>
          <w:rFonts w:hint="eastAsia" w:ascii="仿宋" w:hAnsi="仿宋" w:eastAsia="仿宋" w:cs="仿宋"/>
          <w:color w:val="000000" w:themeColor="text1"/>
          <w:sz w:val="32"/>
          <w:szCs w:val="32"/>
          <w14:textFill>
            <w14:solidFill>
              <w14:schemeClr w14:val="tx1"/>
            </w14:solidFill>
          </w14:textFill>
        </w:rPr>
        <w:t>2022年度用于保障衡南县红色教育基地服务中心正常运转的日常支出0万元。</w:t>
      </w:r>
      <w:r>
        <w:rPr>
          <w:rFonts w:hint="eastAsia" w:ascii="仿宋" w:hAnsi="仿宋" w:eastAsia="仿宋"/>
          <w:color w:val="000000" w:themeColor="text1"/>
          <w:sz w:val="32"/>
          <w:szCs w:val="32"/>
          <w14:textFill>
            <w14:solidFill>
              <w14:schemeClr w14:val="tx1"/>
            </w14:solidFill>
          </w14:textFill>
        </w:rPr>
        <w:t>包括基本工资、津贴补贴等人员经费支出0万元，占基本支出的0％；</w:t>
      </w:r>
    </w:p>
    <w:p>
      <w:pPr>
        <w:ind w:firstLine="640" w:firstLineChars="200"/>
        <w:rPr>
          <w:rFonts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办公费、印刷费、水电费、办公设备购置等日常公用经费支出1.9万元，占基本支出的1.35％；</w:t>
      </w:r>
    </w:p>
    <w:p>
      <w:pPr>
        <w:pStyle w:val="5"/>
        <w:spacing w:line="360" w:lineRule="atLeast"/>
        <w:rPr>
          <w:rFonts w:ascii="仿宋" w:hAnsi="仿宋" w:eastAsia="仿宋" w:cs="仿宋"/>
          <w:b/>
          <w:color w:val="000000" w:themeColor="text1"/>
          <w:kern w:val="2"/>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 xml:space="preserve">   </w:t>
      </w:r>
      <w:r>
        <w:rPr>
          <w:rFonts w:hint="eastAsia" w:ascii="仿宋" w:hAnsi="仿宋" w:eastAsia="仿宋"/>
          <w:b/>
          <w:color w:val="000000" w:themeColor="text1"/>
          <w:sz w:val="32"/>
          <w:szCs w:val="32"/>
          <w14:textFill>
            <w14:solidFill>
              <w14:schemeClr w14:val="tx1"/>
            </w14:solidFill>
          </w14:textFill>
        </w:rPr>
        <w:t>2.项目支出情况。</w:t>
      </w:r>
      <w:r>
        <w:rPr>
          <w:rFonts w:hint="eastAsia" w:ascii="仿宋" w:hAnsi="仿宋" w:eastAsia="仿宋" w:cs="仿宋"/>
          <w:color w:val="000000" w:themeColor="text1"/>
          <w:sz w:val="30"/>
          <w:szCs w:val="30"/>
          <w14:textFill>
            <w14:solidFill>
              <w14:schemeClr w14:val="tx1"/>
            </w14:solidFill>
          </w14:textFill>
        </w:rPr>
        <w:t>项目支出主要是保障归园正常运转、完善归园基础设施设备、保护与传承红色资源等工作而发生的支出。 2022年项目支出139.43万元，其项目支出主要有：</w:t>
      </w:r>
      <w:r>
        <w:rPr>
          <w:rFonts w:hint="eastAsia" w:ascii="仿宋" w:hAnsi="仿宋" w:eastAsia="仿宋" w:cs="仿宋"/>
          <w:color w:val="000000" w:themeColor="text1"/>
          <w:kern w:val="2"/>
          <w:sz w:val="32"/>
          <w:szCs w:val="32"/>
          <w14:textFill>
            <w14:solidFill>
              <w14:schemeClr w14:val="tx1"/>
            </w14:solidFill>
          </w14:textFill>
        </w:rPr>
        <w:t>归园景区绿化及通道绿化养护、归园新建沟渠及泵房、归园运行水电费、</w:t>
      </w:r>
      <w:r>
        <w:rPr>
          <w:rFonts w:hint="eastAsia" w:ascii="仿宋" w:hAnsi="仿宋" w:eastAsia="仿宋" w:cs="仿宋"/>
          <w:color w:val="000000" w:themeColor="text1"/>
          <w:sz w:val="32"/>
          <w:szCs w:val="32"/>
          <w14:textFill>
            <w14:solidFill>
              <w14:schemeClr w14:val="tx1"/>
            </w14:solidFill>
          </w14:textFill>
        </w:rPr>
        <w:t>归园智慧系统（监控系统）建设、办公设施设备添置等。</w:t>
      </w:r>
    </w:p>
    <w:p>
      <w:pPr>
        <w:spacing w:line="600" w:lineRule="exact"/>
        <w:ind w:firstLine="643" w:firstLineChars="200"/>
        <w:rPr>
          <w:rFonts w:cs="仿宋" w:asciiTheme="minorEastAsia" w:hAnsiTheme="minorEastAsia" w:eastAsiaTheme="minorEastAsia"/>
          <w:b/>
          <w:color w:val="000000" w:themeColor="text1"/>
          <w:sz w:val="30"/>
          <w:szCs w:val="30"/>
          <w14:textFill>
            <w14:solidFill>
              <w14:schemeClr w14:val="tx1"/>
            </w14:solidFill>
          </w14:textFill>
        </w:rPr>
      </w:pPr>
      <w:r>
        <w:rPr>
          <w:rFonts w:hint="eastAsia" w:ascii="楷体" w:hAnsi="楷体" w:eastAsia="楷体" w:cs="楷体"/>
          <w:b/>
          <w:color w:val="000000" w:themeColor="text1"/>
          <w:sz w:val="32"/>
          <w:szCs w:val="32"/>
          <w14:textFill>
            <w14:solidFill>
              <w14:schemeClr w14:val="tx1"/>
            </w14:solidFill>
          </w14:textFill>
        </w:rPr>
        <w:t>（四）</w:t>
      </w:r>
      <w:r>
        <w:rPr>
          <w:rFonts w:hint="eastAsia" w:cs="仿宋" w:asciiTheme="minorEastAsia" w:hAnsiTheme="minorEastAsia" w:eastAsiaTheme="minorEastAsia"/>
          <w:b/>
          <w:color w:val="000000" w:themeColor="text1"/>
          <w:sz w:val="30"/>
          <w:szCs w:val="30"/>
          <w14:textFill>
            <w14:solidFill>
              <w14:schemeClr w14:val="tx1"/>
            </w14:solidFill>
          </w14:textFill>
        </w:rPr>
        <w:t>“三公”经费支出使用和管理情况</w:t>
      </w:r>
    </w:p>
    <w:p>
      <w:pPr>
        <w:pStyle w:val="5"/>
        <w:spacing w:line="360" w:lineRule="atLeast"/>
        <w:ind w:firstLine="643" w:firstLineChars="200"/>
        <w:rPr>
          <w:rFonts w:ascii="仿宋" w:hAnsi="仿宋" w:eastAsia="仿宋"/>
          <w:color w:val="000000" w:themeColor="text1"/>
          <w:sz w:val="32"/>
          <w:szCs w:val="32"/>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1. 因公出国（境）经费。</w:t>
      </w:r>
      <w:r>
        <w:rPr>
          <w:rFonts w:hint="eastAsia" w:ascii="仿宋" w:hAnsi="仿宋" w:eastAsia="仿宋"/>
          <w:color w:val="000000" w:themeColor="text1"/>
          <w:sz w:val="32"/>
          <w:szCs w:val="32"/>
          <w14:textFill>
            <w14:solidFill>
              <w14:schemeClr w14:val="tx1"/>
            </w14:solidFill>
          </w14:textFill>
        </w:rPr>
        <w:t>2022年无安排因公出国(境)经费。</w:t>
      </w:r>
    </w:p>
    <w:p>
      <w:pPr>
        <w:widowControl/>
        <w:shd w:val="clear" w:color="auto" w:fill="FFFFFF"/>
        <w:spacing w:line="450" w:lineRule="atLeast"/>
        <w:ind w:firstLine="643" w:firstLineChars="200"/>
        <w:jc w:val="left"/>
        <w:rPr>
          <w:rFonts w:ascii="仿宋" w:hAnsi="仿宋" w:eastAsia="仿宋" w:cs="宋体"/>
          <w:color w:val="000000" w:themeColor="text1"/>
          <w:kern w:val="0"/>
          <w:sz w:val="32"/>
          <w:szCs w:val="32"/>
          <w14:textFill>
            <w14:solidFill>
              <w14:schemeClr w14:val="tx1"/>
            </w14:solidFill>
          </w14:textFill>
        </w:rPr>
      </w:pPr>
      <w:r>
        <w:rPr>
          <w:rFonts w:hint="eastAsia" w:ascii="仿宋" w:hAnsi="仿宋" w:eastAsia="仿宋" w:cs="宋体"/>
          <w:b/>
          <w:color w:val="000000" w:themeColor="text1"/>
          <w:kern w:val="0"/>
          <w:sz w:val="32"/>
          <w:szCs w:val="32"/>
          <w14:textFill>
            <w14:solidFill>
              <w14:schemeClr w14:val="tx1"/>
            </w14:solidFill>
          </w14:textFill>
        </w:rPr>
        <w:t>2.公务接待费。</w:t>
      </w:r>
      <w:r>
        <w:rPr>
          <w:rFonts w:hint="eastAsia" w:ascii="仿宋" w:hAnsi="仿宋" w:eastAsia="仿宋" w:cs="宋体"/>
          <w:color w:val="000000" w:themeColor="text1"/>
          <w:kern w:val="0"/>
          <w:sz w:val="32"/>
          <w:szCs w:val="32"/>
          <w14:textFill>
            <w14:solidFill>
              <w14:schemeClr w14:val="tx1"/>
            </w14:solidFill>
          </w14:textFill>
        </w:rPr>
        <w:t>2022年，我中心严格执行国家、省、市、县的相关规定，厉行节约，严控“三公”经费的支出。2022年公务接待费0.16万元，主要用于接待国安部门领导等工作餐支出。</w:t>
      </w:r>
    </w:p>
    <w:p>
      <w:pPr>
        <w:widowControl/>
        <w:shd w:val="clear" w:color="auto" w:fill="FFFFFF"/>
        <w:spacing w:line="450" w:lineRule="atLeast"/>
        <w:ind w:firstLine="643" w:firstLineChars="200"/>
        <w:jc w:val="left"/>
        <w:rPr>
          <w:rFonts w:ascii="仿宋" w:hAnsi="仿宋" w:eastAsia="仿宋" w:cs="宋体"/>
          <w:color w:val="000000" w:themeColor="text1"/>
          <w:kern w:val="0"/>
          <w:sz w:val="32"/>
          <w:szCs w:val="32"/>
          <w14:textFill>
            <w14:solidFill>
              <w14:schemeClr w14:val="tx1"/>
            </w14:solidFill>
          </w14:textFill>
        </w:rPr>
      </w:pPr>
      <w:r>
        <w:rPr>
          <w:rFonts w:hint="eastAsia" w:ascii="仿宋" w:hAnsi="仿宋" w:eastAsia="仿宋" w:cs="宋体"/>
          <w:b/>
          <w:color w:val="000000" w:themeColor="text1"/>
          <w:kern w:val="0"/>
          <w:sz w:val="32"/>
          <w:szCs w:val="32"/>
          <w14:textFill>
            <w14:solidFill>
              <w14:schemeClr w14:val="tx1"/>
            </w14:solidFill>
          </w14:textFill>
        </w:rPr>
        <w:t>3. 公务用车购置及运行费。</w:t>
      </w:r>
      <w:r>
        <w:rPr>
          <w:rFonts w:hint="eastAsia" w:ascii="仿宋" w:hAnsi="仿宋" w:eastAsia="仿宋" w:cs="宋体"/>
          <w:color w:val="000000" w:themeColor="text1"/>
          <w:kern w:val="0"/>
          <w:sz w:val="32"/>
          <w:szCs w:val="32"/>
          <w14:textFill>
            <w14:solidFill>
              <w14:schemeClr w14:val="tx1"/>
            </w14:solidFill>
          </w14:textFill>
        </w:rPr>
        <w:t>2022年，</w:t>
      </w:r>
      <w:r>
        <w:rPr>
          <w:rFonts w:hint="eastAsia" w:ascii="仿宋" w:hAnsi="仿宋" w:eastAsia="仿宋" w:cs="仿宋"/>
          <w:color w:val="000000" w:themeColor="text1"/>
          <w:sz w:val="32"/>
          <w:szCs w:val="32"/>
          <w14:textFill>
            <w14:solidFill>
              <w14:schemeClr w14:val="tx1"/>
            </w14:solidFill>
          </w14:textFill>
        </w:rPr>
        <w:t>衡南县红色教育基地服务中心</w:t>
      </w:r>
      <w:r>
        <w:rPr>
          <w:rFonts w:hint="eastAsia" w:ascii="仿宋" w:hAnsi="仿宋" w:eastAsia="仿宋" w:cs="宋体"/>
          <w:color w:val="000000" w:themeColor="text1"/>
          <w:kern w:val="0"/>
          <w:sz w:val="32"/>
          <w:szCs w:val="32"/>
          <w14:textFill>
            <w14:solidFill>
              <w14:schemeClr w14:val="tx1"/>
            </w14:solidFill>
          </w14:textFill>
        </w:rPr>
        <w:t>本级现有车辆0辆，使用公务用车平台公车运行费0万元。</w:t>
      </w:r>
    </w:p>
    <w:p>
      <w:pPr>
        <w:ind w:firstLine="640" w:firstLineChars="200"/>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kern w:val="0"/>
          <w:sz w:val="32"/>
          <w:szCs w:val="32"/>
          <w14:textFill>
            <w14:solidFill>
              <w14:schemeClr w14:val="tx1"/>
            </w14:solidFill>
          </w14:textFill>
        </w:rPr>
        <w:t>三、</w:t>
      </w:r>
      <w:r>
        <w:rPr>
          <w:rFonts w:hint="eastAsia" w:ascii="黑体" w:hAnsi="黑体" w:eastAsia="黑体" w:cs="黑体"/>
          <w:color w:val="000000" w:themeColor="text1"/>
          <w:sz w:val="32"/>
          <w:szCs w:val="32"/>
          <w14:textFill>
            <w14:solidFill>
              <w14:schemeClr w14:val="tx1"/>
            </w14:solidFill>
          </w14:textFill>
        </w:rPr>
        <w:t>部门整体支出绩效评价情况</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对照有关规定，我中心从预算编制、预算配置、预算执行和管理等方面对2022年部门整体支出绩效开展了评价，具体情况如下：</w:t>
      </w:r>
    </w:p>
    <w:p>
      <w:pPr>
        <w:spacing w:line="600" w:lineRule="exact"/>
        <w:ind w:firstLine="602" w:firstLineChars="200"/>
        <w:rPr>
          <w:rFonts w:cs="仿宋" w:asciiTheme="minorEastAsia" w:hAnsiTheme="minorEastAsia" w:eastAsiaTheme="minorEastAsia"/>
          <w:b/>
          <w:color w:val="000000" w:themeColor="text1"/>
          <w:sz w:val="30"/>
          <w:szCs w:val="30"/>
          <w14:textFill>
            <w14:solidFill>
              <w14:schemeClr w14:val="tx1"/>
            </w14:solidFill>
          </w14:textFill>
        </w:rPr>
      </w:pPr>
      <w:r>
        <w:rPr>
          <w:rFonts w:hint="eastAsia" w:cs="仿宋" w:asciiTheme="minorEastAsia" w:hAnsiTheme="minorEastAsia" w:eastAsiaTheme="minorEastAsia"/>
          <w:b/>
          <w:color w:val="000000" w:themeColor="text1"/>
          <w:sz w:val="30"/>
          <w:szCs w:val="30"/>
          <w14:textFill>
            <w14:solidFill>
              <w14:schemeClr w14:val="tx1"/>
            </w14:solidFill>
          </w14:textFill>
        </w:rPr>
        <w:t>（一）预算配置</w:t>
      </w:r>
    </w:p>
    <w:p>
      <w:pPr>
        <w:spacing w:line="600" w:lineRule="exact"/>
        <w:ind w:firstLine="640" w:firstLineChars="200"/>
        <w:rPr>
          <w:rFonts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 xml:space="preserve">预算编制人数0人，在职人员0人，年中退休0人，在编制控制范围内。 </w:t>
      </w:r>
    </w:p>
    <w:p>
      <w:pPr>
        <w:spacing w:line="600" w:lineRule="exact"/>
        <w:ind w:firstLine="602" w:firstLineChars="200"/>
        <w:rPr>
          <w:rFonts w:cs="仿宋" w:asciiTheme="minorEastAsia" w:hAnsiTheme="minorEastAsia" w:eastAsiaTheme="minorEastAsia"/>
          <w:b/>
          <w:color w:val="000000" w:themeColor="text1"/>
          <w:sz w:val="30"/>
          <w:szCs w:val="30"/>
          <w14:textFill>
            <w14:solidFill>
              <w14:schemeClr w14:val="tx1"/>
            </w14:solidFill>
          </w14:textFill>
        </w:rPr>
      </w:pPr>
      <w:r>
        <w:rPr>
          <w:rFonts w:hint="eastAsia" w:cs="仿宋" w:asciiTheme="minorEastAsia" w:hAnsiTheme="minorEastAsia" w:eastAsiaTheme="minorEastAsia"/>
          <w:b/>
          <w:color w:val="000000" w:themeColor="text1"/>
          <w:sz w:val="30"/>
          <w:szCs w:val="30"/>
          <w14:textFill>
            <w14:solidFill>
              <w14:schemeClr w14:val="tx1"/>
            </w14:solidFill>
          </w14:textFill>
        </w:rPr>
        <w:t>（二）预算执行</w:t>
      </w:r>
    </w:p>
    <w:p>
      <w:pPr>
        <w:spacing w:line="600" w:lineRule="exact"/>
        <w:ind w:firstLine="600" w:firstLineChars="200"/>
        <w:rPr>
          <w:rFonts w:ascii="仿宋" w:hAnsi="仿宋" w:eastAsia="仿宋"/>
          <w:color w:val="000000" w:themeColor="text1"/>
          <w:sz w:val="32"/>
          <w:szCs w:val="32"/>
          <w14:textFill>
            <w14:solidFill>
              <w14:schemeClr w14:val="tx1"/>
            </w14:solidFill>
          </w14:textFill>
        </w:rPr>
      </w:pPr>
      <w:r>
        <w:rPr>
          <w:rFonts w:hint="eastAsia" w:cs="仿宋" w:asciiTheme="minorEastAsia" w:hAnsiTheme="minorEastAsia" w:eastAsiaTheme="minorEastAsia"/>
          <w:color w:val="000000" w:themeColor="text1"/>
          <w:sz w:val="30"/>
          <w:szCs w:val="30"/>
          <w14:textFill>
            <w14:solidFill>
              <w14:schemeClr w14:val="tx1"/>
            </w14:solidFill>
          </w14:textFill>
        </w:rPr>
        <w:t>2</w:t>
      </w:r>
      <w:r>
        <w:rPr>
          <w:rFonts w:hint="eastAsia" w:ascii="仿宋" w:hAnsi="仿宋" w:eastAsia="仿宋"/>
          <w:color w:val="000000" w:themeColor="text1"/>
          <w:sz w:val="32"/>
          <w:szCs w:val="32"/>
          <w14:textFill>
            <w14:solidFill>
              <w14:schemeClr w14:val="tx1"/>
            </w14:solidFill>
          </w14:textFill>
        </w:rPr>
        <w:t>022年支出决算为</w:t>
      </w:r>
      <w:r>
        <w:rPr>
          <w:rFonts w:hint="eastAsia" w:ascii="仿宋" w:hAnsi="仿宋" w:eastAsia="仿宋" w:cs="仿宋"/>
          <w:color w:val="000000" w:themeColor="text1"/>
          <w:sz w:val="32"/>
          <w:szCs w:val="32"/>
          <w14:textFill>
            <w14:solidFill>
              <w14:schemeClr w14:val="tx1"/>
            </w14:solidFill>
          </w14:textFill>
        </w:rPr>
        <w:t>141.33</w:t>
      </w:r>
      <w:r>
        <w:rPr>
          <w:rFonts w:hint="eastAsia" w:ascii="仿宋" w:hAnsi="仿宋" w:eastAsia="仿宋"/>
          <w:color w:val="000000" w:themeColor="text1"/>
          <w:sz w:val="32"/>
          <w:szCs w:val="32"/>
          <w14:textFill>
            <w14:solidFill>
              <w14:schemeClr w14:val="tx1"/>
            </w14:solidFill>
          </w14:textFill>
        </w:rPr>
        <w:t>万元，为全年预算的100%全部执行到位。“三公经费”实际支出0.16万元，完全控制在年初预算内，并且逐年递减。</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（三）预算管理</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2022年，我中心主要从以下几个方面加强预算管理：</w:t>
      </w:r>
    </w:p>
    <w:p>
      <w:pPr>
        <w:spacing w:line="600" w:lineRule="exact"/>
        <w:ind w:firstLine="643" w:firstLineChars="200"/>
        <w:rPr>
          <w:rFonts w:ascii="仿宋" w:hAnsi="仿宋" w:eastAsia="仿宋"/>
          <w:sz w:val="32"/>
          <w:szCs w:val="32"/>
        </w:rPr>
      </w:pPr>
      <w:r>
        <w:rPr>
          <w:rFonts w:hint="eastAsia" w:ascii="仿宋" w:hAnsi="仿宋" w:eastAsia="仿宋"/>
          <w:b/>
          <w:bCs/>
          <w:sz w:val="32"/>
          <w:szCs w:val="32"/>
        </w:rPr>
        <w:t>1.进一步规范财务管理。</w:t>
      </w:r>
      <w:r>
        <w:rPr>
          <w:rFonts w:hint="eastAsia" w:ascii="仿宋" w:hAnsi="仿宋" w:eastAsia="仿宋"/>
          <w:sz w:val="32"/>
          <w:szCs w:val="32"/>
        </w:rPr>
        <w:t>今年，根据中央八项规定有关精神以及财务管理方面的法律、法规和审计等部门的意见，我中心对财务管理制度进一步进行了完善。同时，在财务开支把关方面认真执行相关文件并严格财务开支审批程序，加强对差旅费、会议费、接待费等各项开支的管理。重点保障日常运转及重点工作的需要，大力压缩一般性支出，提高财政资金使用效益。</w:t>
      </w:r>
    </w:p>
    <w:p>
      <w:pPr>
        <w:spacing w:line="600" w:lineRule="exact"/>
        <w:ind w:firstLine="643" w:firstLineChars="200"/>
        <w:rPr>
          <w:rFonts w:ascii="仿宋" w:hAnsi="仿宋" w:eastAsia="仿宋"/>
          <w:sz w:val="32"/>
          <w:szCs w:val="32"/>
        </w:rPr>
      </w:pPr>
      <w:r>
        <w:rPr>
          <w:rFonts w:hint="eastAsia" w:ascii="仿宋" w:hAnsi="仿宋" w:eastAsia="仿宋"/>
          <w:b/>
          <w:bCs/>
          <w:sz w:val="32"/>
          <w:szCs w:val="32"/>
        </w:rPr>
        <w:t>2.依法依规公开部门预决算。</w:t>
      </w:r>
      <w:r>
        <w:rPr>
          <w:rFonts w:hint="eastAsia" w:ascii="仿宋" w:hAnsi="仿宋" w:eastAsia="仿宋"/>
          <w:sz w:val="32"/>
          <w:szCs w:val="32"/>
        </w:rPr>
        <w:t>根据全县部门预决算公开工作统一安排部署，我中心已在衡南县党政门户网站公开了2022年部门预算和“三公”经费预算，社会反响良好，圆满完成了“三公”经费预算公开工作。</w:t>
      </w:r>
    </w:p>
    <w:p>
      <w:pPr>
        <w:spacing w:line="600" w:lineRule="exact"/>
        <w:ind w:firstLine="643" w:firstLineChars="200"/>
        <w:rPr>
          <w:rFonts w:ascii="仿宋" w:hAnsi="仿宋" w:eastAsia="仿宋"/>
          <w:sz w:val="32"/>
          <w:szCs w:val="32"/>
        </w:rPr>
      </w:pPr>
      <w:r>
        <w:rPr>
          <w:rFonts w:hint="eastAsia" w:ascii="仿宋" w:hAnsi="仿宋" w:eastAsia="仿宋"/>
          <w:b/>
          <w:bCs/>
          <w:sz w:val="32"/>
          <w:szCs w:val="32"/>
        </w:rPr>
        <w:t>3.进一步加强固定资产管理。</w:t>
      </w:r>
      <w:r>
        <w:rPr>
          <w:rFonts w:hint="eastAsia" w:ascii="仿宋" w:hAnsi="仿宋" w:eastAsia="仿宋"/>
          <w:sz w:val="32"/>
          <w:szCs w:val="32"/>
        </w:rPr>
        <w:t>我中心对所属资产进行了较为全面的清查，按资产分类登记，做到账实相符。</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（四）职责履行情况</w:t>
      </w:r>
    </w:p>
    <w:p>
      <w:pPr>
        <w:spacing w:line="540" w:lineRule="exact"/>
        <w:ind w:firstLine="640" w:firstLineChars="200"/>
        <w:textAlignment w:val="baseline"/>
        <w:rPr>
          <w:rFonts w:ascii="仿宋_GB2312" w:eastAsia="仿宋_GB2312" w:cs="仿宋_GB2312"/>
          <w:color w:val="000000"/>
          <w:sz w:val="31"/>
          <w:szCs w:val="31"/>
        </w:rPr>
      </w:pPr>
      <w:r>
        <w:rPr>
          <w:rFonts w:hint="eastAsia" w:ascii="仿宋_GB2312" w:hAnsi="仿宋_GB2312" w:eastAsia="仿宋_GB2312" w:cs="仿宋_GB2312"/>
          <w:sz w:val="32"/>
          <w:szCs w:val="32"/>
        </w:rPr>
        <w:t>2022年，衡南县红色教育基地服务中心在县委县政府的坚强领导下，在市国安局、市文旅广体局、市退役军人事务的悉心指导下，</w:t>
      </w:r>
      <w:r>
        <w:rPr>
          <w:rFonts w:hint="eastAsia" w:ascii="仿宋_GB2312" w:eastAsia="仿宋_GB2312" w:cs="仿宋_GB2312"/>
          <w:color w:val="000000"/>
          <w:sz w:val="31"/>
          <w:szCs w:val="31"/>
        </w:rPr>
        <w:t>紧扣“四区一花园”战略和乡村振兴目标，着力破解红色资源保护与利用领域重点难点问题，大力推动红色资源</w:t>
      </w:r>
      <w:r>
        <w:rPr>
          <w:rFonts w:hint="eastAsia" w:ascii="仿宋_GB2312" w:eastAsia="仿宋_GB2312" w:cs="仿宋_GB2312"/>
          <w:color w:val="000000"/>
          <w:sz w:val="31"/>
          <w:szCs w:val="31"/>
          <w:lang w:val="zh-CN"/>
        </w:rPr>
        <w:t>各领域、多方位、全链条深度融合发展，</w:t>
      </w:r>
      <w:r>
        <w:rPr>
          <w:rFonts w:hint="eastAsia" w:ascii="仿宋_GB2312" w:eastAsia="仿宋_GB2312" w:cs="仿宋_GB2312"/>
          <w:color w:val="000000"/>
          <w:sz w:val="31"/>
          <w:szCs w:val="31"/>
        </w:rPr>
        <w:t>在完善体制机制、狠抓贯彻落实、创新方式方法、夯实基础设施、强化宣传推广等方面均取得了新突破，</w:t>
      </w:r>
      <w:r>
        <w:rPr>
          <w:rFonts w:hint="eastAsia" w:ascii="仿宋_GB2312" w:hAnsi="仿宋_GB2312" w:eastAsia="仿宋_GB2312" w:cs="仿宋_GB2312"/>
          <w:sz w:val="32"/>
          <w:szCs w:val="32"/>
        </w:rPr>
        <w:t>全县红色教育保护与利用工作成效明显。</w:t>
      </w:r>
      <w:r>
        <w:rPr>
          <w:rFonts w:hint="eastAsia" w:ascii="仿宋_GB2312" w:eastAsia="仿宋_GB2312" w:cs="仿宋_GB2312"/>
          <w:color w:val="000000"/>
          <w:sz w:val="31"/>
          <w:szCs w:val="31"/>
        </w:rPr>
        <w:t>2022年，央视13频道新闻直播间对归园进行深度报道3分18秒。归园获批“衡阳市党史教育基地”。2022年的主要工作成效如下：</w:t>
      </w:r>
    </w:p>
    <w:p>
      <w:pPr>
        <w:spacing w:line="540" w:lineRule="exact"/>
        <w:ind w:firstLine="643" w:firstLineChars="200"/>
        <w:textAlignment w:val="baseline"/>
        <w:rPr>
          <w:rFonts w:ascii="仿宋_GB2312" w:hAnsi="仿宋_GB2312" w:eastAsia="仿宋_GB2312" w:cs="仿宋_GB2312"/>
          <w:sz w:val="32"/>
          <w:szCs w:val="32"/>
        </w:rPr>
      </w:pPr>
      <w:r>
        <w:rPr>
          <w:rFonts w:hint="eastAsia" w:ascii="楷体_GB2312" w:hAnsi="楷体_GB2312" w:eastAsia="楷体_GB2312" w:cs="楷体_GB2312"/>
          <w:b/>
          <w:bCs/>
          <w:kern w:val="0"/>
          <w:sz w:val="32"/>
          <w:szCs w:val="32"/>
        </w:rPr>
        <w:t>1.强化顶层设计绘蓝图。</w:t>
      </w:r>
      <w:r>
        <w:rPr>
          <w:rFonts w:hint="eastAsia" w:ascii="仿宋_GB2312" w:eastAsia="仿宋_GB2312" w:cs="仿宋_GB2312"/>
          <w:sz w:val="32"/>
          <w:szCs w:val="32"/>
        </w:rPr>
        <w:t>我中心始终</w:t>
      </w:r>
      <w:r>
        <w:rPr>
          <w:rFonts w:hint="eastAsia" w:ascii="仿宋_GB2312" w:hAnsi="宋体" w:eastAsia="仿宋_GB2312" w:cs="宋体"/>
          <w:kern w:val="0"/>
          <w:sz w:val="32"/>
          <w:szCs w:val="32"/>
        </w:rPr>
        <w:t>坚持“</w:t>
      </w:r>
      <w:r>
        <w:rPr>
          <w:rFonts w:hint="eastAsia" w:ascii="仿宋_GB2312" w:eastAsia="仿宋_GB2312" w:cs="仿宋_GB2312"/>
          <w:sz w:val="32"/>
          <w:szCs w:val="32"/>
        </w:rPr>
        <w:t>高标准定位、高起点谋划、高强度推进”理念，积极强化全县红色资源保护与利用的顶层设计和统筹规划，</w:t>
      </w:r>
      <w:r>
        <w:rPr>
          <w:rFonts w:hint="eastAsia" w:ascii="仿宋_GB2312" w:hAnsi="仿宋_GB2312" w:eastAsia="仿宋_GB2312" w:cs="仿宋_GB2312"/>
          <w:sz w:val="32"/>
          <w:szCs w:val="32"/>
        </w:rPr>
        <w:t>主动对接省国安厅、市国安局、市文旅广体局、市退役军人事务局等，借助归园目前在全省乃至全国的</w:t>
      </w:r>
      <w:r>
        <w:rPr>
          <w:rStyle w:val="11"/>
          <w:rFonts w:hint="eastAsia" w:ascii="仿宋" w:hAnsi="仿宋" w:eastAsia="仿宋"/>
          <w:sz w:val="32"/>
        </w:rPr>
        <w:t>特殊性和唯一性，将</w:t>
      </w:r>
      <w:r>
        <w:rPr>
          <w:rFonts w:hint="eastAsia" w:ascii="仿宋_GB2312" w:eastAsia="仿宋_GB2312" w:cs="仿宋_GB2312"/>
          <w:sz w:val="32"/>
          <w:szCs w:val="32"/>
        </w:rPr>
        <w:t>归园配套设施建设融入省国安厅</w:t>
      </w:r>
      <w:r>
        <w:rPr>
          <w:rStyle w:val="11"/>
          <w:rFonts w:hint="eastAsia" w:ascii="仿宋" w:hAnsi="仿宋" w:eastAsia="仿宋"/>
          <w:sz w:val="32"/>
        </w:rPr>
        <w:t>创建</w:t>
      </w:r>
      <w:r>
        <w:rPr>
          <w:rFonts w:hint="eastAsia" w:ascii="仿宋_GB2312" w:hAnsi="仿宋_GB2312" w:eastAsia="仿宋_GB2312" w:cs="仿宋_GB2312"/>
          <w:sz w:val="32"/>
          <w:szCs w:val="32"/>
        </w:rPr>
        <w:t>全国国家安全教育基地规划、谭子山镇国土空间规划、杨湖村乡村振兴规划中，绘就归园</w:t>
      </w:r>
      <w:r>
        <w:rPr>
          <w:rFonts w:hint="eastAsia" w:ascii="仿宋_GB2312" w:eastAsia="仿宋_GB2312" w:cs="仿宋_GB2312"/>
          <w:sz w:val="32"/>
          <w:szCs w:val="32"/>
        </w:rPr>
        <w:t>配套设施建设发展蓝图，</w:t>
      </w:r>
      <w:r>
        <w:rPr>
          <w:rStyle w:val="11"/>
          <w:rFonts w:hint="eastAsia" w:ascii="仿宋" w:hAnsi="仿宋" w:eastAsia="仿宋"/>
          <w:sz w:val="32"/>
        </w:rPr>
        <w:t>并积极对接自然资源等职能部门，为归园</w:t>
      </w:r>
      <w:r>
        <w:rPr>
          <w:rFonts w:hint="eastAsia" w:ascii="仿宋_GB2312" w:eastAsia="仿宋_GB2312" w:cs="仿宋_GB2312"/>
          <w:sz w:val="32"/>
          <w:szCs w:val="32"/>
        </w:rPr>
        <w:t>争取</w:t>
      </w:r>
      <w:r>
        <w:rPr>
          <w:rFonts w:hint="eastAsia" w:ascii="仿宋_GB2312" w:hAnsi="仿宋_GB2312" w:eastAsia="仿宋_GB2312" w:cs="仿宋_GB2312"/>
          <w:sz w:val="32"/>
          <w:szCs w:val="32"/>
        </w:rPr>
        <w:t>200亩土地作为归园</w:t>
      </w:r>
      <w:r>
        <w:rPr>
          <w:rFonts w:hint="eastAsia" w:ascii="仿宋_GB2312" w:eastAsia="仿宋_GB2312" w:cs="仿宋_GB2312"/>
          <w:sz w:val="32"/>
          <w:szCs w:val="32"/>
        </w:rPr>
        <w:t>配套设施建设</w:t>
      </w:r>
      <w:r>
        <w:rPr>
          <w:rFonts w:hint="eastAsia" w:ascii="仿宋_GB2312" w:hAnsi="仿宋_GB2312" w:eastAsia="仿宋_GB2312" w:cs="仿宋_GB2312"/>
          <w:sz w:val="32"/>
          <w:szCs w:val="32"/>
        </w:rPr>
        <w:t>储备建设用地。</w:t>
      </w:r>
    </w:p>
    <w:p>
      <w:pPr>
        <w:spacing w:line="540" w:lineRule="exact"/>
        <w:ind w:firstLine="643" w:firstLineChars="200"/>
        <w:rPr>
          <w:rFonts w:ascii="仿宋_GB2312" w:hAnsi="仿宋_GB2312" w:eastAsia="仿宋_GB2312" w:cs="仿宋_GB2312"/>
          <w:sz w:val="32"/>
          <w:szCs w:val="32"/>
        </w:rPr>
      </w:pPr>
      <w:r>
        <w:rPr>
          <w:rFonts w:hint="eastAsia" w:ascii="楷体_GB2312" w:hAnsi="楷体_GB2312" w:eastAsia="楷体_GB2312" w:cs="楷体_GB2312"/>
          <w:b/>
          <w:bCs/>
          <w:kern w:val="0"/>
          <w:sz w:val="32"/>
          <w:szCs w:val="32"/>
        </w:rPr>
        <w:t>2.积极协调推进求实效。</w:t>
      </w:r>
      <w:r>
        <w:rPr>
          <w:rFonts w:hint="eastAsia" w:ascii="仿宋_GB2312" w:hAnsi="仿宋_GB2312" w:eastAsia="仿宋_GB2312" w:cs="仿宋_GB2312"/>
          <w:sz w:val="32"/>
          <w:szCs w:val="32"/>
        </w:rPr>
        <w:t>我们始终将归园的做强做大做旺作为中心工作第一要务，主动履职，勇毅前行。</w:t>
      </w:r>
      <w:r>
        <w:rPr>
          <w:rFonts w:hint="eastAsia" w:ascii="仿宋_GB2312" w:hAnsi="宋体" w:eastAsia="仿宋_GB2312" w:cs="宋体"/>
          <w:b/>
          <w:bCs/>
          <w:kern w:val="0"/>
          <w:sz w:val="32"/>
          <w:szCs w:val="32"/>
        </w:rPr>
        <w:t>一是</w:t>
      </w:r>
      <w:r>
        <w:rPr>
          <w:rFonts w:hint="eastAsia" w:ascii="仿宋_GB2312" w:hAnsi="宋体" w:eastAsia="仿宋_GB2312" w:cs="宋体"/>
          <w:kern w:val="0"/>
          <w:sz w:val="32"/>
          <w:szCs w:val="32"/>
        </w:rPr>
        <w:t>积极协调省市县发改部门，将归园</w:t>
      </w:r>
      <w:r>
        <w:rPr>
          <w:rFonts w:hint="eastAsia" w:ascii="仿宋_GB2312" w:eastAsia="仿宋_GB2312" w:cs="仿宋_GB2312"/>
          <w:sz w:val="32"/>
          <w:szCs w:val="32"/>
        </w:rPr>
        <w:t>配套设施建设纳入全省红色旅游业态开发项目库</w:t>
      </w:r>
      <w:r>
        <w:rPr>
          <w:rFonts w:hint="eastAsia" w:ascii="仿宋_GB2312" w:hAnsi="宋体" w:eastAsia="仿宋_GB2312" w:cs="宋体"/>
          <w:kern w:val="0"/>
          <w:sz w:val="32"/>
          <w:szCs w:val="32"/>
        </w:rPr>
        <w:t>，着力推动归园红色教育展示中心建设，扩建游客服务中心、生态停车场，配套建设景区民宿、游乐设施等，向上申请政府专项债3.01亿元；</w:t>
      </w:r>
      <w:r>
        <w:rPr>
          <w:rFonts w:hint="eastAsia" w:ascii="仿宋_GB2312" w:hAnsi="宋体" w:eastAsia="仿宋_GB2312" w:cs="宋体"/>
          <w:b/>
          <w:bCs/>
          <w:kern w:val="0"/>
          <w:sz w:val="32"/>
          <w:szCs w:val="32"/>
        </w:rPr>
        <w:t>二是</w:t>
      </w:r>
      <w:r>
        <w:rPr>
          <w:rFonts w:hint="eastAsia" w:ascii="仿宋_GB2312" w:hAnsi="宋体" w:eastAsia="仿宋_GB2312" w:cs="宋体"/>
          <w:kern w:val="0"/>
          <w:sz w:val="32"/>
          <w:szCs w:val="32"/>
        </w:rPr>
        <w:t>积极协调省市文旅广体部门，将归园</w:t>
      </w:r>
      <w:r>
        <w:rPr>
          <w:rFonts w:hint="eastAsia" w:ascii="仿宋_GB2312" w:eastAsia="仿宋_GB2312" w:cs="仿宋_GB2312"/>
          <w:sz w:val="32"/>
          <w:szCs w:val="32"/>
        </w:rPr>
        <w:t>配套设施建设纳入了《</w:t>
      </w:r>
      <w:r>
        <w:rPr>
          <w:rFonts w:hint="eastAsia" w:ascii="仿宋_GB2312" w:hAnsi="宋体" w:eastAsia="仿宋_GB2312" w:cs="宋体"/>
          <w:kern w:val="0"/>
          <w:sz w:val="32"/>
          <w:szCs w:val="32"/>
        </w:rPr>
        <w:t>湖南省“十四五”期间红色旅游重点支持储备项目》，并获得红色旅游标识标牌和红色研学支持资金60万元。</w:t>
      </w:r>
      <w:r>
        <w:rPr>
          <w:rFonts w:hint="eastAsia" w:ascii="仿宋_GB2312" w:hAnsi="宋体" w:eastAsia="仿宋_GB2312" w:cs="宋体"/>
          <w:b/>
          <w:bCs/>
          <w:kern w:val="0"/>
          <w:sz w:val="32"/>
          <w:szCs w:val="32"/>
        </w:rPr>
        <w:t>三是</w:t>
      </w:r>
      <w:r>
        <w:rPr>
          <w:rFonts w:hint="eastAsia" w:ascii="仿宋_GB2312" w:hAnsi="宋体" w:eastAsia="仿宋_GB2312" w:cs="宋体"/>
          <w:kern w:val="0"/>
          <w:sz w:val="32"/>
          <w:szCs w:val="32"/>
        </w:rPr>
        <w:t>主动协调谭子山镇和杨湖村，积极推动</w:t>
      </w:r>
      <w:r>
        <w:rPr>
          <w:rFonts w:hint="eastAsia" w:ascii="仿宋_GB2312" w:hAnsi="仿宋_GB2312" w:eastAsia="仿宋_GB2312" w:cs="仿宋_GB2312"/>
          <w:sz w:val="32"/>
          <w:szCs w:val="32"/>
        </w:rPr>
        <w:t>15户拆迁安置户宅基地的“三通一平”工作，打造特色商业文化街。</w:t>
      </w:r>
      <w:r>
        <w:rPr>
          <w:rFonts w:hint="eastAsia" w:ascii="仿宋_GB2312" w:hAnsi="仿宋_GB2312" w:eastAsia="仿宋_GB2312" w:cs="仿宋_GB2312"/>
          <w:b/>
          <w:bCs/>
          <w:sz w:val="32"/>
          <w:szCs w:val="32"/>
        </w:rPr>
        <w:t>四是</w:t>
      </w:r>
      <w:r>
        <w:rPr>
          <w:rFonts w:hint="eastAsia" w:ascii="仿宋_GB2312" w:hAnsi="仿宋_GB2312" w:eastAsia="仿宋_GB2312" w:cs="仿宋_GB2312"/>
          <w:sz w:val="32"/>
          <w:szCs w:val="32"/>
        </w:rPr>
        <w:t>主动对接市文旅广体局和杨湖村，盘活杨湖村省级红色教育基地重点村300万元项目资金，在归园周边规划建设了餐饮1家、民宿2家，归园周边住宿、餐饮接待能力大幅提升。</w:t>
      </w:r>
      <w:r>
        <w:rPr>
          <w:rFonts w:hint="eastAsia" w:ascii="仿宋_GB2312" w:hAnsi="仿宋_GB2312" w:eastAsia="仿宋_GB2312" w:cs="仿宋_GB2312"/>
          <w:b/>
          <w:bCs/>
          <w:sz w:val="32"/>
          <w:szCs w:val="32"/>
        </w:rPr>
        <w:t>五是</w:t>
      </w:r>
      <w:r>
        <w:rPr>
          <w:rFonts w:hint="eastAsia" w:ascii="仿宋_GB2312" w:hAnsi="仿宋_GB2312" w:eastAsia="仿宋_GB2312" w:cs="仿宋_GB2312"/>
          <w:sz w:val="32"/>
          <w:szCs w:val="32"/>
        </w:rPr>
        <w:t>与衡阳技师学院共建思政课实践教育基地，有力提升发归园成果利用率。</w:t>
      </w:r>
    </w:p>
    <w:p>
      <w:pPr>
        <w:spacing w:line="540" w:lineRule="exact"/>
        <w:ind w:firstLine="643" w:firstLineChars="200"/>
        <w:rPr>
          <w:rFonts w:ascii="仿宋_GB2312" w:hAnsi="宋体" w:eastAsia="仿宋_GB2312" w:cs="宋体"/>
          <w:kern w:val="0"/>
          <w:sz w:val="32"/>
          <w:szCs w:val="32"/>
        </w:rPr>
      </w:pPr>
      <w:r>
        <w:rPr>
          <w:rFonts w:hint="eastAsia" w:ascii="楷体_GB2312" w:eastAsia="楷体_GB2312"/>
          <w:b/>
          <w:bCs/>
          <w:color w:val="000000"/>
          <w:sz w:val="32"/>
          <w:szCs w:val="32"/>
        </w:rPr>
        <w:t>3.主动开拓创新谋突破。</w:t>
      </w:r>
      <w:r>
        <w:rPr>
          <w:rFonts w:hint="eastAsia" w:ascii="仿宋_GB2312" w:hAnsi="宋体" w:eastAsia="仿宋_GB2312" w:cs="宋体"/>
          <w:kern w:val="0"/>
          <w:sz w:val="32"/>
          <w:szCs w:val="32"/>
        </w:rPr>
        <w:t>为突破归园配套设施建设资金瓶颈，一方面，我们积极探索社会力量参与归园配套设施建设新模式，先后与湖南鸿雁文化发展有限公司、衡阳市传媒产业集团、湖南文化研究院（湖南红色工矿文化旅游有限公司）、中惠旅集团有限公司等进入了深入洽谈，寻求投资合作意向。另一方面，积极强化宣传推介，开发文化创意产品参加省市红博会、旅博会，创作宣传视频3个，并通过抖音、哔哩哔哩等平台进行广泛宣传，邀请央视国防频道、央视综合频道对归园进行深度报道，归园的知名度和美誉度与日俱增。</w:t>
      </w:r>
    </w:p>
    <w:p>
      <w:pPr>
        <w:spacing w:line="540" w:lineRule="exact"/>
        <w:ind w:firstLine="643" w:firstLineChars="200"/>
        <w:rPr>
          <w:rFonts w:ascii="仿宋_GB2312" w:hAnsi="宋体" w:eastAsia="仿宋_GB2312" w:cs="宋体"/>
          <w:kern w:val="0"/>
          <w:sz w:val="32"/>
          <w:szCs w:val="32"/>
        </w:rPr>
      </w:pPr>
      <w:r>
        <w:rPr>
          <w:rFonts w:hint="eastAsia" w:ascii="楷体_GB2312" w:hAnsi="楷体_GB2312" w:eastAsia="楷体_GB2312" w:cs="楷体_GB2312"/>
          <w:b/>
          <w:bCs/>
          <w:kern w:val="0"/>
          <w:sz w:val="32"/>
          <w:szCs w:val="32"/>
        </w:rPr>
        <w:t>4.锻长项补短板强基础 。</w:t>
      </w:r>
      <w:r>
        <w:rPr>
          <w:rFonts w:hint="eastAsia" w:ascii="仿宋_GB2312" w:hAnsi="宋体" w:eastAsia="仿宋_GB2312" w:cs="宋体"/>
          <w:b/>
          <w:bCs/>
          <w:kern w:val="0"/>
          <w:sz w:val="32"/>
          <w:szCs w:val="32"/>
        </w:rPr>
        <w:t>一是</w:t>
      </w:r>
      <w:r>
        <w:rPr>
          <w:rFonts w:hint="eastAsia" w:ascii="仿宋_GB2312" w:hAnsi="宋体" w:eastAsia="仿宋_GB2312" w:cs="宋体"/>
          <w:kern w:val="0"/>
          <w:sz w:val="32"/>
          <w:szCs w:val="32"/>
        </w:rPr>
        <w:t>持续完善基础设施。2022年，我中心针对归园建设中存在的不足，主动谋划，多方筹措，共投入资金约25.6万元，在归园修筑了沟渠1100米、路沿石378米等，基本解决了归园每逢雨天即泥沙俱下、污水横流的状态，有效提升了游客体验感和满意度。</w:t>
      </w:r>
      <w:r>
        <w:rPr>
          <w:rFonts w:hint="eastAsia" w:ascii="仿宋_GB2312" w:hAnsi="宋体" w:eastAsia="仿宋_GB2312" w:cs="宋体"/>
          <w:b/>
          <w:bCs/>
          <w:kern w:val="0"/>
          <w:sz w:val="32"/>
          <w:szCs w:val="32"/>
        </w:rPr>
        <w:t>二是</w:t>
      </w:r>
      <w:r>
        <w:rPr>
          <w:rFonts w:hint="eastAsia" w:ascii="仿宋_GB2312" w:hAnsi="宋体" w:eastAsia="仿宋_GB2312" w:cs="宋体"/>
          <w:kern w:val="0"/>
          <w:sz w:val="32"/>
          <w:szCs w:val="32"/>
        </w:rPr>
        <w:t>做实归园森林防火。中心始终将归园森林防火作为重中之重，严防死守，做到了主要领导亲自抓，全体人员同上阵，在归园森林防火重点防范区--墓园的两个主要入口处设立了24个小时值班值守点，同时安排了两名森林防火监督员，对4.1公里通景公路和占地92亩的园区进行轮番巡查，确保了森林防火万无一失。</w:t>
      </w:r>
      <w:r>
        <w:rPr>
          <w:rFonts w:hint="eastAsia" w:ascii="仿宋_GB2312" w:hAnsi="宋体" w:eastAsia="仿宋_GB2312" w:cs="宋体"/>
          <w:b/>
          <w:bCs/>
          <w:kern w:val="0"/>
          <w:sz w:val="32"/>
          <w:szCs w:val="32"/>
        </w:rPr>
        <w:t>三是</w:t>
      </w:r>
      <w:r>
        <w:rPr>
          <w:rFonts w:hint="eastAsia" w:ascii="仿宋_GB2312" w:hAnsi="宋体" w:eastAsia="仿宋_GB2312" w:cs="宋体"/>
          <w:kern w:val="0"/>
          <w:sz w:val="32"/>
          <w:szCs w:val="32"/>
        </w:rPr>
        <w:t>抓好归园游客接待。2022年，归园在统筹做好疫情防控的基础上，全年共接待各类团体1735个，近10万人次（含散客）。</w:t>
      </w:r>
    </w:p>
    <w:p>
      <w:pPr>
        <w:ind w:firstLine="640" w:firstLineChars="200"/>
        <w:rPr>
          <w:rFonts w:ascii="黑体" w:hAnsi="黑体" w:eastAsia="黑体" w:cs="黑体"/>
          <w:sz w:val="32"/>
          <w:szCs w:val="32"/>
        </w:rPr>
      </w:pPr>
      <w:r>
        <w:rPr>
          <w:rFonts w:hint="eastAsia" w:ascii="黑体" w:hAnsi="黑体" w:eastAsia="黑体" w:cs="黑体"/>
          <w:sz w:val="32"/>
          <w:szCs w:val="32"/>
        </w:rPr>
        <w:t>四、存在的主要问题</w:t>
      </w:r>
    </w:p>
    <w:p>
      <w:pPr>
        <w:spacing w:line="540" w:lineRule="exact"/>
        <w:ind w:firstLine="643" w:firstLineChars="200"/>
        <w:rPr>
          <w:rFonts w:ascii="仿宋_GB2312" w:hAnsi="宋体" w:eastAsia="仿宋_GB2312" w:cs="宋体"/>
          <w:kern w:val="0"/>
          <w:sz w:val="32"/>
          <w:szCs w:val="32"/>
        </w:rPr>
      </w:pPr>
      <w:r>
        <w:rPr>
          <w:rFonts w:hint="eastAsia" w:ascii="仿宋_GB2312" w:hAnsi="宋体" w:eastAsia="仿宋_GB2312" w:cs="宋体"/>
          <w:b/>
          <w:bCs/>
          <w:kern w:val="0"/>
          <w:sz w:val="32"/>
          <w:szCs w:val="32"/>
        </w:rPr>
        <w:t>1.绩效目标设置与重点工作联系欠紧密。</w:t>
      </w:r>
      <w:r>
        <w:rPr>
          <w:rFonts w:hint="eastAsia" w:ascii="仿宋_GB2312" w:hAnsi="宋体" w:eastAsia="仿宋_GB2312" w:cs="宋体"/>
          <w:kern w:val="0"/>
          <w:sz w:val="32"/>
          <w:szCs w:val="32"/>
        </w:rPr>
        <w:t>由于我中心缺乏财务人员，2022年部门整体绩效目标虽然细化分解为具体的工作任务，但还未与部门年度的任务数和计划数全面对应，与本年度部门预算资金相匹配程度不高，绩效评价工作业务有待加强。</w:t>
      </w:r>
    </w:p>
    <w:p>
      <w:pPr>
        <w:spacing w:line="600" w:lineRule="exact"/>
        <w:ind w:firstLine="643" w:firstLineChars="200"/>
        <w:rPr>
          <w:rFonts w:ascii="仿宋" w:hAnsi="仿宋" w:eastAsia="仿宋"/>
          <w:sz w:val="32"/>
          <w:szCs w:val="32"/>
        </w:rPr>
      </w:pPr>
      <w:r>
        <w:rPr>
          <w:rFonts w:hint="eastAsia" w:ascii="仿宋_GB2312" w:hAnsi="宋体" w:eastAsia="仿宋_GB2312" w:cs="宋体"/>
          <w:b/>
          <w:bCs/>
          <w:kern w:val="0"/>
          <w:sz w:val="32"/>
          <w:szCs w:val="32"/>
        </w:rPr>
        <w:t>2.单位内部绩效评价机制有待进一步完善。</w:t>
      </w:r>
      <w:r>
        <w:rPr>
          <w:rFonts w:hint="eastAsia" w:ascii="仿宋" w:hAnsi="仿宋" w:eastAsia="仿宋"/>
          <w:sz w:val="32"/>
          <w:szCs w:val="32"/>
        </w:rPr>
        <w:t>现阶段单位内部财政支出绩效评价工作处于起步阶段，在评价管理方法中缺乏一定的操作性，在一定程度上制约了单位财政支出绩效评估成效的发挥。</w:t>
      </w:r>
    </w:p>
    <w:p>
      <w:pPr>
        <w:rPr>
          <w:rFonts w:ascii="黑体" w:hAnsi="黑体" w:eastAsia="黑体" w:cs="黑体"/>
          <w:sz w:val="32"/>
          <w:szCs w:val="32"/>
        </w:rPr>
      </w:pPr>
      <w:r>
        <w:rPr>
          <w:rFonts w:hint="eastAsia" w:ascii="仿宋" w:hAnsi="仿宋" w:eastAsia="仿宋"/>
          <w:sz w:val="32"/>
          <w:szCs w:val="32"/>
        </w:rPr>
        <w:t>　　</w:t>
      </w:r>
      <w:r>
        <w:rPr>
          <w:rFonts w:hint="eastAsia" w:ascii="黑体" w:hAnsi="黑体" w:eastAsia="黑体" w:cs="黑体"/>
          <w:sz w:val="32"/>
          <w:szCs w:val="32"/>
        </w:rPr>
        <w:t>五、改进措施和建议</w:t>
      </w:r>
    </w:p>
    <w:p>
      <w:pPr>
        <w:spacing w:line="540" w:lineRule="exact"/>
        <w:ind w:firstLine="643" w:firstLineChars="200"/>
        <w:rPr>
          <w:rFonts w:ascii="仿宋_GB2312" w:hAnsi="宋体" w:eastAsia="仿宋_GB2312" w:cs="宋体"/>
          <w:kern w:val="0"/>
          <w:sz w:val="32"/>
          <w:szCs w:val="32"/>
        </w:rPr>
      </w:pPr>
      <w:r>
        <w:rPr>
          <w:rFonts w:hint="eastAsia" w:ascii="仿宋_GB2312" w:hAnsi="宋体" w:eastAsia="仿宋_GB2312" w:cs="宋体"/>
          <w:b/>
          <w:bCs/>
          <w:kern w:val="0"/>
          <w:sz w:val="32"/>
          <w:szCs w:val="32"/>
        </w:rPr>
        <w:t>1.强化预算工作与业务工作联系的紧密性。</w:t>
      </w:r>
      <w:r>
        <w:rPr>
          <w:rFonts w:hint="eastAsia" w:ascii="仿宋_GB2312" w:hAnsi="宋体" w:eastAsia="仿宋_GB2312" w:cs="宋体"/>
          <w:kern w:val="0"/>
          <w:sz w:val="32"/>
          <w:szCs w:val="32"/>
        </w:rPr>
        <w:t>对部门运转经费预算，进一步深化、细化，将“无预算不支出”“支出必有效”的预算绩效管理思维贯穿全局，充分考虑绩效目标可衡量性，将预算工作与部门年度的任务数或计划数紧密结合，提高绩效目标设置与本年度部门预算资金的匹配性。</w:t>
      </w:r>
    </w:p>
    <w:p>
      <w:pPr>
        <w:spacing w:line="540" w:lineRule="exact"/>
        <w:ind w:firstLine="643" w:firstLineChars="200"/>
        <w:rPr>
          <w:rFonts w:ascii="仿宋_GB2312" w:hAnsi="宋体" w:eastAsia="仿宋_GB2312" w:cs="宋体"/>
          <w:kern w:val="0"/>
          <w:sz w:val="32"/>
          <w:szCs w:val="32"/>
        </w:rPr>
      </w:pPr>
      <w:r>
        <w:rPr>
          <w:rFonts w:hint="eastAsia" w:ascii="仿宋_GB2312" w:hAnsi="宋体" w:eastAsia="仿宋_GB2312" w:cs="宋体"/>
          <w:b/>
          <w:bCs/>
          <w:kern w:val="0"/>
          <w:sz w:val="32"/>
          <w:szCs w:val="32"/>
        </w:rPr>
        <w:t>2.加强绩效自评管理工作指导培训。</w:t>
      </w:r>
      <w:r>
        <w:rPr>
          <w:rFonts w:hint="eastAsia" w:ascii="仿宋_GB2312" w:hAnsi="宋体" w:eastAsia="仿宋_GB2312" w:cs="宋体"/>
          <w:kern w:val="0"/>
          <w:sz w:val="32"/>
          <w:szCs w:val="32"/>
        </w:rPr>
        <w:t>组织本单位业务人员积极参加线上或线下绩效管理培训会议，提高基层绩效工作人员业务能力，加强预算编制和绩效目标管理。</w:t>
      </w:r>
    </w:p>
    <w:p>
      <w:pPr>
        <w:spacing w:line="540" w:lineRule="exact"/>
        <w:ind w:firstLine="643" w:firstLineChars="200"/>
        <w:rPr>
          <w:rFonts w:ascii="仿宋" w:hAnsi="仿宋" w:eastAsia="仿宋"/>
          <w:sz w:val="32"/>
          <w:szCs w:val="32"/>
        </w:rPr>
      </w:pPr>
      <w:r>
        <w:rPr>
          <w:rFonts w:hint="eastAsia" w:ascii="仿宋_GB2312" w:hAnsi="宋体" w:eastAsia="仿宋_GB2312" w:cs="宋体"/>
          <w:b/>
          <w:bCs/>
          <w:kern w:val="0"/>
          <w:sz w:val="32"/>
          <w:szCs w:val="32"/>
        </w:rPr>
        <w:t>3.进一步完善财务管理制度。</w:t>
      </w:r>
      <w:r>
        <w:rPr>
          <w:rFonts w:hint="eastAsia" w:ascii="仿宋_GB2312" w:hAnsi="宋体" w:eastAsia="仿宋_GB2312" w:cs="宋体"/>
          <w:kern w:val="0"/>
          <w:sz w:val="32"/>
          <w:szCs w:val="32"/>
        </w:rPr>
        <w:t>对单位内控体系进行自查，补充完善预算绩效管理、资产管理等财务管理制度，建立高效健全的内部控制系统</w:t>
      </w:r>
      <w:r>
        <w:rPr>
          <w:rFonts w:hint="eastAsia" w:ascii="仿宋" w:hAnsi="仿宋" w:eastAsia="仿宋"/>
          <w:sz w:val="32"/>
          <w:szCs w:val="32"/>
        </w:rPr>
        <w:t>，提高内部绩效评价机制可行性。</w:t>
      </w:r>
    </w:p>
    <w:p>
      <w:pPr>
        <w:spacing w:line="540" w:lineRule="exact"/>
        <w:ind w:firstLine="643" w:firstLineChars="200"/>
        <w:rPr>
          <w:rFonts w:ascii="仿宋_GB2312" w:hAnsi="宋体" w:eastAsia="仿宋_GB2312" w:cs="宋体"/>
          <w:kern w:val="0"/>
          <w:sz w:val="32"/>
          <w:szCs w:val="32"/>
        </w:rPr>
      </w:pPr>
      <w:r>
        <w:rPr>
          <w:rFonts w:hint="eastAsia" w:ascii="仿宋_GB2312" w:hAnsi="宋体" w:eastAsia="仿宋_GB2312" w:cs="宋体"/>
          <w:b/>
          <w:bCs/>
          <w:kern w:val="0"/>
          <w:sz w:val="32"/>
          <w:szCs w:val="32"/>
        </w:rPr>
        <w:t>4.进一步加强预算执行管理。</w:t>
      </w:r>
      <w:r>
        <w:rPr>
          <w:rFonts w:hint="eastAsia" w:ascii="仿宋_GB2312" w:hAnsi="宋体" w:eastAsia="仿宋_GB2312" w:cs="宋体"/>
          <w:kern w:val="0"/>
          <w:sz w:val="32"/>
          <w:szCs w:val="32"/>
        </w:rPr>
        <w:t>着力加强预算执行的日常管理，提高财政资金使用效益。按计划执行批复的预算，做到专款专用，防止超标准执行，进一步厉行节约，严控“三公”经费，规范财务支出。</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ind w:firstLine="3840" w:firstLineChars="1200"/>
        <w:rPr>
          <w:rFonts w:ascii="仿宋" w:hAnsi="仿宋" w:eastAsia="仿宋"/>
          <w:sz w:val="32"/>
          <w:szCs w:val="32"/>
        </w:rPr>
      </w:pPr>
      <w:r>
        <w:rPr>
          <w:rFonts w:hint="eastAsia" w:ascii="仿宋" w:hAnsi="仿宋" w:eastAsia="仿宋"/>
          <w:sz w:val="32"/>
          <w:szCs w:val="32"/>
        </w:rPr>
        <w:t>衡南县红色教育基地服务中心</w:t>
      </w:r>
    </w:p>
    <w:p>
      <w:pPr>
        <w:ind w:firstLine="4800" w:firstLineChars="1500"/>
        <w:rPr>
          <w:rFonts w:ascii="仿宋" w:hAnsi="仿宋" w:eastAsia="仿宋"/>
          <w:sz w:val="32"/>
          <w:szCs w:val="32"/>
        </w:rPr>
      </w:pPr>
      <w:r>
        <w:rPr>
          <w:rFonts w:hint="eastAsia" w:ascii="仿宋" w:hAnsi="仿宋" w:eastAsia="仿宋"/>
          <w:sz w:val="32"/>
          <w:szCs w:val="32"/>
        </w:rPr>
        <w:t>2023年4月11日</w:t>
      </w:r>
    </w:p>
    <w:p>
      <w:pPr>
        <w:spacing w:line="600" w:lineRule="exact"/>
        <w:rPr>
          <w:rFonts w:ascii="仿宋" w:hAnsi="仿宋" w:eastAsia="仿宋" w:cs="仿宋"/>
          <w:color w:val="333333"/>
          <w:kern w:val="0"/>
          <w:sz w:val="30"/>
          <w:szCs w:val="30"/>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微软雅黑"/>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3M2IzOWQ0YTFiNmJlNzc1OTA3NjYyZTQxMzk2MGYifQ=="/>
  </w:docVars>
  <w:rsids>
    <w:rsidRoot w:val="00864C56"/>
    <w:rsid w:val="0000133F"/>
    <w:rsid w:val="00027DF6"/>
    <w:rsid w:val="00036A15"/>
    <w:rsid w:val="00046F73"/>
    <w:rsid w:val="00133BD6"/>
    <w:rsid w:val="001867D6"/>
    <w:rsid w:val="00193B39"/>
    <w:rsid w:val="001B488A"/>
    <w:rsid w:val="00203F27"/>
    <w:rsid w:val="002055C6"/>
    <w:rsid w:val="002733A6"/>
    <w:rsid w:val="00291394"/>
    <w:rsid w:val="0030091D"/>
    <w:rsid w:val="003149EC"/>
    <w:rsid w:val="00355BA2"/>
    <w:rsid w:val="00383E9F"/>
    <w:rsid w:val="003844AF"/>
    <w:rsid w:val="003B2DEB"/>
    <w:rsid w:val="003C00C3"/>
    <w:rsid w:val="003D1601"/>
    <w:rsid w:val="003F4B11"/>
    <w:rsid w:val="0040790B"/>
    <w:rsid w:val="004313A0"/>
    <w:rsid w:val="00435E69"/>
    <w:rsid w:val="004522B5"/>
    <w:rsid w:val="00482647"/>
    <w:rsid w:val="004D36D7"/>
    <w:rsid w:val="004E71B3"/>
    <w:rsid w:val="004F57A7"/>
    <w:rsid w:val="00500D1D"/>
    <w:rsid w:val="00563977"/>
    <w:rsid w:val="0056724D"/>
    <w:rsid w:val="00567D44"/>
    <w:rsid w:val="00595409"/>
    <w:rsid w:val="005B11A1"/>
    <w:rsid w:val="005E31B9"/>
    <w:rsid w:val="005F20F5"/>
    <w:rsid w:val="005F518B"/>
    <w:rsid w:val="00600CBA"/>
    <w:rsid w:val="00616227"/>
    <w:rsid w:val="006253E0"/>
    <w:rsid w:val="00642413"/>
    <w:rsid w:val="006656E6"/>
    <w:rsid w:val="0067787F"/>
    <w:rsid w:val="006A73C0"/>
    <w:rsid w:val="006D03F7"/>
    <w:rsid w:val="006E6636"/>
    <w:rsid w:val="006F2D45"/>
    <w:rsid w:val="00717E72"/>
    <w:rsid w:val="00734C3F"/>
    <w:rsid w:val="00740ADE"/>
    <w:rsid w:val="00756456"/>
    <w:rsid w:val="00765655"/>
    <w:rsid w:val="007949BC"/>
    <w:rsid w:val="007B1833"/>
    <w:rsid w:val="007C4BE4"/>
    <w:rsid w:val="007D6A8E"/>
    <w:rsid w:val="007E33FC"/>
    <w:rsid w:val="007E445A"/>
    <w:rsid w:val="007F1CB6"/>
    <w:rsid w:val="007F3BE1"/>
    <w:rsid w:val="00800A68"/>
    <w:rsid w:val="00820BAA"/>
    <w:rsid w:val="00820C86"/>
    <w:rsid w:val="00842C4D"/>
    <w:rsid w:val="00864C56"/>
    <w:rsid w:val="008660D8"/>
    <w:rsid w:val="008C644E"/>
    <w:rsid w:val="008D1576"/>
    <w:rsid w:val="008E176A"/>
    <w:rsid w:val="008E6746"/>
    <w:rsid w:val="00915F1C"/>
    <w:rsid w:val="00916231"/>
    <w:rsid w:val="00923A98"/>
    <w:rsid w:val="00943C57"/>
    <w:rsid w:val="00946D07"/>
    <w:rsid w:val="009667EF"/>
    <w:rsid w:val="00974DE7"/>
    <w:rsid w:val="0098764E"/>
    <w:rsid w:val="0099134E"/>
    <w:rsid w:val="00A0027B"/>
    <w:rsid w:val="00A01149"/>
    <w:rsid w:val="00A25502"/>
    <w:rsid w:val="00A57845"/>
    <w:rsid w:val="00A66583"/>
    <w:rsid w:val="00A737CB"/>
    <w:rsid w:val="00A740E2"/>
    <w:rsid w:val="00A8309A"/>
    <w:rsid w:val="00A8382D"/>
    <w:rsid w:val="00A95D22"/>
    <w:rsid w:val="00AB2C82"/>
    <w:rsid w:val="00AD05B9"/>
    <w:rsid w:val="00AD49F5"/>
    <w:rsid w:val="00AD6403"/>
    <w:rsid w:val="00AE24CE"/>
    <w:rsid w:val="00AF6032"/>
    <w:rsid w:val="00B33672"/>
    <w:rsid w:val="00B419E3"/>
    <w:rsid w:val="00B65C47"/>
    <w:rsid w:val="00B76898"/>
    <w:rsid w:val="00B82755"/>
    <w:rsid w:val="00B837F6"/>
    <w:rsid w:val="00BE20FA"/>
    <w:rsid w:val="00C07921"/>
    <w:rsid w:val="00C1506F"/>
    <w:rsid w:val="00C453D7"/>
    <w:rsid w:val="00C50E90"/>
    <w:rsid w:val="00C7557A"/>
    <w:rsid w:val="00C962B1"/>
    <w:rsid w:val="00C9762C"/>
    <w:rsid w:val="00CB04FB"/>
    <w:rsid w:val="00CB60B7"/>
    <w:rsid w:val="00CC3D01"/>
    <w:rsid w:val="00CE60A6"/>
    <w:rsid w:val="00CF2EDD"/>
    <w:rsid w:val="00CF6B96"/>
    <w:rsid w:val="00D014D6"/>
    <w:rsid w:val="00D05D7E"/>
    <w:rsid w:val="00D065C9"/>
    <w:rsid w:val="00D129FB"/>
    <w:rsid w:val="00D1323E"/>
    <w:rsid w:val="00D175CC"/>
    <w:rsid w:val="00D4231E"/>
    <w:rsid w:val="00D426E6"/>
    <w:rsid w:val="00D464B4"/>
    <w:rsid w:val="00D7501C"/>
    <w:rsid w:val="00D75BD2"/>
    <w:rsid w:val="00D8490E"/>
    <w:rsid w:val="00DC6A62"/>
    <w:rsid w:val="00DD4D3D"/>
    <w:rsid w:val="00DE025D"/>
    <w:rsid w:val="00DE7C24"/>
    <w:rsid w:val="00E16F96"/>
    <w:rsid w:val="00E32AC4"/>
    <w:rsid w:val="00E4301B"/>
    <w:rsid w:val="00E518FC"/>
    <w:rsid w:val="00E53913"/>
    <w:rsid w:val="00E8444D"/>
    <w:rsid w:val="00E90D27"/>
    <w:rsid w:val="00EC0749"/>
    <w:rsid w:val="00ED0B5D"/>
    <w:rsid w:val="00EE1F93"/>
    <w:rsid w:val="00F00B7A"/>
    <w:rsid w:val="00F10B4A"/>
    <w:rsid w:val="00F1195D"/>
    <w:rsid w:val="00F217EF"/>
    <w:rsid w:val="00F54DAE"/>
    <w:rsid w:val="00F80A89"/>
    <w:rsid w:val="00F84203"/>
    <w:rsid w:val="00F9015B"/>
    <w:rsid w:val="00FE002D"/>
    <w:rsid w:val="00FF55AF"/>
    <w:rsid w:val="04FF212C"/>
    <w:rsid w:val="053458BA"/>
    <w:rsid w:val="064F266F"/>
    <w:rsid w:val="0C1609C3"/>
    <w:rsid w:val="12D83C76"/>
    <w:rsid w:val="139D323C"/>
    <w:rsid w:val="15A0557E"/>
    <w:rsid w:val="1E965458"/>
    <w:rsid w:val="215869CE"/>
    <w:rsid w:val="26B07893"/>
    <w:rsid w:val="30074347"/>
    <w:rsid w:val="31765DEB"/>
    <w:rsid w:val="33AB0ED5"/>
    <w:rsid w:val="3E854E75"/>
    <w:rsid w:val="3F6D76B7"/>
    <w:rsid w:val="43216CD6"/>
    <w:rsid w:val="477C0224"/>
    <w:rsid w:val="4B497108"/>
    <w:rsid w:val="4C8B41A0"/>
    <w:rsid w:val="4F7A3E56"/>
    <w:rsid w:val="4FA747CD"/>
    <w:rsid w:val="53667CE6"/>
    <w:rsid w:val="5F9460F8"/>
    <w:rsid w:val="65735178"/>
    <w:rsid w:val="676045BF"/>
    <w:rsid w:val="6C131ECE"/>
    <w:rsid w:val="6DB4168A"/>
    <w:rsid w:val="6E5F56FF"/>
    <w:rsid w:val="6F3B1D17"/>
    <w:rsid w:val="72DF15CC"/>
    <w:rsid w:val="772D2C52"/>
    <w:rsid w:val="7BF22346"/>
    <w:rsid w:val="7F4734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jc w:val="left"/>
    </w:pPr>
    <w:rPr>
      <w:rFonts w:ascii="宋体" w:hAnsi="宋体" w:cs="宋体"/>
      <w:kern w:val="0"/>
      <w:sz w:val="24"/>
    </w:rPr>
  </w:style>
  <w:style w:type="character" w:customStyle="1" w:styleId="8">
    <w:name w:val="页脚 Char"/>
    <w:basedOn w:val="7"/>
    <w:link w:val="3"/>
    <w:semiHidden/>
    <w:qFormat/>
    <w:uiPriority w:val="99"/>
    <w:rPr>
      <w:sz w:val="18"/>
      <w:szCs w:val="18"/>
    </w:rPr>
  </w:style>
  <w:style w:type="character" w:customStyle="1" w:styleId="9">
    <w:name w:val="页眉 Char"/>
    <w:basedOn w:val="7"/>
    <w:link w:val="4"/>
    <w:semiHidden/>
    <w:qFormat/>
    <w:uiPriority w:val="99"/>
    <w:rPr>
      <w:sz w:val="18"/>
      <w:szCs w:val="18"/>
    </w:rPr>
  </w:style>
  <w:style w:type="paragraph" w:styleId="10">
    <w:name w:val="List Paragraph"/>
    <w:basedOn w:val="1"/>
    <w:qFormat/>
    <w:uiPriority w:val="34"/>
    <w:pPr>
      <w:ind w:firstLine="420" w:firstLineChars="200"/>
    </w:pPr>
    <w:rPr>
      <w:rFonts w:asciiTheme="minorHAnsi" w:hAnsiTheme="minorHAnsi" w:eastAsiaTheme="minorEastAsia" w:cstheme="minorBidi"/>
    </w:rPr>
  </w:style>
  <w:style w:type="character" w:customStyle="1" w:styleId="11">
    <w:name w:val="NormalCharacter"/>
    <w:qFormat/>
    <w:uiPriority w:val="0"/>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Organization</Company>
  <Pages>9</Pages>
  <Words>692</Words>
  <Characters>3947</Characters>
  <Lines>32</Lines>
  <Paragraphs>9</Paragraphs>
  <TotalTime>0</TotalTime>
  <ScaleCrop>false</ScaleCrop>
  <LinksUpToDate>false</LinksUpToDate>
  <CharactersWithSpaces>4630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2023-04-23T02:49:00Z</dcterms:created>
  <dc:creator>Administrator</dc:creator>
  <cp:lastModifiedBy>孙泽宇</cp:lastModifiedBy>
  <dcterms:modified xsi:type="dcterms:W3CDTF">2023-10-11T08:59:59Z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0F6E7C3118764FAF895F8638938BDF7C_13</vt:lpwstr>
  </property>
</Properties>
</file>