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ind w:right="641"/>
        <w:jc w:val="center"/>
        <w:rPr>
          <w:rFonts w:hint="eastAsia" w:eastAsia="方正小标宋_GBK"/>
          <w:sz w:val="48"/>
          <w:szCs w:val="48"/>
        </w:rPr>
      </w:pPr>
      <w:bookmarkStart w:id="0" w:name="_GoBack"/>
      <w:bookmarkEnd w:id="0"/>
      <w:r>
        <w:rPr>
          <w:rFonts w:hint="eastAsia" w:eastAsia="方正小标宋_GBK"/>
          <w:sz w:val="48"/>
          <w:szCs w:val="4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20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年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>共青团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整体支出绩效</w:t>
      </w:r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48"/>
          <w:szCs w:val="48"/>
        </w:rPr>
        <w:t>自评报告</w:t>
      </w:r>
    </w:p>
    <w:p>
      <w:pPr>
        <w:adjustRightInd w:val="0"/>
        <w:spacing w:line="600" w:lineRule="exact"/>
        <w:ind w:right="641"/>
        <w:jc w:val="center"/>
        <w:rPr>
          <w:rFonts w:hint="eastAsia" w:eastAsia="方正小标宋_GBK"/>
          <w:sz w:val="48"/>
          <w:szCs w:val="4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为加强财政预算资金的管理，进一步规范预算资金的使用，提高财政资金的使用效益，根据《衡南县财政局关于开展202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年度县级财政资金绩效自评工作的通知》要求，我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对202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年度本单位整体支出进行了绩效自评，现将具体情况报告如下： 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一、部门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基本情况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部门职责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行使中共衡南县委赋予的领导全县共青团和少先队工作的职权，对全县性青年社团组织进行指导和管理。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参与制定青少年事业发展规划和青少年工作方针、政策。对青少年活动阵地和青少年服务机构的建设进行规划和管理。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参与有关青少年事务的法律和法规的制定和实施，协助县委、县政府处理、协调与青少年利益相关的事务。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调查青年思想动态和青年工作状况，研究青少年运动、青少年工作理论和思想教育问题，提出相应对策，开展各种活动。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协助政府教育部门做好中、小学生的教育管理工作，维护学校稳定和社会安定团结。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在全县经济建设中，组织和带领青年发挥生力军和突击队作用。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负责青少年外事和县内外青少年交流工作，做好青年统战对象的团结教育工作。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8、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承担县委、县政府交办的有关事项。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（二）机构设置及人员编制情况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共青团是县委领导下的群团组织，正科级参公单位，内设2个职能部（室），分别为办公室（加挂希望工程办公室、学少权益部牌子）、组织宣传部。在编在岗3人，挂职1人，兼职3人。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562" w:firstLineChars="175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二、部门整体支出管理及使用情况</w:t>
      </w:r>
    </w:p>
    <w:p>
      <w:pPr>
        <w:spacing w:line="50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（一）收入预算：202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年收入预算数为</w:t>
      </w:r>
      <w:r>
        <w:rPr>
          <w:rFonts w:hint="eastAsia" w:cs="宋体" w:asciiTheme="minorEastAsia" w:hAnsiTheme="minorEastAsia"/>
          <w:color w:val="000000"/>
          <w:sz w:val="32"/>
          <w:szCs w:val="32"/>
          <w:highlight w:val="none"/>
          <w:lang w:val="en-US" w:eastAsia="zh-CN"/>
        </w:rPr>
        <w:t>83.23</w:t>
      </w:r>
      <w:r>
        <w:rPr>
          <w:rFonts w:hint="eastAsia" w:ascii="仿宋" w:hAnsi="仿宋" w:eastAsia="仿宋"/>
          <w:sz w:val="32"/>
          <w:highlight w:val="none"/>
          <w:lang w:val="en-US"/>
        </w:rPr>
        <w:t>万元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,其中 ：一般公共预算拨款</w:t>
      </w:r>
      <w:r>
        <w:rPr>
          <w:rFonts w:hint="eastAsia" w:cs="宋体" w:asciiTheme="minorEastAsia" w:hAnsiTheme="minorEastAsia"/>
          <w:color w:val="000000"/>
          <w:sz w:val="32"/>
          <w:szCs w:val="32"/>
          <w:highlight w:val="none"/>
          <w:lang w:val="en-US" w:eastAsia="zh-CN"/>
        </w:rPr>
        <w:t>83.23</w:t>
      </w:r>
      <w:r>
        <w:rPr>
          <w:rFonts w:hint="eastAsia" w:ascii="仿宋" w:hAnsi="仿宋" w:eastAsia="仿宋"/>
          <w:sz w:val="32"/>
          <w:highlight w:val="none"/>
          <w:lang w:val="en-US"/>
        </w:rPr>
        <w:t>万元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（二）支出预算：202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年年初预算数为</w:t>
      </w:r>
      <w:r>
        <w:rPr>
          <w:rFonts w:hint="eastAsia" w:cs="宋体" w:asciiTheme="minorEastAsia" w:hAnsiTheme="minorEastAsia"/>
          <w:color w:val="000000"/>
          <w:sz w:val="32"/>
          <w:szCs w:val="32"/>
          <w:highlight w:val="none"/>
          <w:lang w:val="en-US" w:eastAsia="zh-CN"/>
        </w:rPr>
        <w:t>83.23</w:t>
      </w:r>
      <w:r>
        <w:rPr>
          <w:rFonts w:hint="eastAsia" w:ascii="仿宋" w:hAnsi="仿宋" w:eastAsia="仿宋"/>
          <w:sz w:val="32"/>
          <w:highlight w:val="none"/>
          <w:lang w:val="en-US"/>
        </w:rPr>
        <w:t>万元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。其中：一般公共服务支出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80.45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万元，社会保障和就业支出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0.18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万元，医疗卫生支出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1.6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万元，住房保障支出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万元。</w:t>
      </w:r>
    </w:p>
    <w:p>
      <w:pPr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年一般公共预算拨款收入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  <w:lang w:val="en-US" w:eastAsia="zh-CN"/>
        </w:rPr>
        <w:t>83.23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万元，具体安排情况如下：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　　（一）基本支出：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年年初预算数为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33.71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万元,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是指为保障单位机构正常运转、完成日常工作任务而发生的各项支出，包括用于基本工资、津贴补贴等人员经费以及办公费、印刷费、水电费、办公设备购置等日常公用经费。</w:t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333333"/>
          <w:kern w:val="0"/>
          <w:sz w:val="30"/>
          <w:szCs w:val="30"/>
        </w:rPr>
        <w:t>　　（二）项目支出：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 xml:space="preserve"> 202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年初预算为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49.52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万元，系保障我委承担乡镇团委工作、希望工程工作、五四青年活动、少先队工作、全委扩大会、青年志愿者服务队工作、预防青少年犯罪,青少年发展专项工作等业务工作的开支。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三、部门整体支出绩效情况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整体支出情况较好，预算编制比较合理，财政财务制度健全且执行情况良好，在职责履行上收效较为明显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为我县对侨工作顺利开展提供了有力保障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360" w:lineRule="auto"/>
        <w:ind w:firstLine="729" w:firstLineChars="228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在确保人员工资、日常公用经费的正常开支基础上，保证重点支出，压缩一般消费性支出，尤其严控“三公”经费支出，</w:t>
      </w: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“三公”经费预算总额未突破上年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widowControl/>
        <w:shd w:val="clear" w:color="auto" w:fill="FFFFFF"/>
        <w:spacing w:line="360" w:lineRule="auto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　　2、预算执行方面，支出总额控制在预算总额以内。</w:t>
      </w:r>
    </w:p>
    <w:p>
      <w:pPr>
        <w:widowControl/>
        <w:spacing w:line="360" w:lineRule="auto"/>
        <w:ind w:firstLine="630"/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 xml:space="preserve">3、严格执行了国库集中支付、政府采购等有关规定，政府采购目录内的货物与服务全部按要求实施了政府采购，确保了支出管理流程、审批手续的完整。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10101"/>
          <w:kern w:val="0"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在走访，维稳工作方面，我们认真贯彻中央、省、市、县有关指示精神，明确目标责任，把我县对侨工作深入较好地开展下去。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5、2022年度共青团衡南县委员会整体支出绩效自评考核评分95分。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四、存在的主要问题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初预算的编制较为精细，按照费用支出的使用范围和内容，进行了基本支出、项目支出的严格区分，并按照预算的最末级明细进行预算支出管理，专款专用。但对于追加的项目支出、上年结余结转的项目资金，没有进行预算分解，编制明细预算。</w:t>
      </w:r>
    </w:p>
    <w:p>
      <w:pPr>
        <w:spacing w:line="360" w:lineRule="auto"/>
        <w:ind w:firstLine="643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五、改进措施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会进一步加强内部机构的预算管理意识，严格按照预算编制的相关制度和要求，进一步提高预算编制的科学性、合理性、严谨性和可控性，在日常预算管理过程中，进一步加强预算支出的审核、跟踪及预算执行情况分析。</w:t>
      </w: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360" w:lineRule="auto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napToGrid w:val="0"/>
        <w:spacing w:line="360" w:lineRule="auto"/>
        <w:ind w:right="600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共青团衡南县委员会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spacing w:line="360" w:lineRule="auto"/>
        <w:ind w:right="600"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jMjcyMTYzZjgyNDU0NTA0ZWYzNzg4NGM3MWM0N2YifQ=="/>
  </w:docVars>
  <w:rsids>
    <w:rsidRoot w:val="1B6A1ED6"/>
    <w:rsid w:val="0B887B34"/>
    <w:rsid w:val="0D8509EC"/>
    <w:rsid w:val="12EC5067"/>
    <w:rsid w:val="1B6A1ED6"/>
    <w:rsid w:val="23E20D4A"/>
    <w:rsid w:val="28E73AF7"/>
    <w:rsid w:val="2A5408A6"/>
    <w:rsid w:val="44BC5FB9"/>
    <w:rsid w:val="55D4525D"/>
    <w:rsid w:val="565A14ED"/>
    <w:rsid w:val="67367F1D"/>
    <w:rsid w:val="697F2E91"/>
    <w:rsid w:val="69B31BA0"/>
    <w:rsid w:val="799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2021-06-07T08:46:00Z</dcterms:created>
  <dc:creator>精钢男</dc:creator>
  <cp:lastModifiedBy>孙泽宇</cp:lastModifiedBy>
  <cp:lastPrinted>2022-04-27T02:56:00Z</cp:lastPrinted>
  <dcterms:modified xsi:type="dcterms:W3CDTF">2023-10-11T08:49:13Z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B20D15C0D1614B2185E65BC7FC5428A1_13</vt:lpwstr>
  </property>
</Properties>
</file>