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val="0"/>
        <w:snapToGrid/>
        <w:spacing w:line="240" w:lineRule="auto"/>
        <w:ind w:left="420" w:leftChars="200" w:firstLine="720" w:firstLineChars="200"/>
        <w:jc w:val="center"/>
        <w:textAlignment w:val="auto"/>
        <w:rPr>
          <w:rFonts w:hint="eastAsia" w:ascii="黑体" w:hAnsi="黑体" w:eastAsia="黑体" w:cs="黑体"/>
          <w:b w:val="0"/>
          <w:bCs/>
          <w:sz w:val="36"/>
          <w:szCs w:val="36"/>
        </w:rPr>
      </w:pPr>
      <w:bookmarkStart w:id="0" w:name="_GoBack"/>
      <w:bookmarkEnd w:id="0"/>
      <w:r>
        <w:rPr>
          <w:rFonts w:hint="eastAsia" w:ascii="黑体" w:hAnsi="黑体" w:eastAsia="黑体" w:cs="黑体"/>
          <w:b w:val="0"/>
          <w:bCs/>
          <w:sz w:val="36"/>
          <w:szCs w:val="36"/>
          <w:lang w:val="en-US" w:eastAsia="zh-CN"/>
        </w:rPr>
        <w:t>中共</w:t>
      </w:r>
      <w:r>
        <w:rPr>
          <w:rFonts w:hint="eastAsia" w:ascii="黑体" w:hAnsi="黑体" w:eastAsia="黑体" w:cs="黑体"/>
          <w:b w:val="0"/>
          <w:bCs/>
          <w:sz w:val="36"/>
          <w:szCs w:val="36"/>
        </w:rPr>
        <w:t>衡南县委</w:t>
      </w:r>
      <w:r>
        <w:rPr>
          <w:rFonts w:hint="eastAsia" w:ascii="黑体" w:hAnsi="黑体" w:eastAsia="黑体" w:cs="黑体"/>
          <w:b w:val="0"/>
          <w:bCs/>
          <w:sz w:val="36"/>
          <w:szCs w:val="36"/>
          <w:lang w:eastAsia="zh-CN"/>
        </w:rPr>
        <w:t>统战部</w:t>
      </w:r>
      <w:r>
        <w:rPr>
          <w:rFonts w:hint="eastAsia" w:ascii="黑体" w:hAnsi="黑体" w:eastAsia="黑体" w:cs="黑体"/>
          <w:b w:val="0"/>
          <w:bCs/>
          <w:sz w:val="36"/>
          <w:szCs w:val="36"/>
          <w:lang w:val="en-US" w:eastAsia="zh-CN"/>
        </w:rPr>
        <w:t>2022年度</w:t>
      </w:r>
      <w:r>
        <w:rPr>
          <w:rFonts w:hint="eastAsia" w:ascii="黑体" w:hAnsi="黑体" w:eastAsia="黑体" w:cs="黑体"/>
          <w:b w:val="0"/>
          <w:bCs/>
          <w:sz w:val="36"/>
          <w:szCs w:val="36"/>
        </w:rPr>
        <w:t>整体支出</w:t>
      </w:r>
    </w:p>
    <w:p>
      <w:pPr>
        <w:keepNext w:val="0"/>
        <w:keepLines w:val="0"/>
        <w:pageBreakBefore w:val="0"/>
        <w:widowControl w:val="0"/>
        <w:kinsoku/>
        <w:wordWrap/>
        <w:overflowPunct/>
        <w:topLinePunct w:val="0"/>
        <w:autoSpaceDE/>
        <w:autoSpaceDN/>
        <w:bidi w:val="0"/>
        <w:adjustRightInd w:val="0"/>
        <w:snapToGrid/>
        <w:spacing w:line="240" w:lineRule="auto"/>
        <w:ind w:left="420" w:leftChars="200" w:firstLine="720" w:firstLineChars="200"/>
        <w:jc w:val="center"/>
        <w:textAlignment w:val="auto"/>
        <w:rPr>
          <w:rFonts w:hint="eastAsia" w:ascii="黑体" w:hAnsi="黑体" w:eastAsia="黑体" w:cs="黑体"/>
          <w:b w:val="0"/>
          <w:bCs/>
          <w:sz w:val="36"/>
          <w:szCs w:val="36"/>
        </w:rPr>
      </w:pPr>
      <w:r>
        <w:rPr>
          <w:rFonts w:hint="eastAsia" w:ascii="黑体" w:hAnsi="黑体" w:eastAsia="黑体" w:cs="黑体"/>
          <w:b w:val="0"/>
          <w:bCs/>
          <w:sz w:val="36"/>
          <w:szCs w:val="36"/>
        </w:rPr>
        <w:t>绩效评价报告</w:t>
      </w:r>
    </w:p>
    <w:p>
      <w:pPr>
        <w:pStyle w:val="2"/>
        <w:rPr>
          <w:rFonts w:hint="eastAsia" w:ascii="仿宋" w:hAnsi="仿宋" w:eastAsia="仿宋" w:cs="仿宋"/>
          <w:sz w:val="32"/>
          <w:szCs w:val="32"/>
        </w:rPr>
      </w:pPr>
    </w:p>
    <w:p>
      <w:pPr>
        <w:keepNext w:val="0"/>
        <w:keepLines w:val="0"/>
        <w:pageBreakBefore w:val="0"/>
        <w:widowControl w:val="0"/>
        <w:numPr>
          <w:ilvl w:val="0"/>
          <w:numId w:val="0"/>
        </w:numPr>
        <w:kinsoku/>
        <w:wordWrap/>
        <w:overflowPunct/>
        <w:topLinePunct w:val="0"/>
        <w:autoSpaceDE/>
        <w:autoSpaceDN/>
        <w:bidi w:val="0"/>
        <w:adjustRightInd w:val="0"/>
        <w:snapToGrid/>
        <w:spacing w:line="240" w:lineRule="auto"/>
        <w:ind w:left="420" w:leftChars="200" w:firstLine="624" w:firstLineChars="200"/>
        <w:jc w:val="both"/>
        <w:textAlignment w:val="auto"/>
        <w:rPr>
          <w:rFonts w:hint="eastAsia" w:ascii="仿宋" w:hAnsi="仿宋" w:eastAsia="仿宋" w:cs="仿宋"/>
          <w:spacing w:val="-4"/>
          <w:sz w:val="32"/>
          <w:szCs w:val="32"/>
        </w:rPr>
      </w:pPr>
      <w:r>
        <w:rPr>
          <w:rFonts w:hint="eastAsia" w:ascii="仿宋" w:hAnsi="仿宋" w:eastAsia="仿宋" w:cs="仿宋"/>
          <w:spacing w:val="-4"/>
          <w:sz w:val="32"/>
          <w:szCs w:val="32"/>
        </w:rPr>
        <w:t>为加强财政预算资金管理，进一步规范预算资金使用，提高财政资金使用效益，根据《衡南县财政局关于开展202</w:t>
      </w:r>
      <w:r>
        <w:rPr>
          <w:rFonts w:hint="eastAsia" w:ascii="仿宋" w:hAnsi="仿宋" w:eastAsia="仿宋" w:cs="仿宋"/>
          <w:spacing w:val="-4"/>
          <w:sz w:val="32"/>
          <w:szCs w:val="32"/>
          <w:lang w:val="en-US" w:eastAsia="zh-CN"/>
        </w:rPr>
        <w:t>2</w:t>
      </w:r>
      <w:r>
        <w:rPr>
          <w:rFonts w:hint="eastAsia" w:ascii="仿宋" w:hAnsi="仿宋" w:eastAsia="仿宋" w:cs="仿宋"/>
          <w:spacing w:val="-4"/>
          <w:sz w:val="32"/>
          <w:szCs w:val="32"/>
        </w:rPr>
        <w:t>年度县级财政资金绩效自评工作的通知》要求，我局积极组织，对202</w:t>
      </w:r>
      <w:r>
        <w:rPr>
          <w:rFonts w:hint="eastAsia" w:ascii="仿宋" w:hAnsi="仿宋" w:eastAsia="仿宋" w:cs="仿宋"/>
          <w:spacing w:val="-4"/>
          <w:sz w:val="32"/>
          <w:szCs w:val="32"/>
          <w:lang w:val="en-US" w:eastAsia="zh-CN"/>
        </w:rPr>
        <w:t>2</w:t>
      </w:r>
      <w:r>
        <w:rPr>
          <w:rFonts w:hint="eastAsia" w:ascii="仿宋" w:hAnsi="仿宋" w:eastAsia="仿宋" w:cs="仿宋"/>
          <w:spacing w:val="-4"/>
          <w:sz w:val="32"/>
          <w:szCs w:val="32"/>
        </w:rPr>
        <w:t xml:space="preserve">年度本单位整体支出进行了绩效自评，现将具体绩效评价情况报告如下：    </w:t>
      </w:r>
    </w:p>
    <w:p>
      <w:pPr>
        <w:keepNext w:val="0"/>
        <w:keepLines w:val="0"/>
        <w:pageBreakBefore w:val="0"/>
        <w:widowControl w:val="0"/>
        <w:numPr>
          <w:ilvl w:val="0"/>
          <w:numId w:val="0"/>
        </w:numPr>
        <w:kinsoku/>
        <w:wordWrap/>
        <w:overflowPunct/>
        <w:topLinePunct w:val="0"/>
        <w:autoSpaceDE/>
        <w:autoSpaceDN/>
        <w:bidi w:val="0"/>
        <w:adjustRightInd w:val="0"/>
        <w:snapToGrid/>
        <w:spacing w:line="240" w:lineRule="auto"/>
        <w:ind w:left="420" w:leftChars="200" w:firstLine="635" w:firstLineChars="200"/>
        <w:jc w:val="both"/>
        <w:textAlignment w:val="auto"/>
        <w:rPr>
          <w:rFonts w:hint="eastAsia" w:ascii="仿宋" w:hAnsi="仿宋" w:eastAsia="仿宋" w:cs="仿宋"/>
          <w:b/>
          <w:bCs/>
          <w:sz w:val="32"/>
          <w:szCs w:val="32"/>
          <w:lang w:eastAsia="zh-CN"/>
        </w:rPr>
      </w:pPr>
      <w:r>
        <w:rPr>
          <w:rFonts w:hint="eastAsia" w:ascii="仿宋" w:hAnsi="仿宋" w:eastAsia="仿宋" w:cs="仿宋"/>
          <w:b/>
          <w:bCs/>
          <w:spacing w:val="-2"/>
          <w:sz w:val="32"/>
          <w:szCs w:val="32"/>
          <w:lang w:eastAsia="zh-CN"/>
        </w:rPr>
        <w:t>一、单位</w:t>
      </w:r>
      <w:r>
        <w:rPr>
          <w:rFonts w:hint="eastAsia" w:ascii="仿宋" w:hAnsi="仿宋" w:eastAsia="仿宋" w:cs="仿宋"/>
          <w:b/>
          <w:bCs/>
          <w:sz w:val="32"/>
          <w:szCs w:val="32"/>
          <w:lang w:eastAsia="zh-CN"/>
        </w:rPr>
        <w:t>概况</w:t>
      </w:r>
    </w:p>
    <w:p>
      <w:pPr>
        <w:keepNext w:val="0"/>
        <w:keepLines w:val="0"/>
        <w:pageBreakBefore w:val="0"/>
        <w:widowControl w:val="0"/>
        <w:kinsoku/>
        <w:wordWrap/>
        <w:overflowPunct/>
        <w:topLinePunct w:val="0"/>
        <w:autoSpaceDE/>
        <w:autoSpaceDN/>
        <w:bidi w:val="0"/>
        <w:adjustRightInd w:val="0"/>
        <w:snapToGrid/>
        <w:spacing w:line="240" w:lineRule="auto"/>
        <w:ind w:left="420" w:leftChars="200" w:firstLine="640"/>
        <w:jc w:val="both"/>
        <w:textAlignment w:val="auto"/>
        <w:rPr>
          <w:rFonts w:hint="eastAsia" w:ascii="仿宋" w:hAnsi="仿宋" w:eastAsia="仿宋" w:cs="仿宋"/>
          <w:sz w:val="32"/>
          <w:szCs w:val="32"/>
        </w:rPr>
      </w:pPr>
      <w:r>
        <w:rPr>
          <w:rFonts w:hint="eastAsia" w:ascii="仿宋" w:hAnsi="仿宋" w:eastAsia="仿宋" w:cs="仿宋"/>
          <w:sz w:val="32"/>
          <w:szCs w:val="32"/>
        </w:rPr>
        <w:t>衡南县委</w:t>
      </w:r>
      <w:r>
        <w:rPr>
          <w:rFonts w:hint="eastAsia" w:ascii="仿宋" w:hAnsi="仿宋" w:eastAsia="仿宋" w:cs="仿宋"/>
          <w:sz w:val="32"/>
          <w:szCs w:val="32"/>
          <w:lang w:eastAsia="zh-CN"/>
        </w:rPr>
        <w:t>统战部</w:t>
      </w:r>
      <w:r>
        <w:rPr>
          <w:rFonts w:hint="eastAsia" w:ascii="仿宋" w:hAnsi="仿宋" w:eastAsia="仿宋" w:cs="仿宋"/>
          <w:sz w:val="32"/>
          <w:szCs w:val="32"/>
        </w:rPr>
        <w:t>为</w:t>
      </w:r>
      <w:r>
        <w:rPr>
          <w:rFonts w:hint="eastAsia" w:ascii="仿宋" w:hAnsi="仿宋" w:eastAsia="仿宋" w:cs="仿宋"/>
          <w:sz w:val="32"/>
          <w:szCs w:val="32"/>
          <w:lang w:eastAsia="zh-CN"/>
        </w:rPr>
        <w:t>独立核算</w:t>
      </w:r>
      <w:r>
        <w:rPr>
          <w:rFonts w:hint="eastAsia" w:ascii="仿宋" w:hAnsi="仿宋" w:eastAsia="仿宋" w:cs="仿宋"/>
          <w:sz w:val="32"/>
          <w:szCs w:val="32"/>
        </w:rPr>
        <w:t>全额财政拨款单位，纳入国库集中支付体系，</w:t>
      </w:r>
      <w:r>
        <w:rPr>
          <w:rFonts w:hint="eastAsia" w:ascii="仿宋" w:hAnsi="仿宋" w:eastAsia="仿宋" w:cs="仿宋"/>
          <w:sz w:val="32"/>
          <w:szCs w:val="32"/>
          <w:lang w:eastAsia="zh-CN"/>
        </w:rPr>
        <w:t>单位</w:t>
      </w:r>
      <w:r>
        <w:rPr>
          <w:rFonts w:hint="eastAsia" w:ascii="仿宋" w:hAnsi="仿宋" w:eastAsia="仿宋" w:cs="仿宋"/>
          <w:sz w:val="32"/>
          <w:szCs w:val="32"/>
        </w:rPr>
        <w:t>财务制度执行《</w:t>
      </w:r>
      <w:r>
        <w:rPr>
          <w:rFonts w:hint="eastAsia" w:ascii="仿宋" w:hAnsi="仿宋" w:eastAsia="仿宋" w:cs="仿宋"/>
          <w:sz w:val="32"/>
          <w:szCs w:val="32"/>
          <w:lang w:eastAsia="zh-CN"/>
        </w:rPr>
        <w:t>政府</w:t>
      </w:r>
      <w:r>
        <w:rPr>
          <w:rFonts w:hint="eastAsia" w:ascii="仿宋" w:hAnsi="仿宋" w:eastAsia="仿宋" w:cs="仿宋"/>
          <w:sz w:val="32"/>
          <w:szCs w:val="32"/>
        </w:rPr>
        <w:t>会计制度》。</w:t>
      </w:r>
    </w:p>
    <w:p>
      <w:pPr>
        <w:keepNext w:val="0"/>
        <w:keepLines w:val="0"/>
        <w:pageBreakBefore w:val="0"/>
        <w:widowControl w:val="0"/>
        <w:kinsoku/>
        <w:wordWrap/>
        <w:overflowPunct/>
        <w:topLinePunct w:val="0"/>
        <w:autoSpaceDE/>
        <w:autoSpaceDN/>
        <w:bidi w:val="0"/>
        <w:adjustRightInd w:val="0"/>
        <w:snapToGrid/>
        <w:spacing w:line="240" w:lineRule="auto"/>
        <w:ind w:left="420" w:leftChars="200" w:firstLine="643" w:firstLineChars="200"/>
        <w:jc w:val="both"/>
        <w:textAlignment w:val="auto"/>
        <w:rPr>
          <w:rFonts w:hint="eastAsia" w:ascii="仿宋" w:hAnsi="仿宋" w:eastAsia="仿宋" w:cs="仿宋"/>
          <w:b/>
          <w:bCs/>
          <w:sz w:val="32"/>
          <w:szCs w:val="32"/>
        </w:rPr>
      </w:pPr>
      <w:r>
        <w:rPr>
          <w:rFonts w:hint="eastAsia" w:ascii="仿宋" w:hAnsi="仿宋" w:eastAsia="仿宋" w:cs="仿宋"/>
          <w:b/>
          <w:bCs/>
          <w:sz w:val="32"/>
          <w:szCs w:val="32"/>
        </w:rPr>
        <w:t>（一）</w:t>
      </w:r>
      <w:r>
        <w:rPr>
          <w:rFonts w:hint="eastAsia" w:ascii="仿宋" w:hAnsi="仿宋" w:eastAsia="仿宋" w:cs="仿宋"/>
          <w:b/>
          <w:bCs/>
          <w:sz w:val="32"/>
          <w:szCs w:val="32"/>
          <w:lang w:eastAsia="zh-CN"/>
        </w:rPr>
        <w:t>机构编制</w:t>
      </w:r>
      <w:r>
        <w:rPr>
          <w:rFonts w:hint="eastAsia" w:ascii="仿宋" w:hAnsi="仿宋" w:eastAsia="仿宋" w:cs="仿宋"/>
          <w:b/>
          <w:bCs/>
          <w:sz w:val="32"/>
          <w:szCs w:val="32"/>
        </w:rPr>
        <w:t>情况</w:t>
      </w:r>
    </w:p>
    <w:p>
      <w:pPr>
        <w:keepNext w:val="0"/>
        <w:keepLines w:val="0"/>
        <w:pageBreakBefore w:val="0"/>
        <w:widowControl w:val="0"/>
        <w:kinsoku/>
        <w:wordWrap/>
        <w:overflowPunct/>
        <w:topLinePunct w:val="0"/>
        <w:autoSpaceDE/>
        <w:autoSpaceDN/>
        <w:bidi w:val="0"/>
        <w:adjustRightInd w:val="0"/>
        <w:snapToGrid/>
        <w:spacing w:line="240" w:lineRule="auto"/>
        <w:ind w:left="420" w:leftChars="200" w:firstLine="640"/>
        <w:jc w:val="both"/>
        <w:textAlignment w:val="auto"/>
        <w:rPr>
          <w:rFonts w:hint="eastAsia" w:ascii="仿宋" w:hAnsi="仿宋" w:eastAsia="仿宋" w:cs="仿宋"/>
          <w:sz w:val="32"/>
          <w:szCs w:val="32"/>
        </w:rPr>
      </w:pPr>
      <w:r>
        <w:rPr>
          <w:rFonts w:hint="eastAsia" w:ascii="仿宋" w:hAnsi="仿宋" w:eastAsia="仿宋" w:cs="仿宋"/>
          <w:sz w:val="32"/>
          <w:szCs w:val="32"/>
        </w:rPr>
        <w:t>我</w:t>
      </w:r>
      <w:r>
        <w:rPr>
          <w:rFonts w:hint="eastAsia" w:ascii="仿宋" w:hAnsi="仿宋" w:eastAsia="仿宋" w:cs="仿宋"/>
          <w:sz w:val="32"/>
          <w:szCs w:val="32"/>
          <w:lang w:eastAsia="zh-CN"/>
        </w:rPr>
        <w:t>部内</w:t>
      </w:r>
      <w:r>
        <w:rPr>
          <w:rFonts w:hint="eastAsia" w:ascii="仿宋" w:hAnsi="仿宋" w:eastAsia="仿宋" w:cs="仿宋"/>
          <w:sz w:val="32"/>
          <w:szCs w:val="32"/>
        </w:rPr>
        <w:t>设</w:t>
      </w:r>
      <w:r>
        <w:rPr>
          <w:rFonts w:hint="eastAsia" w:ascii="仿宋" w:hAnsi="仿宋" w:eastAsia="仿宋" w:cs="仿宋"/>
          <w:sz w:val="32"/>
          <w:szCs w:val="32"/>
          <w:lang w:eastAsia="zh-CN"/>
        </w:rPr>
        <w:t>办公室、非公经济工作室、干部工作室（党派室）、民族宗教侨务工作室</w:t>
      </w:r>
      <w:r>
        <w:rPr>
          <w:rFonts w:hint="eastAsia" w:ascii="仿宋" w:hAnsi="仿宋" w:eastAsia="仿宋" w:cs="仿宋"/>
          <w:sz w:val="32"/>
          <w:szCs w:val="32"/>
        </w:rPr>
        <w:t>等</w:t>
      </w:r>
      <w:r>
        <w:rPr>
          <w:rFonts w:hint="eastAsia" w:ascii="仿宋" w:hAnsi="仿宋" w:eastAsia="仿宋" w:cs="仿宋"/>
          <w:sz w:val="32"/>
          <w:szCs w:val="32"/>
          <w:lang w:eastAsia="zh-CN"/>
        </w:rPr>
        <w:t>四个</w:t>
      </w:r>
      <w:r>
        <w:rPr>
          <w:rFonts w:hint="eastAsia" w:ascii="仿宋" w:hAnsi="仿宋" w:eastAsia="仿宋" w:cs="仿宋"/>
          <w:sz w:val="32"/>
          <w:szCs w:val="32"/>
        </w:rPr>
        <w:t>相关</w:t>
      </w:r>
      <w:r>
        <w:rPr>
          <w:rFonts w:hint="eastAsia" w:ascii="仿宋" w:hAnsi="仿宋" w:eastAsia="仿宋" w:cs="仿宋"/>
          <w:sz w:val="32"/>
          <w:szCs w:val="32"/>
          <w:lang w:eastAsia="zh-CN"/>
        </w:rPr>
        <w:t>办</w:t>
      </w:r>
      <w:r>
        <w:rPr>
          <w:rFonts w:hint="eastAsia" w:ascii="仿宋" w:hAnsi="仿宋" w:eastAsia="仿宋" w:cs="仿宋"/>
          <w:sz w:val="32"/>
          <w:szCs w:val="32"/>
        </w:rPr>
        <w:t>室</w:t>
      </w:r>
      <w:r>
        <w:rPr>
          <w:rFonts w:hint="eastAsia" w:ascii="仿宋" w:hAnsi="仿宋" w:eastAsia="仿宋" w:cs="仿宋"/>
          <w:sz w:val="32"/>
          <w:szCs w:val="32"/>
          <w:lang w:eastAsia="zh-CN"/>
        </w:rPr>
        <w:t>及非独立核算二级事业机构二个：衡南县党外知识分子工作办公室、衡南县宗教事务中心。</w:t>
      </w:r>
      <w:r>
        <w:rPr>
          <w:rFonts w:hint="eastAsia" w:ascii="仿宋" w:hAnsi="仿宋" w:eastAsia="仿宋" w:cs="仿宋"/>
          <w:sz w:val="32"/>
          <w:szCs w:val="32"/>
        </w:rPr>
        <w:t>截止20</w:t>
      </w:r>
      <w:r>
        <w:rPr>
          <w:rFonts w:hint="eastAsia" w:ascii="仿宋" w:hAnsi="仿宋" w:eastAsia="仿宋" w:cs="仿宋"/>
          <w:sz w:val="32"/>
          <w:szCs w:val="32"/>
          <w:lang w:val="en-US" w:eastAsia="zh-CN"/>
        </w:rPr>
        <w:t>22</w:t>
      </w:r>
      <w:r>
        <w:rPr>
          <w:rFonts w:hint="eastAsia" w:ascii="仿宋" w:hAnsi="仿宋" w:eastAsia="仿宋" w:cs="仿宋"/>
          <w:sz w:val="32"/>
          <w:szCs w:val="32"/>
        </w:rPr>
        <w:t>年底</w:t>
      </w:r>
      <w:r>
        <w:rPr>
          <w:rFonts w:hint="eastAsia" w:ascii="仿宋" w:hAnsi="仿宋" w:eastAsia="仿宋" w:cs="仿宋"/>
          <w:sz w:val="32"/>
          <w:szCs w:val="32"/>
          <w:lang w:eastAsia="zh-CN"/>
        </w:rPr>
        <w:t>，单位行政编制人数</w:t>
      </w:r>
      <w:r>
        <w:rPr>
          <w:rFonts w:hint="eastAsia" w:ascii="仿宋" w:hAnsi="仿宋" w:eastAsia="仿宋" w:cs="仿宋"/>
          <w:sz w:val="32"/>
          <w:szCs w:val="32"/>
          <w:lang w:val="en-US" w:eastAsia="zh-CN"/>
        </w:rPr>
        <w:t>8个，实有6人；全额事业编制人数10个（含工勤编1个），</w:t>
      </w:r>
      <w:r>
        <w:rPr>
          <w:rFonts w:hint="eastAsia" w:ascii="仿宋" w:hAnsi="仿宋" w:eastAsia="仿宋" w:cs="仿宋"/>
          <w:sz w:val="32"/>
          <w:szCs w:val="32"/>
        </w:rPr>
        <w:t>实有</w:t>
      </w:r>
      <w:r>
        <w:rPr>
          <w:rFonts w:hint="eastAsia" w:ascii="仿宋" w:hAnsi="仿宋" w:eastAsia="仿宋" w:cs="仿宋"/>
          <w:sz w:val="32"/>
          <w:szCs w:val="32"/>
          <w:lang w:val="en-US" w:eastAsia="zh-CN"/>
        </w:rPr>
        <w:t>6人，</w:t>
      </w:r>
      <w:r>
        <w:rPr>
          <w:rFonts w:hint="eastAsia" w:ascii="仿宋" w:hAnsi="仿宋" w:eastAsia="仿宋" w:cs="仿宋"/>
          <w:sz w:val="32"/>
          <w:szCs w:val="32"/>
        </w:rPr>
        <w:t>共计</w:t>
      </w:r>
      <w:r>
        <w:rPr>
          <w:rFonts w:hint="eastAsia" w:ascii="仿宋" w:hAnsi="仿宋" w:eastAsia="仿宋" w:cs="仿宋"/>
          <w:sz w:val="32"/>
          <w:szCs w:val="32"/>
          <w:lang w:eastAsia="zh-CN"/>
        </w:rPr>
        <w:t>编制人数</w:t>
      </w:r>
      <w:r>
        <w:rPr>
          <w:rFonts w:hint="eastAsia" w:ascii="仿宋" w:hAnsi="仿宋" w:eastAsia="仿宋" w:cs="仿宋"/>
          <w:sz w:val="32"/>
          <w:szCs w:val="32"/>
          <w:lang w:val="en-US" w:eastAsia="zh-CN"/>
        </w:rPr>
        <w:t>18个，实有12</w:t>
      </w:r>
      <w:r>
        <w:rPr>
          <w:rFonts w:hint="eastAsia" w:ascii="仿宋" w:hAnsi="仿宋" w:eastAsia="仿宋" w:cs="仿宋"/>
          <w:sz w:val="32"/>
          <w:szCs w:val="32"/>
        </w:rPr>
        <w:t xml:space="preserve">人。 </w:t>
      </w:r>
    </w:p>
    <w:p>
      <w:pPr>
        <w:pStyle w:val="2"/>
        <w:rPr>
          <w:rFonts w:hint="eastAsia"/>
        </w:rPr>
      </w:pPr>
    </w:p>
    <w:p>
      <w:pPr>
        <w:pStyle w:val="2"/>
        <w:rPr>
          <w:rFonts w:hint="eastAsia"/>
        </w:rPr>
      </w:pPr>
    </w:p>
    <w:p>
      <w:pPr>
        <w:keepNext w:val="0"/>
        <w:keepLines w:val="0"/>
        <w:pageBreakBefore w:val="0"/>
        <w:widowControl w:val="0"/>
        <w:kinsoku/>
        <w:wordWrap/>
        <w:overflowPunct/>
        <w:topLinePunct w:val="0"/>
        <w:autoSpaceDE/>
        <w:autoSpaceDN/>
        <w:bidi w:val="0"/>
        <w:adjustRightInd w:val="0"/>
        <w:snapToGrid/>
        <w:spacing w:line="240" w:lineRule="auto"/>
        <w:ind w:firstLine="964" w:firstLineChars="300"/>
        <w:jc w:val="both"/>
        <w:textAlignment w:val="auto"/>
        <w:rPr>
          <w:rFonts w:hint="eastAsia" w:ascii="仿宋" w:hAnsi="仿宋" w:eastAsia="仿宋" w:cs="仿宋"/>
          <w:b/>
          <w:bCs/>
          <w:sz w:val="32"/>
          <w:szCs w:val="32"/>
        </w:rPr>
      </w:pPr>
      <w:r>
        <w:rPr>
          <w:rFonts w:hint="eastAsia" w:ascii="仿宋" w:hAnsi="仿宋" w:eastAsia="仿宋" w:cs="仿宋"/>
          <w:b/>
          <w:bCs/>
          <w:sz w:val="32"/>
          <w:szCs w:val="32"/>
        </w:rPr>
        <w:t>（二）主要工作职责</w:t>
      </w:r>
    </w:p>
    <w:p>
      <w:pPr>
        <w:keepNext w:val="0"/>
        <w:keepLines w:val="0"/>
        <w:pageBreakBefore w:val="0"/>
        <w:widowControl w:val="0"/>
        <w:kinsoku/>
        <w:wordWrap/>
        <w:overflowPunct/>
        <w:topLinePunct w:val="0"/>
        <w:autoSpaceDE/>
        <w:autoSpaceDN/>
        <w:bidi w:val="0"/>
        <w:adjustRightInd w:val="0"/>
        <w:snapToGrid/>
        <w:spacing w:line="240" w:lineRule="auto"/>
        <w:ind w:left="420" w:leftChars="200" w:firstLine="640" w:firstLineChars="200"/>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（１）贯彻执行中央和省委、市委、县委有关方针、政策；调查研究统一战线理论和方针、政策，向县委反映统一战线情况，提出统战工作的意见和建议；检查统战政策执行情况，协调统一战线各方面的关系。 （２）负责联系各民主党派和无党派代表人士，及时通报情况，反映他们的意见和建议；研究、贯彻党领导的多党合作和政治协商制度及对民主党派的方针、政策；落实中央关于发挥民主党派、无党派人士参政议政和民主监督作用的工作；支持、帮助各民主党派加强自身建设，选拔、培养新一代代表人物。 （３）负责调查研究、协调检查有关民族、宗教工作的重大方针、政策问题；联系少数民族和宗教界的代表人物；协助有关部门做好少数民族干部的培养和举荐工作。 （４）负责开展以祖国统一为重点的海外统战工作；联系港、澳、台和华侨华人中的有关社团及代表人士；做好台胞、台属及侨属侨眷的有关工作。　（５）负责党外人士的政治安排，会同有关部门做好培养、选拔、推荐党外人士担任政府和司法机关领导职务的工作，做好党外后备干部和新的代表人物队伍的建设工作。 （６）负责联系工商联、联系港、澳、台及海外工商社团和代表人士。调查、研究并反映非公有制经济代表人物的情况，协调关系，提出政策建议，选拔、培养积极分子队伍。 （７）调查研究党外知识分子的情况，反映意见，协调关系，提出政策建议；联系并培养党外知识分子的代表人物。　（８）协调政府各有关部门的统战工作。　（9）完成各级党委交办的其他任务。</w:t>
      </w:r>
    </w:p>
    <w:p>
      <w:pPr>
        <w:pStyle w:val="2"/>
        <w:rPr>
          <w:rFonts w:hint="eastAsia" w:ascii="仿宋" w:hAnsi="仿宋" w:eastAsia="仿宋" w:cs="仿宋"/>
          <w:sz w:val="32"/>
          <w:szCs w:val="32"/>
          <w:lang w:val="en-US" w:eastAsia="zh-CN"/>
        </w:rPr>
      </w:pPr>
    </w:p>
    <w:p>
      <w:pPr>
        <w:rPr>
          <w:rFonts w:hint="eastAsia" w:ascii="仿宋" w:hAnsi="仿宋" w:eastAsia="仿宋" w:cs="仿宋"/>
          <w:sz w:val="32"/>
          <w:szCs w:val="32"/>
          <w:lang w:val="en-US" w:eastAsia="zh-CN"/>
        </w:rPr>
      </w:pPr>
    </w:p>
    <w:p>
      <w:pPr>
        <w:pStyle w:val="2"/>
        <w:rPr>
          <w:rFonts w:hint="eastAsia"/>
          <w:lang w:val="en-US" w:eastAsia="zh-CN"/>
        </w:rPr>
      </w:pPr>
    </w:p>
    <w:p>
      <w:pPr>
        <w:pStyle w:val="2"/>
        <w:rPr>
          <w:rFonts w:hint="eastAsia" w:ascii="仿宋" w:hAnsi="仿宋" w:eastAsia="仿宋" w:cs="仿宋"/>
          <w:sz w:val="32"/>
          <w:szCs w:val="32"/>
          <w:lang w:val="en-US" w:eastAsia="zh-CN"/>
        </w:rPr>
      </w:pPr>
    </w:p>
    <w:p>
      <w:pPr>
        <w:keepNext w:val="0"/>
        <w:keepLines w:val="0"/>
        <w:pageBreakBefore w:val="0"/>
        <w:widowControl w:val="0"/>
        <w:numPr>
          <w:ilvl w:val="0"/>
          <w:numId w:val="1"/>
        </w:numPr>
        <w:kinsoku/>
        <w:wordWrap/>
        <w:overflowPunct/>
        <w:topLinePunct w:val="0"/>
        <w:autoSpaceDE/>
        <w:autoSpaceDN/>
        <w:bidi w:val="0"/>
        <w:adjustRightInd w:val="0"/>
        <w:snapToGrid/>
        <w:spacing w:line="240" w:lineRule="auto"/>
        <w:ind w:left="420" w:leftChars="200" w:firstLine="643" w:firstLineChars="200"/>
        <w:jc w:val="both"/>
        <w:textAlignment w:val="auto"/>
        <w:rPr>
          <w:rFonts w:hint="eastAsia" w:ascii="仿宋" w:hAnsi="仿宋" w:eastAsia="仿宋" w:cs="仿宋"/>
          <w:b/>
          <w:bCs/>
          <w:sz w:val="32"/>
          <w:szCs w:val="32"/>
        </w:rPr>
      </w:pPr>
      <w:r>
        <w:rPr>
          <w:rFonts w:hint="eastAsia" w:ascii="仿宋" w:hAnsi="仿宋" w:eastAsia="仿宋" w:cs="仿宋"/>
          <w:b/>
          <w:bCs/>
          <w:sz w:val="32"/>
          <w:szCs w:val="32"/>
        </w:rPr>
        <w:t>部门整体支出管理及使用情况</w:t>
      </w:r>
    </w:p>
    <w:p>
      <w:pPr>
        <w:pStyle w:val="2"/>
        <w:rPr>
          <w:rFonts w:hint="eastAsia"/>
        </w:rPr>
      </w:pPr>
    </w:p>
    <w:p>
      <w:pPr>
        <w:spacing w:line="600" w:lineRule="exact"/>
        <w:ind w:firstLine="200"/>
        <w:rPr>
          <w:rFonts w:hint="eastAsia" w:ascii="仿宋" w:hAnsi="仿宋" w:eastAsia="仿宋" w:cs="仿宋"/>
          <w:spacing w:val="-4"/>
          <w:sz w:val="32"/>
          <w:szCs w:val="32"/>
        </w:rPr>
      </w:pPr>
      <w:r>
        <w:rPr>
          <w:rFonts w:hint="eastAsia" w:ascii="仿宋" w:hAnsi="仿宋" w:eastAsia="仿宋" w:cs="仿宋"/>
          <w:spacing w:val="-4"/>
          <w:sz w:val="32"/>
          <w:szCs w:val="32"/>
        </w:rPr>
        <w:t>（一）、收入支出决算总体情况说明</w:t>
      </w:r>
    </w:p>
    <w:p>
      <w:pPr>
        <w:spacing w:line="600" w:lineRule="exact"/>
        <w:ind w:firstLine="624" w:firstLineChars="200"/>
        <w:rPr>
          <w:rFonts w:hint="eastAsia" w:ascii="仿宋" w:hAnsi="仿宋" w:eastAsia="仿宋" w:cs="仿宋"/>
          <w:spacing w:val="-4"/>
          <w:sz w:val="32"/>
          <w:szCs w:val="32"/>
        </w:rPr>
      </w:pPr>
      <w:r>
        <w:rPr>
          <w:rFonts w:hint="eastAsia" w:ascii="仿宋" w:hAnsi="仿宋" w:eastAsia="仿宋" w:cs="仿宋"/>
          <w:spacing w:val="-4"/>
          <w:sz w:val="32"/>
          <w:szCs w:val="32"/>
        </w:rPr>
        <w:t>1、部门预算收支情况</w:t>
      </w:r>
    </w:p>
    <w:p>
      <w:pPr>
        <w:keepNext w:val="0"/>
        <w:keepLines w:val="0"/>
        <w:pageBreakBefore w:val="0"/>
        <w:widowControl w:val="0"/>
        <w:kinsoku/>
        <w:wordWrap/>
        <w:overflowPunct/>
        <w:topLinePunct w:val="0"/>
        <w:autoSpaceDN/>
        <w:bidi w:val="0"/>
        <w:adjustRightInd w:val="0"/>
        <w:snapToGrid/>
        <w:spacing w:line="240" w:lineRule="auto"/>
        <w:ind w:left="420" w:leftChars="200" w:firstLine="640" w:firstLineChars="200"/>
        <w:jc w:val="both"/>
        <w:textAlignment w:val="auto"/>
        <w:rPr>
          <w:rFonts w:hint="eastAsia" w:ascii="仿宋" w:hAnsi="仿宋" w:eastAsia="仿宋" w:cs="仿宋"/>
          <w:color w:val="333333"/>
          <w:sz w:val="32"/>
          <w:szCs w:val="32"/>
        </w:rPr>
      </w:pPr>
      <w:r>
        <w:rPr>
          <w:rFonts w:hint="eastAsia" w:ascii="仿宋" w:hAnsi="仿宋" w:eastAsia="仿宋" w:cs="仿宋"/>
          <w:kern w:val="0"/>
          <w:sz w:val="32"/>
          <w:szCs w:val="32"/>
        </w:rPr>
        <w:t>按照综合预算的原则，</w:t>
      </w:r>
      <w:r>
        <w:rPr>
          <w:rFonts w:hint="eastAsia" w:ascii="仿宋" w:hAnsi="仿宋" w:eastAsia="仿宋" w:cs="仿宋"/>
          <w:kern w:val="0"/>
          <w:sz w:val="32"/>
          <w:szCs w:val="32"/>
          <w:lang w:eastAsia="zh-CN"/>
        </w:rPr>
        <w:t>本单位</w:t>
      </w:r>
      <w:r>
        <w:rPr>
          <w:rFonts w:hint="eastAsia" w:ascii="仿宋" w:hAnsi="仿宋" w:eastAsia="仿宋" w:cs="仿宋"/>
          <w:kern w:val="0"/>
          <w:sz w:val="32"/>
          <w:szCs w:val="32"/>
        </w:rPr>
        <w:t>所有收入和支出均纳入预算管理。</w:t>
      </w:r>
      <w:r>
        <w:rPr>
          <w:rFonts w:hint="eastAsia" w:ascii="仿宋" w:hAnsi="仿宋" w:eastAsia="仿宋" w:cs="仿宋"/>
          <w:color w:val="333333"/>
          <w:sz w:val="32"/>
          <w:szCs w:val="32"/>
          <w:lang w:eastAsia="zh-CN"/>
        </w:rPr>
        <w:t>根据</w:t>
      </w:r>
      <w:r>
        <w:rPr>
          <w:rFonts w:hint="eastAsia" w:ascii="仿宋" w:hAnsi="仿宋" w:eastAsia="仿宋" w:cs="仿宋"/>
          <w:color w:val="333333"/>
          <w:sz w:val="32"/>
          <w:szCs w:val="32"/>
        </w:rPr>
        <w:t>本级</w:t>
      </w:r>
      <w:r>
        <w:rPr>
          <w:rFonts w:hint="eastAsia" w:ascii="仿宋" w:hAnsi="仿宋" w:eastAsia="仿宋" w:cs="仿宋"/>
          <w:color w:val="333333"/>
          <w:sz w:val="32"/>
          <w:szCs w:val="32"/>
          <w:lang w:eastAsia="zh-CN"/>
        </w:rPr>
        <w:t>财政</w:t>
      </w:r>
      <w:r>
        <w:rPr>
          <w:rFonts w:hint="eastAsia" w:ascii="仿宋" w:hAnsi="仿宋" w:eastAsia="仿宋" w:cs="仿宋"/>
          <w:color w:val="333333"/>
          <w:sz w:val="32"/>
          <w:szCs w:val="32"/>
        </w:rPr>
        <w:t>部门预算批复，20</w:t>
      </w:r>
      <w:r>
        <w:rPr>
          <w:rFonts w:hint="eastAsia" w:ascii="仿宋" w:hAnsi="仿宋" w:eastAsia="仿宋" w:cs="仿宋"/>
          <w:color w:val="333333"/>
          <w:sz w:val="32"/>
          <w:szCs w:val="32"/>
          <w:lang w:val="en-US" w:eastAsia="zh-CN"/>
        </w:rPr>
        <w:t>22</w:t>
      </w:r>
      <w:r>
        <w:rPr>
          <w:rFonts w:hint="eastAsia" w:ascii="仿宋" w:hAnsi="仿宋" w:eastAsia="仿宋" w:cs="仿宋"/>
          <w:color w:val="333333"/>
          <w:sz w:val="32"/>
          <w:szCs w:val="32"/>
        </w:rPr>
        <w:t>年单位</w:t>
      </w:r>
      <w:r>
        <w:rPr>
          <w:rFonts w:hint="eastAsia" w:ascii="仿宋" w:hAnsi="仿宋" w:eastAsia="仿宋" w:cs="仿宋"/>
          <w:color w:val="333333"/>
          <w:sz w:val="32"/>
          <w:szCs w:val="32"/>
          <w:lang w:eastAsia="zh-CN"/>
        </w:rPr>
        <w:t>年初</w:t>
      </w:r>
      <w:r>
        <w:rPr>
          <w:rFonts w:hint="eastAsia" w:ascii="仿宋" w:hAnsi="仿宋" w:eastAsia="仿宋" w:cs="仿宋"/>
          <w:color w:val="333333"/>
          <w:sz w:val="32"/>
          <w:szCs w:val="32"/>
        </w:rPr>
        <w:t>预算收入</w:t>
      </w:r>
      <w:r>
        <w:rPr>
          <w:rFonts w:hint="eastAsia" w:ascii="仿宋" w:hAnsi="仿宋" w:eastAsia="仿宋" w:cs="仿宋"/>
          <w:color w:val="333333"/>
          <w:sz w:val="32"/>
          <w:szCs w:val="32"/>
          <w:lang w:eastAsia="zh-CN"/>
        </w:rPr>
        <w:t>安排数为</w:t>
      </w:r>
      <w:r>
        <w:rPr>
          <w:rFonts w:hint="eastAsia" w:ascii="仿宋" w:hAnsi="仿宋" w:eastAsia="仿宋" w:cs="仿宋"/>
          <w:sz w:val="32"/>
          <w:szCs w:val="32"/>
          <w:lang w:val="en-US" w:eastAsia="zh-CN"/>
        </w:rPr>
        <w:t>285.53</w:t>
      </w:r>
      <w:r>
        <w:rPr>
          <w:rFonts w:hint="eastAsia" w:ascii="仿宋" w:hAnsi="仿宋" w:eastAsia="仿宋" w:cs="仿宋"/>
          <w:color w:val="333333"/>
          <w:sz w:val="32"/>
          <w:szCs w:val="32"/>
        </w:rPr>
        <w:t>万元，其中：</w:t>
      </w:r>
      <w:r>
        <w:rPr>
          <w:rFonts w:hint="eastAsia" w:ascii="仿宋" w:hAnsi="仿宋" w:eastAsia="仿宋" w:cs="仿宋"/>
          <w:color w:val="333333"/>
          <w:sz w:val="32"/>
          <w:szCs w:val="32"/>
          <w:lang w:eastAsia="zh-CN"/>
        </w:rPr>
        <w:t>工资福利支出</w:t>
      </w:r>
      <w:r>
        <w:rPr>
          <w:rFonts w:hint="eastAsia" w:ascii="仿宋" w:hAnsi="仿宋" w:eastAsia="仿宋" w:cs="仿宋"/>
          <w:color w:val="333333"/>
          <w:sz w:val="32"/>
          <w:szCs w:val="32"/>
          <w:lang w:val="en-US" w:eastAsia="zh-CN"/>
        </w:rPr>
        <w:t>156.35万元，一般商品和服务支出12万元，对个人和家庭补助1.68万元，专项经费115.5万元</w:t>
      </w:r>
      <w:r>
        <w:rPr>
          <w:rFonts w:hint="eastAsia" w:ascii="仿宋" w:hAnsi="仿宋" w:eastAsia="仿宋" w:cs="仿宋"/>
          <w:color w:val="333333"/>
          <w:sz w:val="32"/>
          <w:szCs w:val="32"/>
        </w:rPr>
        <w:t>。</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2、部门决算收支情况</w:t>
      </w:r>
    </w:p>
    <w:p>
      <w:pPr>
        <w:tabs>
          <w:tab w:val="left" w:pos="8647"/>
        </w:tabs>
        <w:ind w:left="355" w:leftChars="169" w:firstLine="800" w:firstLineChars="250"/>
        <w:rPr>
          <w:rFonts w:hint="eastAsia" w:ascii="仿宋" w:hAnsi="仿宋" w:eastAsia="仿宋" w:cs="仿宋"/>
          <w:color w:val="000000"/>
          <w:sz w:val="32"/>
          <w:szCs w:val="32"/>
        </w:rPr>
      </w:pPr>
      <w:r>
        <w:rPr>
          <w:rFonts w:hint="eastAsia" w:ascii="仿宋" w:hAnsi="仿宋" w:eastAsia="仿宋" w:cs="仿宋"/>
          <w:sz w:val="32"/>
          <w:szCs w:val="32"/>
        </w:rPr>
        <w:t>202</w:t>
      </w:r>
      <w:r>
        <w:rPr>
          <w:rFonts w:hint="eastAsia" w:ascii="仿宋" w:hAnsi="仿宋" w:eastAsia="仿宋" w:cs="仿宋"/>
          <w:sz w:val="32"/>
          <w:szCs w:val="32"/>
          <w:lang w:val="en-US" w:eastAsia="zh-CN"/>
        </w:rPr>
        <w:t>2</w:t>
      </w:r>
      <w:r>
        <w:rPr>
          <w:rFonts w:hint="eastAsia" w:ascii="仿宋" w:hAnsi="仿宋" w:eastAsia="仿宋" w:cs="仿宋"/>
          <w:sz w:val="32"/>
          <w:szCs w:val="32"/>
        </w:rPr>
        <w:t>年</w:t>
      </w:r>
      <w:r>
        <w:rPr>
          <w:rFonts w:hint="eastAsia" w:ascii="仿宋" w:hAnsi="仿宋" w:eastAsia="仿宋" w:cs="仿宋"/>
          <w:sz w:val="32"/>
          <w:szCs w:val="32"/>
          <w:lang w:eastAsia="zh-CN"/>
        </w:rPr>
        <w:t>末决算</w:t>
      </w:r>
      <w:r>
        <w:rPr>
          <w:rFonts w:hint="eastAsia" w:ascii="仿宋" w:hAnsi="仿宋" w:eastAsia="仿宋" w:cs="仿宋"/>
          <w:sz w:val="32"/>
          <w:szCs w:val="32"/>
        </w:rPr>
        <w:t>收入</w:t>
      </w:r>
      <w:r>
        <w:rPr>
          <w:rFonts w:hint="eastAsia" w:ascii="仿宋" w:hAnsi="仿宋" w:eastAsia="仿宋" w:cs="仿宋"/>
          <w:sz w:val="32"/>
          <w:szCs w:val="32"/>
          <w:lang w:eastAsia="zh-CN"/>
        </w:rPr>
        <w:t>数为</w:t>
      </w:r>
      <w:r>
        <w:rPr>
          <w:rFonts w:hint="eastAsia" w:ascii="仿宋" w:hAnsi="仿宋" w:eastAsia="仿宋" w:cs="仿宋"/>
          <w:sz w:val="32"/>
          <w:szCs w:val="32"/>
          <w:lang w:val="en-US" w:eastAsia="zh-CN"/>
        </w:rPr>
        <w:t>399.17</w:t>
      </w:r>
      <w:r>
        <w:rPr>
          <w:rFonts w:hint="eastAsia" w:ascii="仿宋" w:hAnsi="仿宋" w:eastAsia="仿宋" w:cs="仿宋"/>
          <w:color w:val="000000"/>
          <w:sz w:val="32"/>
          <w:szCs w:val="32"/>
        </w:rPr>
        <w:t>万元,支出</w:t>
      </w:r>
      <w:r>
        <w:rPr>
          <w:rFonts w:hint="eastAsia" w:ascii="仿宋" w:hAnsi="仿宋" w:eastAsia="仿宋" w:cs="仿宋"/>
          <w:color w:val="000000"/>
          <w:sz w:val="32"/>
          <w:szCs w:val="32"/>
          <w:lang w:eastAsia="zh-CN"/>
        </w:rPr>
        <w:t>数</w:t>
      </w:r>
      <w:r>
        <w:rPr>
          <w:rFonts w:hint="eastAsia" w:ascii="仿宋" w:hAnsi="仿宋" w:eastAsia="仿宋" w:cs="仿宋"/>
          <w:sz w:val="32"/>
          <w:szCs w:val="32"/>
          <w:lang w:val="en-US" w:eastAsia="zh-CN"/>
        </w:rPr>
        <w:t>399.17</w:t>
      </w:r>
      <w:r>
        <w:rPr>
          <w:rFonts w:hint="eastAsia" w:ascii="仿宋" w:hAnsi="仿宋" w:eastAsia="仿宋" w:cs="仿宋"/>
          <w:color w:val="000000"/>
          <w:sz w:val="32"/>
          <w:szCs w:val="32"/>
        </w:rPr>
        <w:t>万元（</w:t>
      </w:r>
      <w:r>
        <w:rPr>
          <w:rFonts w:hint="eastAsia" w:ascii="仿宋" w:hAnsi="仿宋" w:eastAsia="仿宋" w:cs="仿宋"/>
          <w:sz w:val="32"/>
          <w:szCs w:val="32"/>
        </w:rPr>
        <w:t>其中：工资福利支出</w:t>
      </w:r>
      <w:r>
        <w:rPr>
          <w:rFonts w:hint="eastAsia" w:ascii="仿宋" w:hAnsi="仿宋" w:eastAsia="仿宋" w:cs="仿宋"/>
          <w:sz w:val="32"/>
          <w:szCs w:val="32"/>
          <w:lang w:val="en-US" w:eastAsia="zh-CN"/>
        </w:rPr>
        <w:t>127.14</w:t>
      </w:r>
      <w:r>
        <w:rPr>
          <w:rFonts w:hint="eastAsia" w:ascii="仿宋" w:hAnsi="仿宋" w:eastAsia="仿宋" w:cs="仿宋"/>
          <w:sz w:val="32"/>
          <w:szCs w:val="32"/>
        </w:rPr>
        <w:t>万元，用于在职人员的工资、津贴、各项社会保障支出、住房公积金等，商品和服务支出</w:t>
      </w:r>
      <w:r>
        <w:rPr>
          <w:rFonts w:hint="eastAsia" w:ascii="仿宋" w:hAnsi="仿宋" w:eastAsia="仿宋" w:cs="仿宋"/>
          <w:sz w:val="32"/>
          <w:szCs w:val="32"/>
          <w:lang w:val="en-US" w:eastAsia="zh-CN"/>
        </w:rPr>
        <w:t>36.3</w:t>
      </w:r>
      <w:r>
        <w:rPr>
          <w:rFonts w:hint="eastAsia" w:ascii="仿宋" w:hAnsi="仿宋" w:eastAsia="仿宋" w:cs="仿宋"/>
          <w:sz w:val="32"/>
          <w:szCs w:val="32"/>
        </w:rPr>
        <w:t>万元，用于办公费、印刷费、水电费、差旅费及其他商品服务支出等日常公用经费。个人和家庭补助</w:t>
      </w:r>
      <w:r>
        <w:rPr>
          <w:rFonts w:hint="eastAsia" w:ascii="仿宋" w:hAnsi="仿宋" w:eastAsia="仿宋" w:cs="仿宋"/>
          <w:sz w:val="32"/>
          <w:szCs w:val="32"/>
          <w:lang w:val="en-US" w:eastAsia="zh-CN"/>
        </w:rPr>
        <w:t>2.78</w:t>
      </w:r>
      <w:r>
        <w:rPr>
          <w:rFonts w:hint="eastAsia" w:ascii="仿宋" w:hAnsi="仿宋" w:eastAsia="仿宋" w:cs="仿宋"/>
          <w:sz w:val="32"/>
          <w:szCs w:val="32"/>
        </w:rPr>
        <w:t>万元，用于退休人员节日慰问金等资本性</w:t>
      </w:r>
      <w:r>
        <w:rPr>
          <w:rFonts w:hint="eastAsia" w:ascii="仿宋" w:hAnsi="仿宋" w:eastAsia="仿宋" w:cs="仿宋"/>
          <w:color w:val="000000"/>
          <w:sz w:val="32"/>
          <w:szCs w:val="32"/>
        </w:rPr>
        <w:t>支出为</w:t>
      </w:r>
      <w:r>
        <w:rPr>
          <w:rFonts w:hint="eastAsia" w:ascii="仿宋" w:hAnsi="仿宋" w:eastAsia="仿宋" w:cs="仿宋"/>
          <w:sz w:val="32"/>
          <w:szCs w:val="32"/>
          <w:lang w:val="en-US" w:eastAsia="zh-CN"/>
        </w:rPr>
        <w:t>1.68</w:t>
      </w:r>
      <w:r>
        <w:rPr>
          <w:rFonts w:hint="eastAsia" w:ascii="仿宋" w:hAnsi="仿宋" w:eastAsia="仿宋" w:cs="仿宋"/>
          <w:color w:val="000000"/>
          <w:sz w:val="32"/>
          <w:szCs w:val="32"/>
        </w:rPr>
        <w:t>万元）。</w:t>
      </w:r>
    </w:p>
    <w:p>
      <w:pPr>
        <w:tabs>
          <w:tab w:val="left" w:pos="8647"/>
        </w:tabs>
        <w:ind w:left="-283" w:leftChars="-135" w:firstLine="780" w:firstLineChars="250"/>
        <w:rPr>
          <w:rFonts w:hint="eastAsia" w:ascii="仿宋" w:hAnsi="仿宋" w:eastAsia="仿宋" w:cs="仿宋"/>
          <w:color w:val="000000"/>
          <w:sz w:val="32"/>
          <w:szCs w:val="32"/>
        </w:rPr>
      </w:pPr>
      <w:r>
        <w:rPr>
          <w:rFonts w:hint="eastAsia" w:ascii="仿宋" w:hAnsi="仿宋" w:eastAsia="仿宋" w:cs="仿宋"/>
          <w:spacing w:val="-4"/>
          <w:sz w:val="32"/>
          <w:szCs w:val="32"/>
        </w:rPr>
        <w:t>（二）专项支出项目资金使用情况</w:t>
      </w:r>
    </w:p>
    <w:p>
      <w:pPr>
        <w:tabs>
          <w:tab w:val="left" w:pos="8647"/>
        </w:tabs>
        <w:ind w:left="355" w:leftChars="169" w:firstLine="780" w:firstLineChars="250"/>
        <w:rPr>
          <w:rFonts w:hint="eastAsia" w:ascii="仿宋" w:hAnsi="仿宋" w:eastAsia="仿宋" w:cs="仿宋"/>
          <w:color w:val="000000"/>
          <w:sz w:val="32"/>
          <w:szCs w:val="32"/>
        </w:rPr>
      </w:pPr>
      <w:r>
        <w:rPr>
          <w:rFonts w:hint="eastAsia" w:ascii="仿宋" w:hAnsi="仿宋" w:eastAsia="仿宋" w:cs="仿宋"/>
          <w:spacing w:val="-4"/>
          <w:sz w:val="32"/>
          <w:szCs w:val="32"/>
        </w:rPr>
        <w:t>202</w:t>
      </w:r>
      <w:r>
        <w:rPr>
          <w:rFonts w:hint="eastAsia" w:ascii="仿宋" w:hAnsi="仿宋" w:eastAsia="仿宋" w:cs="仿宋"/>
          <w:spacing w:val="-4"/>
          <w:sz w:val="32"/>
          <w:szCs w:val="32"/>
          <w:lang w:val="en-US" w:eastAsia="zh-CN"/>
        </w:rPr>
        <w:t>2</w:t>
      </w:r>
      <w:r>
        <w:rPr>
          <w:rFonts w:hint="eastAsia" w:ascii="仿宋" w:hAnsi="仿宋" w:eastAsia="仿宋" w:cs="仿宋"/>
          <w:spacing w:val="-4"/>
          <w:sz w:val="32"/>
          <w:szCs w:val="32"/>
        </w:rPr>
        <w:t>年我</w:t>
      </w:r>
      <w:r>
        <w:rPr>
          <w:rFonts w:hint="eastAsia" w:ascii="仿宋" w:hAnsi="仿宋" w:eastAsia="仿宋" w:cs="仿宋"/>
          <w:spacing w:val="-4"/>
          <w:sz w:val="32"/>
          <w:szCs w:val="32"/>
          <w:lang w:eastAsia="zh-CN"/>
        </w:rPr>
        <w:t>部</w:t>
      </w:r>
      <w:r>
        <w:rPr>
          <w:rFonts w:hint="eastAsia" w:ascii="仿宋" w:hAnsi="仿宋" w:eastAsia="仿宋" w:cs="仿宋"/>
          <w:spacing w:val="-4"/>
          <w:sz w:val="32"/>
          <w:szCs w:val="32"/>
        </w:rPr>
        <w:t>专项项目资金</w:t>
      </w:r>
      <w:r>
        <w:rPr>
          <w:rFonts w:hint="eastAsia" w:ascii="仿宋" w:hAnsi="仿宋" w:eastAsia="仿宋" w:cs="仿宋"/>
          <w:spacing w:val="-4"/>
          <w:sz w:val="32"/>
          <w:szCs w:val="32"/>
          <w:lang w:val="en-US" w:eastAsia="zh-CN"/>
        </w:rPr>
        <w:t>115.5</w:t>
      </w:r>
      <w:r>
        <w:rPr>
          <w:rFonts w:hint="eastAsia" w:ascii="仿宋" w:hAnsi="仿宋" w:eastAsia="仿宋" w:cs="仿宋"/>
          <w:spacing w:val="-4"/>
          <w:sz w:val="32"/>
          <w:szCs w:val="32"/>
        </w:rPr>
        <w:t>万元。按照项目资金的使用内容和用途分为：</w:t>
      </w:r>
      <w:r>
        <w:rPr>
          <w:rFonts w:hint="eastAsia" w:ascii="仿宋" w:hAnsi="仿宋" w:eastAsia="仿宋" w:cs="仿宋"/>
          <w:spacing w:val="-4"/>
          <w:sz w:val="32"/>
          <w:szCs w:val="32"/>
          <w:lang w:eastAsia="zh-CN"/>
        </w:rPr>
        <w:t>党外干部队伍建设，统战涉密工作，民族宗教事务，非公经济工作，同心美丽乡村建设</w:t>
      </w:r>
      <w:r>
        <w:rPr>
          <w:rFonts w:hint="eastAsia" w:ascii="仿宋" w:hAnsi="仿宋" w:eastAsia="仿宋" w:cs="仿宋"/>
          <w:spacing w:val="-4"/>
          <w:sz w:val="32"/>
          <w:szCs w:val="32"/>
        </w:rPr>
        <w:t>等工作业务支出</w:t>
      </w:r>
      <w:r>
        <w:rPr>
          <w:rFonts w:hint="eastAsia" w:ascii="仿宋" w:hAnsi="仿宋" w:eastAsia="仿宋" w:cs="仿宋"/>
          <w:spacing w:val="-4"/>
          <w:sz w:val="32"/>
          <w:szCs w:val="32"/>
          <w:lang w:eastAsia="zh-CN"/>
        </w:rPr>
        <w:t>。</w:t>
      </w:r>
      <w:r>
        <w:rPr>
          <w:rFonts w:hint="eastAsia" w:ascii="仿宋" w:hAnsi="仿宋" w:eastAsia="仿宋" w:cs="仿宋"/>
          <w:spacing w:val="-4"/>
          <w:sz w:val="32"/>
          <w:szCs w:val="32"/>
        </w:rPr>
        <w:t>都是根据单位的工作职能和职责设立，经费支出范围均为开展各项工作的专项经费。</w:t>
      </w:r>
    </w:p>
    <w:p>
      <w:pPr>
        <w:ind w:firstLine="624" w:firstLineChars="200"/>
        <w:rPr>
          <w:rFonts w:hint="eastAsia" w:ascii="仿宋" w:hAnsi="仿宋" w:eastAsia="仿宋" w:cs="仿宋"/>
          <w:spacing w:val="-4"/>
          <w:sz w:val="32"/>
          <w:szCs w:val="32"/>
        </w:rPr>
      </w:pPr>
      <w:r>
        <w:rPr>
          <w:rFonts w:hint="eastAsia" w:ascii="仿宋" w:hAnsi="仿宋" w:eastAsia="仿宋" w:cs="仿宋"/>
          <w:spacing w:val="-4"/>
          <w:sz w:val="32"/>
          <w:szCs w:val="32"/>
        </w:rPr>
        <w:t>三、部门专项组织实施情况</w:t>
      </w:r>
    </w:p>
    <w:p>
      <w:pPr>
        <w:ind w:left="319" w:leftChars="152" w:firstLine="624" w:firstLineChars="200"/>
        <w:rPr>
          <w:rFonts w:hint="eastAsia" w:ascii="仿宋" w:hAnsi="仿宋" w:eastAsia="仿宋" w:cs="仿宋"/>
          <w:spacing w:val="-4"/>
          <w:sz w:val="32"/>
          <w:szCs w:val="32"/>
        </w:rPr>
      </w:pPr>
      <w:r>
        <w:rPr>
          <w:rFonts w:hint="eastAsia" w:ascii="仿宋" w:hAnsi="仿宋" w:eastAsia="仿宋" w:cs="仿宋"/>
          <w:spacing w:val="-4"/>
          <w:sz w:val="32"/>
          <w:szCs w:val="32"/>
        </w:rPr>
        <w:t>我</w:t>
      </w:r>
      <w:r>
        <w:rPr>
          <w:rFonts w:hint="eastAsia" w:ascii="仿宋" w:hAnsi="仿宋" w:eastAsia="仿宋" w:cs="仿宋"/>
          <w:spacing w:val="-4"/>
          <w:sz w:val="32"/>
          <w:szCs w:val="32"/>
          <w:lang w:eastAsia="zh-CN"/>
        </w:rPr>
        <w:t>部</w:t>
      </w:r>
      <w:r>
        <w:rPr>
          <w:rFonts w:hint="eastAsia" w:ascii="仿宋" w:hAnsi="仿宋" w:eastAsia="仿宋" w:cs="仿宋"/>
          <w:spacing w:val="-4"/>
          <w:sz w:val="32"/>
          <w:szCs w:val="32"/>
        </w:rPr>
        <w:t>财务管理严格依法依规，做到公开公平公正，在严格执行各项有关法律法规、财经纪律、财务规章制度的同时，根据单位自身情况结合各项规定编制了《衡南县财政局内部控制手册》，系统阐述了预（决）算、政府采购、国库集中支付、专项资金等管理办法和操作规程。</w:t>
      </w:r>
    </w:p>
    <w:p>
      <w:pPr>
        <w:ind w:firstLine="624" w:firstLineChars="200"/>
        <w:rPr>
          <w:rFonts w:hint="eastAsia" w:ascii="仿宋" w:hAnsi="仿宋" w:eastAsia="仿宋" w:cs="仿宋"/>
          <w:spacing w:val="-4"/>
          <w:sz w:val="32"/>
          <w:szCs w:val="32"/>
        </w:rPr>
      </w:pPr>
      <w:r>
        <w:rPr>
          <w:rFonts w:hint="eastAsia" w:ascii="仿宋" w:hAnsi="仿宋" w:eastAsia="仿宋" w:cs="仿宋"/>
          <w:spacing w:val="-4"/>
          <w:sz w:val="32"/>
          <w:szCs w:val="32"/>
        </w:rPr>
        <w:t>四、部门整体支出绩效情况</w:t>
      </w:r>
    </w:p>
    <w:p>
      <w:pPr>
        <w:ind w:left="319" w:leftChars="152" w:firstLine="624" w:firstLineChars="200"/>
        <w:rPr>
          <w:rFonts w:hint="eastAsia" w:ascii="仿宋" w:hAnsi="仿宋" w:eastAsia="仿宋" w:cs="仿宋"/>
          <w:spacing w:val="-4"/>
          <w:sz w:val="32"/>
          <w:szCs w:val="32"/>
        </w:rPr>
      </w:pPr>
      <w:r>
        <w:rPr>
          <w:rFonts w:hint="eastAsia" w:ascii="仿宋" w:hAnsi="仿宋" w:eastAsia="仿宋" w:cs="仿宋"/>
          <w:spacing w:val="-4"/>
          <w:sz w:val="32"/>
          <w:szCs w:val="32"/>
        </w:rPr>
        <w:t>202</w:t>
      </w:r>
      <w:r>
        <w:rPr>
          <w:rFonts w:hint="eastAsia" w:ascii="仿宋" w:hAnsi="仿宋" w:eastAsia="仿宋" w:cs="仿宋"/>
          <w:spacing w:val="-4"/>
          <w:sz w:val="32"/>
          <w:szCs w:val="32"/>
          <w:lang w:val="en-US" w:eastAsia="zh-CN"/>
        </w:rPr>
        <w:t>2</w:t>
      </w:r>
      <w:r>
        <w:rPr>
          <w:rFonts w:hint="eastAsia" w:ascii="仿宋" w:hAnsi="仿宋" w:eastAsia="仿宋" w:cs="仿宋"/>
          <w:spacing w:val="-4"/>
          <w:sz w:val="32"/>
          <w:szCs w:val="32"/>
        </w:rPr>
        <w:t>年，根据</w:t>
      </w:r>
      <w:r>
        <w:rPr>
          <w:rFonts w:hint="eastAsia" w:ascii="仿宋" w:hAnsi="仿宋" w:eastAsia="仿宋" w:cs="仿宋"/>
          <w:spacing w:val="-4"/>
          <w:sz w:val="32"/>
          <w:szCs w:val="32"/>
          <w:lang w:eastAsia="zh-CN"/>
        </w:rPr>
        <w:t>部</w:t>
      </w:r>
      <w:r>
        <w:rPr>
          <w:rFonts w:hint="eastAsia" w:ascii="仿宋" w:hAnsi="仿宋" w:eastAsia="仿宋" w:cs="仿宋"/>
          <w:spacing w:val="-4"/>
          <w:sz w:val="32"/>
          <w:szCs w:val="32"/>
        </w:rPr>
        <w:t>年初工作规划和重点性工作，围绕县委、县政府中心工作，积极履职，强化管理，较好的完成了年度工作目标。通过加强预算收支的管理，不断建立健全内部管理制度，理顺内部管理流程，部门整体支出管理情况得到了提升。部门整体支出绩效情况如下：</w:t>
      </w:r>
    </w:p>
    <w:p>
      <w:pPr>
        <w:ind w:firstLine="624" w:firstLineChars="200"/>
        <w:rPr>
          <w:rFonts w:hint="eastAsia" w:ascii="仿宋" w:hAnsi="仿宋" w:eastAsia="仿宋" w:cs="仿宋"/>
          <w:spacing w:val="-4"/>
          <w:sz w:val="32"/>
          <w:szCs w:val="32"/>
        </w:rPr>
      </w:pPr>
      <w:r>
        <w:rPr>
          <w:rFonts w:hint="eastAsia" w:ascii="仿宋" w:hAnsi="仿宋" w:eastAsia="仿宋" w:cs="仿宋"/>
          <w:spacing w:val="-4"/>
          <w:sz w:val="32"/>
          <w:szCs w:val="32"/>
        </w:rPr>
        <w:t xml:space="preserve">（一）经济性评价 </w:t>
      </w:r>
    </w:p>
    <w:p>
      <w:pPr>
        <w:ind w:left="319" w:leftChars="152" w:firstLine="312" w:firstLineChars="100"/>
        <w:rPr>
          <w:rFonts w:hint="eastAsia" w:ascii="仿宋" w:hAnsi="仿宋" w:eastAsia="仿宋" w:cs="仿宋"/>
          <w:spacing w:val="-4"/>
          <w:sz w:val="32"/>
          <w:szCs w:val="32"/>
        </w:rPr>
      </w:pPr>
      <w:r>
        <w:rPr>
          <w:rFonts w:hint="eastAsia" w:ascii="仿宋" w:hAnsi="仿宋" w:eastAsia="仿宋" w:cs="仿宋"/>
          <w:spacing w:val="-4"/>
          <w:sz w:val="32"/>
          <w:szCs w:val="32"/>
        </w:rPr>
        <w:t xml:space="preserve"> 本年预算安排控制较好，财政供养人员控制率100%，编制内在职人员控制率小于100%，控制在预算编制以内。</w:t>
      </w:r>
    </w:p>
    <w:p>
      <w:pPr>
        <w:ind w:firstLine="624" w:firstLineChars="200"/>
        <w:rPr>
          <w:rFonts w:hint="eastAsia" w:ascii="仿宋" w:hAnsi="仿宋" w:eastAsia="仿宋" w:cs="仿宋"/>
          <w:spacing w:val="-4"/>
          <w:sz w:val="32"/>
          <w:szCs w:val="32"/>
        </w:rPr>
      </w:pPr>
      <w:r>
        <w:rPr>
          <w:rFonts w:hint="eastAsia" w:ascii="仿宋" w:hAnsi="仿宋" w:eastAsia="仿宋" w:cs="仿宋"/>
          <w:spacing w:val="-4"/>
          <w:sz w:val="32"/>
          <w:szCs w:val="32"/>
        </w:rPr>
        <w:t>（二）项目产出及社会效益评价</w:t>
      </w:r>
    </w:p>
    <w:p>
      <w:pPr>
        <w:spacing w:line="600" w:lineRule="exact"/>
        <w:ind w:left="319" w:leftChars="152" w:firstLine="312" w:firstLineChars="100"/>
        <w:rPr>
          <w:rFonts w:hint="eastAsia" w:ascii="仿宋" w:hAnsi="仿宋" w:eastAsia="仿宋" w:cs="仿宋"/>
          <w:spacing w:val="-4"/>
          <w:sz w:val="32"/>
          <w:szCs w:val="32"/>
        </w:rPr>
      </w:pPr>
      <w:r>
        <w:rPr>
          <w:rFonts w:hint="eastAsia" w:ascii="仿宋" w:hAnsi="仿宋" w:eastAsia="仿宋" w:cs="仿宋"/>
          <w:spacing w:val="-4"/>
          <w:sz w:val="32"/>
          <w:szCs w:val="32"/>
        </w:rPr>
        <w:t>202</w:t>
      </w:r>
      <w:r>
        <w:rPr>
          <w:rFonts w:hint="eastAsia" w:ascii="仿宋" w:hAnsi="仿宋" w:eastAsia="仿宋" w:cs="仿宋"/>
          <w:spacing w:val="-4"/>
          <w:sz w:val="32"/>
          <w:szCs w:val="32"/>
          <w:lang w:val="en-US" w:eastAsia="zh-CN"/>
        </w:rPr>
        <w:t>2</w:t>
      </w:r>
      <w:r>
        <w:rPr>
          <w:rFonts w:hint="eastAsia" w:ascii="仿宋" w:hAnsi="仿宋" w:eastAsia="仿宋" w:cs="仿宋"/>
          <w:spacing w:val="-4"/>
          <w:sz w:val="32"/>
          <w:szCs w:val="32"/>
        </w:rPr>
        <w:t>年，通过我</w:t>
      </w:r>
      <w:r>
        <w:rPr>
          <w:rFonts w:hint="eastAsia" w:ascii="仿宋" w:hAnsi="仿宋" w:eastAsia="仿宋" w:cs="仿宋"/>
          <w:spacing w:val="-4"/>
          <w:sz w:val="32"/>
          <w:szCs w:val="32"/>
          <w:lang w:eastAsia="zh-CN"/>
        </w:rPr>
        <w:t>部</w:t>
      </w:r>
      <w:r>
        <w:rPr>
          <w:rFonts w:hint="eastAsia" w:ascii="仿宋" w:hAnsi="仿宋" w:eastAsia="仿宋" w:cs="仿宋"/>
          <w:spacing w:val="-4"/>
          <w:sz w:val="32"/>
          <w:szCs w:val="32"/>
        </w:rPr>
        <w:t>专项工作的开展，我们狠抓重点工作，较好的完成了各项目标任务，取得了较好的社会效益。</w:t>
      </w:r>
    </w:p>
    <w:p>
      <w:pPr>
        <w:ind w:firstLine="624" w:firstLineChars="200"/>
        <w:rPr>
          <w:rFonts w:hint="eastAsia" w:ascii="仿宋" w:hAnsi="仿宋" w:eastAsia="仿宋" w:cs="仿宋"/>
          <w:spacing w:val="-4"/>
          <w:sz w:val="32"/>
          <w:szCs w:val="32"/>
        </w:rPr>
      </w:pPr>
      <w:r>
        <w:rPr>
          <w:rFonts w:hint="eastAsia" w:ascii="仿宋" w:hAnsi="仿宋" w:eastAsia="仿宋" w:cs="仿宋"/>
          <w:spacing w:val="-4"/>
          <w:sz w:val="32"/>
          <w:szCs w:val="32"/>
        </w:rPr>
        <w:t>五、存在的主要问题</w:t>
      </w:r>
    </w:p>
    <w:p>
      <w:pPr>
        <w:ind w:left="319" w:leftChars="152" w:firstLine="312" w:firstLineChars="100"/>
        <w:rPr>
          <w:rFonts w:hint="eastAsia" w:ascii="仿宋" w:hAnsi="仿宋" w:eastAsia="仿宋" w:cs="仿宋"/>
          <w:spacing w:val="-4"/>
          <w:sz w:val="32"/>
          <w:szCs w:val="32"/>
        </w:rPr>
      </w:pPr>
      <w:r>
        <w:rPr>
          <w:rFonts w:hint="eastAsia" w:ascii="仿宋" w:hAnsi="仿宋" w:eastAsia="仿宋" w:cs="仿宋"/>
          <w:spacing w:val="-4"/>
          <w:sz w:val="32"/>
          <w:szCs w:val="32"/>
        </w:rPr>
        <w:t>年初预算的编制较为精细，按照费用支出的使用范围和内容，进行了类、款、项三个层级的明细预算，进行了基本支出、项目支出的严格区分，同时在基本支出和项目支出中又进行了更为明细的预算，并按照预算的最末级明细进行预算支出管理，专款专用。但对于追加的项目支出、上年结余结转的项目资金，没有进行预算分解，编制明细预算，因此涉及上年结转和追加预算的项目支出的预算管理均仅从总额进行控制，不便于对其进行精细化的预算管理和分析评价。</w:t>
      </w:r>
    </w:p>
    <w:p>
      <w:pPr>
        <w:ind w:firstLine="624" w:firstLineChars="200"/>
        <w:rPr>
          <w:rFonts w:hint="eastAsia" w:ascii="仿宋" w:hAnsi="仿宋" w:eastAsia="仿宋" w:cs="仿宋"/>
          <w:spacing w:val="-4"/>
          <w:sz w:val="32"/>
          <w:szCs w:val="32"/>
        </w:rPr>
      </w:pPr>
      <w:r>
        <w:rPr>
          <w:rFonts w:hint="eastAsia" w:ascii="仿宋" w:hAnsi="仿宋" w:eastAsia="仿宋" w:cs="仿宋"/>
          <w:spacing w:val="-4"/>
          <w:sz w:val="32"/>
          <w:szCs w:val="32"/>
        </w:rPr>
        <w:t>六、改进措施和建议</w:t>
      </w:r>
    </w:p>
    <w:p>
      <w:pPr>
        <w:ind w:left="319" w:leftChars="152" w:firstLine="312" w:firstLineChars="100"/>
        <w:rPr>
          <w:rFonts w:hint="eastAsia" w:ascii="仿宋" w:hAnsi="仿宋" w:eastAsia="仿宋" w:cs="仿宋"/>
          <w:spacing w:val="-4"/>
          <w:sz w:val="32"/>
          <w:szCs w:val="32"/>
        </w:rPr>
      </w:pPr>
      <w:r>
        <w:rPr>
          <w:rFonts w:hint="eastAsia" w:ascii="仿宋" w:hAnsi="仿宋" w:eastAsia="仿宋" w:cs="仿宋"/>
          <w:spacing w:val="-4"/>
          <w:sz w:val="32"/>
          <w:szCs w:val="32"/>
        </w:rPr>
        <w:t>1、细化预算编制工作，认真做好预算的编制。进一步加强内部机构的预算管理意识，严格按照预算编制的相关制度和要求，本着“勤俭节约、保障运转”的原则进行预算的编制；编制范围尽可能的全面、不漏项，进一步提高预算编制的科学性、合理性、严谨性和可控性。</w:t>
      </w:r>
    </w:p>
    <w:p>
      <w:pPr>
        <w:ind w:left="319" w:leftChars="152" w:firstLine="312" w:firstLineChars="100"/>
        <w:rPr>
          <w:rFonts w:hint="eastAsia" w:ascii="仿宋" w:hAnsi="仿宋" w:eastAsia="仿宋" w:cs="仿宋"/>
          <w:spacing w:val="-4"/>
          <w:sz w:val="32"/>
          <w:szCs w:val="32"/>
        </w:rPr>
      </w:pPr>
      <w:r>
        <w:rPr>
          <w:rFonts w:hint="eastAsia" w:ascii="仿宋" w:hAnsi="仿宋" w:eastAsia="仿宋" w:cs="仿宋"/>
          <w:spacing w:val="-4"/>
          <w:sz w:val="32"/>
          <w:szCs w:val="32"/>
        </w:rPr>
        <w:t>2、在日常预算管理过程中，进一步加强预算支出的审核、跟踪及预算执行情况分析。</w:t>
      </w:r>
    </w:p>
    <w:p>
      <w:pPr>
        <w:ind w:firstLine="624" w:firstLineChars="200"/>
        <w:rPr>
          <w:rFonts w:hint="eastAsia" w:ascii="仿宋" w:hAnsi="仿宋" w:eastAsia="仿宋" w:cs="仿宋"/>
          <w:spacing w:val="-4"/>
          <w:sz w:val="32"/>
          <w:szCs w:val="32"/>
        </w:rPr>
      </w:pPr>
    </w:p>
    <w:p>
      <w:pPr>
        <w:keepNext w:val="0"/>
        <w:keepLines w:val="0"/>
        <w:pageBreakBefore w:val="0"/>
        <w:widowControl w:val="0"/>
        <w:kinsoku/>
        <w:wordWrap/>
        <w:overflowPunct/>
        <w:topLinePunct w:val="0"/>
        <w:autoSpaceDN/>
        <w:bidi w:val="0"/>
        <w:adjustRightInd w:val="0"/>
        <w:snapToGrid/>
        <w:spacing w:line="240" w:lineRule="auto"/>
        <w:ind w:left="420" w:leftChars="200" w:firstLine="640" w:firstLineChars="200"/>
        <w:jc w:val="right"/>
        <w:textAlignment w:val="auto"/>
        <w:rPr>
          <w:rFonts w:hint="eastAsia" w:ascii="仿宋" w:hAnsi="仿宋" w:eastAsia="仿宋" w:cs="仿宋"/>
          <w:sz w:val="32"/>
          <w:szCs w:val="32"/>
        </w:rPr>
      </w:pPr>
    </w:p>
    <w:sectPr>
      <w:pgSz w:w="11906" w:h="16838"/>
      <w:pgMar w:top="1327" w:right="1417" w:bottom="1327" w:left="1417" w:header="851" w:footer="992" w:gutter="0"/>
      <w:cols w:space="0" w:num="1"/>
      <w:rtlGutter w:val="0"/>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8"/>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D2F6A13"/>
    <w:multiLevelType w:val="singleLevel"/>
    <w:tmpl w:val="ED2F6A13"/>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hhMWNkODQ5OTUyYTU2YjYxOTk5YWI4NWM0Y2M3NDMifQ=="/>
  </w:docVars>
  <w:rsids>
    <w:rsidRoot w:val="5D3610EE"/>
    <w:rsid w:val="22B343DE"/>
    <w:rsid w:val="319825CF"/>
    <w:rsid w:val="349E43B1"/>
    <w:rsid w:val="3CCF7D73"/>
    <w:rsid w:val="40AF2C89"/>
    <w:rsid w:val="46AA7885"/>
    <w:rsid w:val="59DB04FA"/>
    <w:rsid w:val="5D3610EE"/>
    <w:rsid w:val="62E86500"/>
    <w:rsid w:val="63A42A0E"/>
    <w:rsid w:val="7DF343F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240" w:lineRule="auto"/>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next w:val="1"/>
    <w:qFormat/>
    <w:uiPriority w:val="0"/>
    <w:pPr>
      <w:tabs>
        <w:tab w:val="center" w:pos="4153"/>
        <w:tab w:val="right" w:pos="8306"/>
      </w:tabs>
      <w:snapToGrid w:val="0"/>
      <w:jc w:val="left"/>
    </w:pPr>
    <w:rPr>
      <w:sz w:val="18"/>
      <w:szCs w:val="18"/>
    </w:rPr>
  </w:style>
  <w:style w:type="paragraph" w:styleId="3">
    <w:name w:val="Normal (Web)"/>
    <w:basedOn w:val="1"/>
    <w:unhideWhenUsed/>
    <w:qFormat/>
    <w:uiPriority w:val="99"/>
    <w:pPr>
      <w:widowControl/>
      <w:jc w:val="left"/>
    </w:pPr>
    <w:rPr>
      <w:rFonts w:ascii="宋体" w:hAnsi="宋体" w:cs="宋体"/>
      <w:kern w:val="0"/>
      <w:sz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2137</Words>
  <Characters>2219</Characters>
  <Lines>0</Lines>
  <Paragraphs>0</Paragraphs>
  <TotalTime>2</TotalTime>
  <ScaleCrop>false</ScaleCrop>
  <LinksUpToDate>false</LinksUpToDate>
  <CharactersWithSpaces>2234</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2022-04-20T01:43:00Z</dcterms:created>
  <dc:creator>Administrator</dc:creator>
  <cp:lastModifiedBy>孙泽宇</cp:lastModifiedBy>
  <dcterms:modified xsi:type="dcterms:W3CDTF">2023-10-11T08:48:46Z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C6DFB0CA2DE345189C870607FF8821C1_13</vt:lpwstr>
  </property>
</Properties>
</file>