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jc w:val="center"/>
        <w:rPr>
          <w:rFonts w:ascii="方正小标宋简体" w:hAnsi="方正小标宋简体" w:eastAsia="方正小标宋简体" w:cs="方正小标宋简体"/>
          <w:sz w:val="44"/>
          <w:szCs w:val="44"/>
        </w:rPr>
      </w:pPr>
      <w:bookmarkStart w:id="0" w:name="_GoBack"/>
      <w:bookmarkEnd w:id="0"/>
      <w:r>
        <w:rPr>
          <w:rFonts w:hint="eastAsia" w:ascii="方正小标宋简体" w:hAnsi="方正小标宋简体" w:eastAsia="方正小标宋简体" w:cs="方正小标宋简体"/>
          <w:sz w:val="44"/>
          <w:szCs w:val="44"/>
        </w:rPr>
        <w:t>衡南县司法局部门整体支出绩效</w:t>
      </w:r>
    </w:p>
    <w:p>
      <w:pPr>
        <w:adjustRightInd w:val="0"/>
        <w:snapToGrid w:val="0"/>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自评报告</w:t>
      </w:r>
    </w:p>
    <w:p>
      <w:pPr>
        <w:spacing w:line="560" w:lineRule="exact"/>
        <w:ind w:firstLine="640" w:firstLineChars="200"/>
        <w:rPr>
          <w:rFonts w:ascii="仿宋_GB2312" w:hAnsi="仿宋_GB2312" w:eastAsia="仿宋_GB2312" w:cs="仿宋_GB2312"/>
          <w:spacing w:val="11"/>
          <w:w w:val="95"/>
          <w:sz w:val="32"/>
          <w:szCs w:val="32"/>
          <w:lang w:val="zh-CN" w:bidi="zh-CN"/>
        </w:rPr>
      </w:pPr>
      <w:r>
        <w:rPr>
          <w:rFonts w:hint="eastAsia" w:ascii="仿宋_GB2312" w:eastAsia="仿宋_GB2312"/>
          <w:sz w:val="32"/>
          <w:szCs w:val="32"/>
        </w:rPr>
        <w:t>为</w:t>
      </w:r>
      <w:r>
        <w:rPr>
          <w:rFonts w:hint="eastAsia" w:ascii="仿宋_GB2312" w:hAnsi="仿宋_GB2312" w:eastAsia="仿宋_GB2312" w:cs="仿宋_GB2312"/>
          <w:spacing w:val="11"/>
          <w:w w:val="95"/>
          <w:sz w:val="32"/>
          <w:szCs w:val="32"/>
          <w:lang w:val="zh-CN" w:bidi="zh-CN"/>
        </w:rPr>
        <w:t>加强财政预算资金管理，进一步规范预算资金使用，提高财政资金使用效益，我局积极组织，对202</w:t>
      </w:r>
      <w:r>
        <w:rPr>
          <w:rFonts w:hint="eastAsia" w:ascii="仿宋_GB2312" w:hAnsi="仿宋_GB2312" w:eastAsia="仿宋_GB2312" w:cs="仿宋_GB2312"/>
          <w:spacing w:val="11"/>
          <w:w w:val="95"/>
          <w:sz w:val="32"/>
          <w:szCs w:val="32"/>
          <w:lang w:val="en-US" w:bidi="zh-CN"/>
        </w:rPr>
        <w:t>2</w:t>
      </w:r>
      <w:r>
        <w:rPr>
          <w:rFonts w:hint="eastAsia" w:ascii="仿宋_GB2312" w:hAnsi="仿宋_GB2312" w:eastAsia="仿宋_GB2312" w:cs="仿宋_GB2312"/>
          <w:spacing w:val="11"/>
          <w:w w:val="95"/>
          <w:sz w:val="32"/>
          <w:szCs w:val="32"/>
          <w:lang w:val="zh-CN" w:bidi="zh-CN"/>
        </w:rPr>
        <w:t>年度本单位整体支出进行了绩效自评，现将具体绩效评价情况报告如下：</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一、部门基本情况</w:t>
      </w:r>
    </w:p>
    <w:p>
      <w:pPr>
        <w:spacing w:line="560" w:lineRule="exact"/>
        <w:ind w:firstLine="640" w:firstLineChars="200"/>
        <w:rPr>
          <w:rFonts w:ascii="仿宋" w:hAnsi="仿宋" w:eastAsia="仿宋" w:cs="仿宋"/>
          <w:kern w:val="0"/>
          <w:sz w:val="32"/>
          <w:szCs w:val="32"/>
        </w:rPr>
      </w:pPr>
      <w:r>
        <w:rPr>
          <w:rFonts w:hint="eastAsia" w:ascii="仿宋_GB2312" w:eastAsia="仿宋_GB2312"/>
          <w:sz w:val="32"/>
          <w:szCs w:val="32"/>
        </w:rPr>
        <w:t>衡南县司法局为全额财政拨款单位，纳入财政会计集中核算和国库集中支付体系，财务制度执行《行政单位会计制度》。</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lang w:val="zh-CN"/>
        </w:rPr>
        <w:t>（一）主要工作职责</w:t>
      </w:r>
    </w:p>
    <w:p>
      <w:pPr>
        <w:ind w:firstLine="640" w:firstLineChars="200"/>
        <w:rPr>
          <w:rFonts w:ascii="仿宋_GB2312" w:eastAsia="仿宋_GB2312"/>
          <w:sz w:val="32"/>
          <w:szCs w:val="32"/>
        </w:rPr>
      </w:pPr>
      <w:r>
        <w:rPr>
          <w:rFonts w:hint="eastAsia" w:ascii="仿宋_GB2312" w:eastAsia="仿宋_GB2312"/>
          <w:sz w:val="32"/>
          <w:szCs w:val="32"/>
        </w:rPr>
        <w:t>衡南县司法局是主管全县司法行政工作的人民政府组成部门，其主要职责有：</w:t>
      </w:r>
    </w:p>
    <w:p>
      <w:pPr>
        <w:spacing w:line="560" w:lineRule="exact"/>
        <w:ind w:firstLine="320" w:firstLineChars="100"/>
        <w:rPr>
          <w:rFonts w:ascii="仿宋_GB2312" w:eastAsia="仿宋_GB2312"/>
          <w:sz w:val="32"/>
          <w:szCs w:val="32"/>
        </w:rPr>
      </w:pPr>
      <w:r>
        <w:rPr>
          <w:rFonts w:hint="eastAsia" w:ascii="仿宋_GB2312" w:eastAsia="仿宋_GB2312"/>
          <w:sz w:val="32"/>
          <w:szCs w:val="32"/>
        </w:rPr>
        <w:t>　1</w:t>
      </w:r>
      <w:r>
        <w:rPr>
          <w:rFonts w:hint="eastAsia" w:ascii="仿宋_GB2312" w:eastAsia="仿宋_GB2312"/>
          <w:sz w:val="32"/>
          <w:szCs w:val="32"/>
          <w:lang w:val="en-US" w:eastAsia="zh-CN"/>
        </w:rPr>
        <w:t>.</w:t>
      </w:r>
      <w:r>
        <w:rPr>
          <w:rFonts w:hint="eastAsia" w:ascii="仿宋_GB2312" w:eastAsia="仿宋_GB2312"/>
          <w:sz w:val="32"/>
          <w:szCs w:val="32"/>
        </w:rPr>
        <w:t>承担全面依法治县重大问题的政策研究，协调有关方面提出全面依法治县中长期规划建议，负责有关重大决策部署督察工作，负责依法治县和法治政府建设考核工作。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w:t>
      </w:r>
      <w:r>
        <w:rPr>
          <w:rFonts w:hint="eastAsia" w:ascii="仿宋_GB2312" w:eastAsia="仿宋_GB2312"/>
          <w:sz w:val="32"/>
          <w:szCs w:val="32"/>
          <w:lang w:val="en-US" w:eastAsia="zh-CN"/>
        </w:rPr>
        <w:t>.</w:t>
      </w:r>
      <w:r>
        <w:rPr>
          <w:rFonts w:hint="eastAsia" w:ascii="仿宋_GB2312" w:eastAsia="仿宋_GB2312"/>
          <w:sz w:val="32"/>
          <w:szCs w:val="32"/>
        </w:rPr>
        <w:t>贯彻执行国家、省、市有关司法行政工作方针、政策和法律、法规，编制全县司法行政发展中、长期规划和年度计划并监督实施。</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w:t>
      </w:r>
      <w:r>
        <w:rPr>
          <w:rFonts w:hint="eastAsia" w:ascii="仿宋_GB2312" w:eastAsia="仿宋_GB2312"/>
          <w:sz w:val="32"/>
          <w:szCs w:val="32"/>
          <w:lang w:val="en-US" w:eastAsia="zh-CN"/>
        </w:rPr>
        <w:t>.</w:t>
      </w:r>
      <w:r>
        <w:rPr>
          <w:rFonts w:hint="eastAsia" w:ascii="仿宋_GB2312" w:eastAsia="仿宋_GB2312"/>
          <w:sz w:val="32"/>
          <w:szCs w:val="32"/>
        </w:rPr>
        <w:t>指导全县规范性文件管理工作。承担县政府规范性文件送审稿的合法性审查工作，承办县政府及其部门规范性文件的登记工作。负责报送备案县政府规范性文件工作。负责县直部门和乡镇政府规范性文件备案审查工作。受理有关规范性文件违法审查申请。组织开展规范性文件清理工作。承担县政府法律顾问工作，负责对县政府重大行政决策和政府会议纪要进行合法性审查或论证说明。</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4</w:t>
      </w:r>
      <w:r>
        <w:rPr>
          <w:rFonts w:hint="eastAsia" w:ascii="仿宋_GB2312" w:eastAsia="仿宋_GB2312"/>
          <w:sz w:val="32"/>
          <w:szCs w:val="32"/>
          <w:lang w:val="en-US" w:eastAsia="zh-CN"/>
        </w:rPr>
        <w:t>.</w:t>
      </w:r>
      <w:r>
        <w:rPr>
          <w:rFonts w:hint="eastAsia" w:ascii="仿宋_GB2312" w:eastAsia="仿宋_GB2312"/>
          <w:sz w:val="32"/>
          <w:szCs w:val="32"/>
        </w:rPr>
        <w:t>负责县政府签订合同的合法性审查工作。根据县政府安排，会同合同承办部门参与县政府重大合同的谈判、起草、签订、备案、履行、跟踪管理等工作。指导县直部门、乡镇政府合同审查管理工作。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5</w:t>
      </w:r>
      <w:r>
        <w:rPr>
          <w:rFonts w:hint="eastAsia" w:ascii="仿宋_GB2312" w:eastAsia="仿宋_GB2312"/>
          <w:sz w:val="32"/>
          <w:szCs w:val="32"/>
          <w:lang w:val="en-US" w:eastAsia="zh-CN"/>
        </w:rPr>
        <w:t>.</w:t>
      </w:r>
      <w:r>
        <w:rPr>
          <w:rFonts w:hint="eastAsia" w:ascii="仿宋_GB2312" w:eastAsia="仿宋_GB2312"/>
          <w:sz w:val="32"/>
          <w:szCs w:val="32"/>
        </w:rPr>
        <w:t>承担统筹推进法治政府建设的责任。指导、监督县政府各部门、各乡镇政府依法行政工作。负责综合协调行政执法，承担推进行政执法体制改革有关工作，推进严格规范公正文明执法。承办县政府作为被申请人的最终裁决的有关行政复议事项。指导、监督全县行政复议，行政应诉和行政赔偿工作，负责县政府及本局行政复议、行政应诉和行政赔偿案件办理工作。承办县政府有关民事及民事诉讼法律事务。承担县行政复议办公室的日常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6</w:t>
      </w:r>
      <w:r>
        <w:rPr>
          <w:rFonts w:hint="eastAsia" w:ascii="仿宋_GB2312" w:eastAsia="仿宋_GB2312"/>
          <w:sz w:val="32"/>
          <w:szCs w:val="32"/>
          <w:lang w:val="en-US" w:eastAsia="zh-CN"/>
        </w:rPr>
        <w:t>.</w:t>
      </w:r>
      <w:r>
        <w:rPr>
          <w:rFonts w:hint="eastAsia" w:ascii="仿宋_GB2312" w:eastAsia="仿宋_GB2312"/>
          <w:sz w:val="32"/>
          <w:szCs w:val="32"/>
        </w:rPr>
        <w:t>承担统筹规划全县法治社会建设的责任。负责拟订法治宣传教育规划，组织实施普法宣传工作，组织对外法治宣传。推动人民参与和促进法治建设．指导依法治理和法治创建工作。协助做好本行政区域内人民监督员选任管理工作，指导人民调解工作和人民陪审员选任管理工作，推进司法所建设。</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7</w:t>
      </w:r>
      <w:r>
        <w:rPr>
          <w:rFonts w:hint="eastAsia" w:ascii="仿宋_GB2312" w:eastAsia="仿宋_GB2312"/>
          <w:sz w:val="32"/>
          <w:szCs w:val="32"/>
          <w:lang w:val="en-US" w:eastAsia="zh-CN"/>
        </w:rPr>
        <w:t>.</w:t>
      </w:r>
      <w:r>
        <w:rPr>
          <w:rFonts w:hint="eastAsia" w:ascii="仿宋_GB2312" w:eastAsia="仿宋_GB2312"/>
          <w:sz w:val="32"/>
          <w:szCs w:val="32"/>
        </w:rPr>
        <w:t>指导、管理社区矫正工作。指导刑满释放人员帮教安置工作。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8</w:t>
      </w:r>
      <w:r>
        <w:rPr>
          <w:rFonts w:hint="eastAsia" w:ascii="仿宋_GB2312" w:eastAsia="仿宋_GB2312"/>
          <w:sz w:val="32"/>
          <w:szCs w:val="32"/>
          <w:lang w:val="en-US" w:eastAsia="zh-CN"/>
        </w:rPr>
        <w:t>.</w:t>
      </w:r>
      <w:r>
        <w:rPr>
          <w:rFonts w:hint="eastAsia" w:ascii="仿宋_GB2312" w:eastAsia="仿宋_GB2312"/>
          <w:sz w:val="32"/>
          <w:szCs w:val="32"/>
        </w:rPr>
        <w:t>指导、支持和协助社区戒毒（康复）工作。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9</w:t>
      </w:r>
      <w:r>
        <w:rPr>
          <w:rFonts w:hint="eastAsia" w:ascii="仿宋_GB2312" w:eastAsia="仿宋_GB2312"/>
          <w:sz w:val="32"/>
          <w:szCs w:val="32"/>
          <w:lang w:val="en-US" w:eastAsia="zh-CN"/>
        </w:rPr>
        <w:t>.</w:t>
      </w:r>
      <w:r>
        <w:rPr>
          <w:rFonts w:hint="eastAsia" w:ascii="仿宋_GB2312" w:eastAsia="仿宋_GB2312"/>
          <w:sz w:val="32"/>
          <w:szCs w:val="32"/>
        </w:rPr>
        <w:t>负责拟订公共法律服务体系建设规划并指导实施，统筹和布局城乡、区域法律服务资源。指导、监督律师、法律援助、司法鉴定、公证和基层法律服务管理工作。管理县公证处、法律援助中心。</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10</w:t>
      </w:r>
      <w:r>
        <w:rPr>
          <w:rFonts w:hint="eastAsia" w:ascii="仿宋_GB2312" w:eastAsia="仿宋_GB2312"/>
          <w:sz w:val="32"/>
          <w:szCs w:val="32"/>
          <w:lang w:val="en-US" w:eastAsia="zh-CN"/>
        </w:rPr>
        <w:t>.</w:t>
      </w:r>
      <w:r>
        <w:rPr>
          <w:rFonts w:hint="eastAsia" w:ascii="仿宋_GB2312" w:eastAsia="仿宋_GB2312"/>
          <w:sz w:val="32"/>
          <w:szCs w:val="32"/>
        </w:rPr>
        <w:t>负责本系统的财物、物资装备和国有资产的管理工作。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11</w:t>
      </w:r>
      <w:r>
        <w:rPr>
          <w:rFonts w:hint="eastAsia" w:ascii="仿宋_GB2312" w:eastAsia="仿宋_GB2312"/>
          <w:sz w:val="32"/>
          <w:szCs w:val="32"/>
          <w:lang w:val="en-US" w:eastAsia="zh-CN"/>
        </w:rPr>
        <w:t>.</w:t>
      </w:r>
      <w:r>
        <w:rPr>
          <w:rFonts w:hint="eastAsia" w:ascii="仿宋_GB2312" w:eastAsia="仿宋_GB2312"/>
          <w:sz w:val="32"/>
          <w:szCs w:val="32"/>
        </w:rPr>
        <w:t>规划、协调、指导法治人才队伍建设相关工作。指导、监督本系统队伍建设。</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12</w:t>
      </w:r>
      <w:r>
        <w:rPr>
          <w:rFonts w:hint="eastAsia" w:ascii="仿宋_GB2312" w:eastAsia="仿宋_GB2312"/>
          <w:sz w:val="32"/>
          <w:szCs w:val="32"/>
          <w:lang w:val="en-US" w:eastAsia="zh-CN"/>
        </w:rPr>
        <w:t>.</w:t>
      </w:r>
      <w:r>
        <w:rPr>
          <w:rFonts w:hint="eastAsia" w:ascii="仿宋_GB2312" w:eastAsia="仿宋_GB2312"/>
          <w:sz w:val="32"/>
          <w:szCs w:val="32"/>
        </w:rPr>
        <w:t>完成县委、县政府交办的其他任务。</w:t>
      </w:r>
    </w:p>
    <w:p>
      <w:pPr>
        <w:ind w:firstLine="643" w:firstLineChars="200"/>
        <w:rPr>
          <w:rFonts w:ascii="Times New Roman" w:hAnsi="Times New Roman" w:eastAsia="楷体_GB2312" w:cs="Times New Roman"/>
          <w:b/>
          <w:bCs/>
          <w:sz w:val="32"/>
          <w:szCs w:val="32"/>
          <w:lang w:val="zh-CN"/>
        </w:rPr>
      </w:pPr>
      <w:r>
        <w:rPr>
          <w:rFonts w:hint="eastAsia" w:ascii="Times New Roman" w:hAnsi="Times New Roman" w:eastAsia="楷体_GB2312" w:cs="Times New Roman"/>
          <w:b/>
          <w:bCs/>
          <w:sz w:val="32"/>
          <w:szCs w:val="32"/>
          <w:lang w:val="zh-CN"/>
        </w:rPr>
        <w:t>（二）机构设置情况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县司法局内设办公室、政工室、法治研究督查室，行政复议与应诉股，行政执法协调监督股，规范性文件管理股，法律事务股，合同审查管理股，普法与依法治理股，基层法治建设股，公共法律服务管理股，装备财务保障股，行政审批股。</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直属机构1个：县社区矫正工作局；下属事业单位1个：县法律援助中心。派出机构：23个基层司法所。</w:t>
      </w:r>
    </w:p>
    <w:p>
      <w:pPr>
        <w:spacing w:line="560" w:lineRule="exact"/>
        <w:ind w:firstLine="643" w:firstLineChars="200"/>
        <w:rPr>
          <w:rFonts w:ascii="仿宋" w:hAnsi="仿宋" w:eastAsia="仿宋" w:cs="仿宋"/>
          <w:kern w:val="0"/>
          <w:sz w:val="32"/>
          <w:szCs w:val="32"/>
        </w:rPr>
      </w:pPr>
      <w:r>
        <w:rPr>
          <w:rFonts w:hint="eastAsia" w:ascii="Times New Roman" w:hAnsi="Times New Roman" w:eastAsia="楷体_GB2312" w:cs="Times New Roman"/>
          <w:b/>
          <w:bCs/>
          <w:sz w:val="32"/>
          <w:szCs w:val="32"/>
          <w:lang w:val="zh-CN"/>
        </w:rPr>
        <w:t>（三）人员编制情况</w:t>
      </w:r>
    </w:p>
    <w:p>
      <w:pPr>
        <w:spacing w:line="560" w:lineRule="exact"/>
        <w:ind w:firstLine="640" w:firstLineChars="200"/>
        <w:rPr>
          <w:rFonts w:ascii="仿宋" w:hAnsi="仿宋" w:eastAsia="仿宋" w:cs="仿宋"/>
          <w:kern w:val="0"/>
          <w:sz w:val="32"/>
          <w:szCs w:val="32"/>
        </w:rPr>
      </w:pPr>
      <w:r>
        <w:rPr>
          <w:rFonts w:hint="eastAsia" w:ascii="仿宋_GB2312" w:eastAsia="仿宋_GB2312"/>
          <w:sz w:val="32"/>
          <w:szCs w:val="32"/>
        </w:rPr>
        <w:t>截止2022年底全部实有人员共计88人，退休42人</w:t>
      </w:r>
      <w:r>
        <w:rPr>
          <w:rFonts w:hint="eastAsia" w:ascii="仿宋_GB2312" w:hAnsi="仿宋_GB2312" w:eastAsia="仿宋_GB2312" w:cs="仿宋_GB2312"/>
          <w:sz w:val="32"/>
          <w:szCs w:val="32"/>
        </w:rPr>
        <w:t>。</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二、部门整体支出管理及使用情况</w:t>
      </w:r>
    </w:p>
    <w:p>
      <w:pPr>
        <w:spacing w:line="560" w:lineRule="exact"/>
        <w:ind w:firstLine="643" w:firstLineChars="200"/>
        <w:rPr>
          <w:rFonts w:ascii="Times New Roman" w:hAnsi="Times New Roman" w:eastAsia="楷体_GB2312" w:cs="Times New Roman"/>
          <w:b/>
          <w:bCs/>
          <w:sz w:val="32"/>
          <w:szCs w:val="32"/>
          <w:lang w:val="zh-CN"/>
        </w:rPr>
      </w:pPr>
      <w:r>
        <w:rPr>
          <w:rFonts w:hint="eastAsia" w:ascii="Times New Roman" w:hAnsi="Times New Roman" w:eastAsia="楷体_GB2312" w:cs="Times New Roman"/>
          <w:b/>
          <w:bCs/>
          <w:sz w:val="32"/>
          <w:szCs w:val="32"/>
          <w:lang w:val="zh-CN"/>
        </w:rPr>
        <w:t>（一）、收入支出决算总体情况说明</w:t>
      </w:r>
    </w:p>
    <w:p>
      <w:pPr>
        <w:adjustRightInd w:val="0"/>
        <w:snapToGrid w:val="0"/>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部门预算收支情况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初预算总收入1286.88万，其中工资福利支出879.49万，一般商品服务支出202.4万，专项商品和服务支出188.57万，其中是政法津贴、岗位津贴、警衔津贴97.6万元，法律工作者医疗保险9.97万。对家庭和个人补助16.43万。</w:t>
      </w:r>
    </w:p>
    <w:p>
      <w:pPr>
        <w:adjustRightInd w:val="0"/>
        <w:snapToGrid w:val="0"/>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2、部门决算收支情况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2022年度</w:t>
      </w:r>
      <w:r>
        <w:rPr>
          <w:rFonts w:hint="eastAsia" w:ascii="仿宋_GB2312" w:eastAsia="仿宋_GB2312"/>
          <w:sz w:val="32"/>
          <w:szCs w:val="32"/>
          <w:lang w:eastAsia="zh-CN"/>
        </w:rPr>
        <w:t>总</w:t>
      </w:r>
      <w:r>
        <w:rPr>
          <w:rFonts w:hint="eastAsia" w:ascii="仿宋_GB2312" w:eastAsia="仿宋_GB2312"/>
          <w:sz w:val="32"/>
          <w:szCs w:val="32"/>
        </w:rPr>
        <w:t>收入1663.96元，其中：公共财政拨款1647.36万元， 其他收入（结算资金）16.6万元。本年支出总计1663.96万元，其中：工资福利支出1205.87万元用于在职人员的工资、津贴、各项社会保障支出、住房公积金等</w:t>
      </w:r>
      <w:r>
        <w:rPr>
          <w:rFonts w:hint="eastAsia" w:ascii="仿宋_GB2312" w:eastAsia="仿宋_GB2312"/>
          <w:sz w:val="32"/>
          <w:szCs w:val="32"/>
          <w:lang w:eastAsia="zh-CN"/>
        </w:rPr>
        <w:t>；</w:t>
      </w:r>
      <w:r>
        <w:rPr>
          <w:rFonts w:hint="eastAsia" w:ascii="仿宋_GB2312" w:eastAsia="仿宋_GB2312"/>
          <w:sz w:val="32"/>
          <w:szCs w:val="32"/>
        </w:rPr>
        <w:t>商品和服务支出26.94万元，用于办公费、印刷费、水电费、差旅费及其他商品服务支出等日常公用经费</w:t>
      </w:r>
      <w:r>
        <w:rPr>
          <w:rFonts w:hint="eastAsia" w:ascii="仿宋_GB2312" w:eastAsia="仿宋_GB2312"/>
          <w:sz w:val="32"/>
          <w:szCs w:val="32"/>
          <w:lang w:val="en-US" w:eastAsia="zh-CN"/>
        </w:rPr>
        <w:t>;</w:t>
      </w:r>
      <w:r>
        <w:rPr>
          <w:rFonts w:hint="eastAsia" w:ascii="仿宋_GB2312" w:eastAsia="仿宋_GB2312"/>
          <w:sz w:val="32"/>
          <w:szCs w:val="32"/>
        </w:rPr>
        <w:t>个人和家庭补助34.14万元，用于补缴以前年度退休人员养老保险、退休人员节日慰问金、医疗费、乡村振兴支出及其他对个人及家庭的补助支出等</w:t>
      </w:r>
      <w:r>
        <w:rPr>
          <w:rFonts w:hint="eastAsia" w:ascii="仿宋_GB2312" w:eastAsia="仿宋_GB2312"/>
          <w:sz w:val="32"/>
          <w:szCs w:val="32"/>
          <w:lang w:val="en-US" w:eastAsia="zh-CN"/>
        </w:rPr>
        <w:t>;</w:t>
      </w:r>
      <w:r>
        <w:rPr>
          <w:rFonts w:hint="eastAsia" w:ascii="仿宋_GB2312" w:eastAsia="仿宋_GB2312"/>
          <w:sz w:val="32"/>
          <w:szCs w:val="32"/>
        </w:rPr>
        <w:t>项目支出397.01万元，其中结算资金支出16.59万余，政法津贴及岗位津贴41.38万元，泉溪、硫市司法所政法补助经费10万元，办案支出44.36万元，装备支出19.94万元，人民调解10.14万元，司法所维修支出7.64万元，法治乡村建设9.67万元，行政复议支出10.67万元，其他司法支出112.24万元，法律援助支出21.03万元，抚恤金7.3万元，法律工作者医疗保险9.97万元等。</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 xml:space="preserve">2022年公共预算财政拨款支出1647.36万元，一般公共财政拨款1647.36万元。其中：基本支出1266.94万元，系保障我局机构正常运转、完成日常工作任务而发生的各项支出，包括在职人员基本工资、津贴补贴、社会保障缴费及其他工资福利支出以及补缴退休人员以前年度养老保险，退休人员节日慰问、医疗费等人员经费。还包括办公费、印刷费、水电费、差旅费等其他商品服务支出。 </w:t>
      </w:r>
    </w:p>
    <w:p>
      <w:pPr>
        <w:spacing w:line="560" w:lineRule="exact"/>
        <w:ind w:firstLine="643" w:firstLineChars="200"/>
        <w:rPr>
          <w:rFonts w:hint="eastAsia"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（二）“三公”经费支出使用和管理情况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 xml:space="preserve">2022年“三公”经费预算21.5万，实际支出合计9.99万元。分项为：因公出国(境)费支出零元；我局公务用车2台，均为一般执法执勤用车，没有超编购置。主要用于基层指导、办案，全年购置及运行维护费支出4.99万元，比预算减少3.51万元，降低41.29%；公务接待费支出5万元，比预算减少8万元，降低63%。公务接待严禁奢侈浪费，为节约开支大部分接待都在食堂开支。                          </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截止2022年12月31日，我单位共有公车2台，均为一般执法执勤用车。</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（三）专项支出项目资金使用情况</w:t>
      </w:r>
    </w:p>
    <w:p>
      <w:pPr>
        <w:adjustRightInd w:val="0"/>
        <w:snapToGrid w:val="0"/>
        <w:spacing w:line="600" w:lineRule="exact"/>
        <w:ind w:firstLine="640"/>
        <w:rPr>
          <w:rFonts w:ascii="仿宋_GB2312" w:eastAsia="仿宋_GB2312"/>
          <w:sz w:val="32"/>
          <w:szCs w:val="32"/>
        </w:rPr>
      </w:pPr>
      <w:r>
        <w:rPr>
          <w:rFonts w:hint="eastAsia" w:ascii="Times New Roman" w:hAnsi="Times New Roman" w:eastAsia="仿宋_GB2312" w:cs="Times New Roman"/>
          <w:sz w:val="32"/>
          <w:szCs w:val="32"/>
        </w:rPr>
        <w:t>2</w:t>
      </w:r>
      <w:r>
        <w:rPr>
          <w:rFonts w:hint="eastAsia" w:ascii="仿宋_GB2312" w:eastAsia="仿宋_GB2312"/>
          <w:sz w:val="32"/>
          <w:szCs w:val="32"/>
        </w:rPr>
        <w:t>022年我局专项项目资金397万元。按照项目资金的使用内容和用途，项目资金主要是社区矫正、法律援助、普法宣传、人民调解、司法鉴定、中央转移支付经费等。都是根据我局的工作职能和职责设立，经费支出范围均为我局开展司法业务工作相关的工作经费，为持续性、常年性项目，具体包括律师公证管理、法律援助、普法宣传、社区矫正、人民调解等项目。通过专项工作的开展，全面推进了法制建设，严格了律师监管，加强人民调解，扩展和规范基层法律服务，推进安置帮教工作，落实社区矫正工作的快速发展绩效目标。</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三、部门专项组织实施情况</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我局财务管理严格依法依规，做到公开公平公正，在严格执行各项有关法律法规、财经纪律、财务规章制度的同时，我局根据单位自身情况结合各项规定编制了《衡南县司法局内部控制手册》，系统阐述了预（决）算、政府采购、国库集中支付、专项资金等管理办法和操作规程。</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认真抓好内部审计工作，认真部署，扎扎实实地开展内部审计工作。我们年初制订了详细的审计工作计划，明确了全年的工作任务和要求，使全年的审计工作做到了有计划、有部署。</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四、部门整体支出绩效情况</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2022年，根据局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 xml:space="preserve">（一）经济性评价 </w:t>
      </w:r>
    </w:p>
    <w:p>
      <w:pPr>
        <w:adjustRightInd w:val="0"/>
        <w:snapToGrid w:val="0"/>
        <w:spacing w:line="600"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xml:space="preserve"> </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本年预算安排控制较好，财政供养人员控制率100%，编制内在</w:t>
      </w:r>
      <w:r>
        <w:rPr>
          <w:rFonts w:hint="eastAsia" w:ascii="Times New Roman" w:hAnsi="Times New Roman" w:eastAsia="仿宋_GB2312" w:cs="Times New Roman"/>
          <w:sz w:val="32"/>
          <w:szCs w:val="32"/>
        </w:rPr>
        <w:t>职人员控制率小于100%，控制在预算编制以内；“三公”经费预算总额未突破上年。</w:t>
      </w:r>
    </w:p>
    <w:p>
      <w:pPr>
        <w:adjustRightInd w:val="0"/>
        <w:snapToGrid w:val="0"/>
        <w:spacing w:line="600" w:lineRule="exact"/>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预算</w:t>
      </w:r>
      <w:r>
        <w:rPr>
          <w:rFonts w:hint="eastAsia" w:ascii="Times New Roman" w:hAnsi="Times New Roman" w:eastAsia="仿宋_GB2312" w:cs="Times New Roman"/>
          <w:sz w:val="32"/>
          <w:szCs w:val="32"/>
        </w:rPr>
        <w:t xml:space="preserve">执行方面，支出总额控制在预算总额以内。 </w:t>
      </w:r>
    </w:p>
    <w:p>
      <w:pPr>
        <w:spacing w:line="560" w:lineRule="exact"/>
        <w:ind w:firstLine="643" w:firstLineChars="200"/>
        <w:rPr>
          <w:rFonts w:ascii="Times New Roman" w:hAnsi="Times New Roman" w:eastAsia="楷体_GB2312" w:cs="Times New Roman"/>
          <w:b/>
          <w:bCs/>
          <w:sz w:val="32"/>
          <w:szCs w:val="32"/>
        </w:rPr>
      </w:pPr>
      <w:r>
        <w:rPr>
          <w:rFonts w:hint="eastAsia" w:ascii="Times New Roman" w:hAnsi="Times New Roman" w:eastAsia="楷体_GB2312" w:cs="Times New Roman"/>
          <w:b/>
          <w:bCs/>
          <w:sz w:val="32"/>
          <w:szCs w:val="32"/>
        </w:rPr>
        <w:t>（二）项目产出及社会效益评价</w:t>
      </w:r>
    </w:p>
    <w:p>
      <w:pPr>
        <w:adjustRightInd w:val="0"/>
        <w:snapToGrid w:val="0"/>
        <w:spacing w:line="600" w:lineRule="exact"/>
        <w:ind w:firstLine="640"/>
        <w:rPr>
          <w:rFonts w:hint="eastAsia" w:ascii="仿宋_GB2312" w:eastAsia="仿宋_GB2312"/>
          <w:sz w:val="32"/>
          <w:szCs w:val="32"/>
        </w:rPr>
      </w:pPr>
      <w:r>
        <w:rPr>
          <w:rFonts w:hint="eastAsia" w:ascii="仿宋_GB2312" w:eastAsia="仿宋_GB2312"/>
          <w:sz w:val="32"/>
          <w:szCs w:val="32"/>
        </w:rPr>
        <w:t>2022年，通过我局专项工作的开展，我们狠抓重点工作，较好的完成了各项目标任务，取得了较好的社会效益。主要绩效如下：</w:t>
      </w:r>
    </w:p>
    <w:p>
      <w:pPr>
        <w:adjustRightInd w:val="0"/>
        <w:snapToGrid w:val="0"/>
        <w:spacing w:line="600" w:lineRule="exact"/>
        <w:ind w:firstLine="640"/>
        <w:rPr>
          <w:rFonts w:hint="eastAsia" w:ascii="仿宋_GB2312" w:eastAsia="仿宋_GB2312"/>
          <w:sz w:val="32"/>
          <w:szCs w:val="32"/>
        </w:rPr>
      </w:pPr>
      <w:r>
        <w:rPr>
          <w:rFonts w:hint="eastAsia" w:ascii="Times New Roman" w:hAnsi="Times New Roman" w:eastAsia="仿宋_GB2312" w:cs="Times New Roman"/>
          <w:sz w:val="32"/>
          <w:szCs w:val="32"/>
        </w:rPr>
        <w:t>1、</w:t>
      </w:r>
      <w:r>
        <w:rPr>
          <w:rFonts w:hint="eastAsia" w:ascii="仿宋_GB2312" w:eastAsia="仿宋_GB2312"/>
          <w:sz w:val="32"/>
          <w:szCs w:val="32"/>
        </w:rPr>
        <w:t>人民调解工作</w:t>
      </w:r>
      <w:r>
        <w:rPr>
          <w:rFonts w:hint="eastAsia" w:ascii="仿宋_GB2312" w:eastAsia="仿宋_GB2312"/>
          <w:sz w:val="32"/>
          <w:szCs w:val="32"/>
          <w:lang w:eastAsia="zh-CN"/>
        </w:rPr>
        <w:t>。</w:t>
      </w:r>
      <w:r>
        <w:rPr>
          <w:rFonts w:hint="eastAsia" w:ascii="仿宋_GB2312" w:eastAsia="仿宋_GB2312"/>
          <w:sz w:val="32"/>
          <w:szCs w:val="32"/>
        </w:rPr>
        <w:t>以总体国家安全观为统领，以统筹发展和安全为要求，始终把维</w:t>
      </w:r>
      <w:r>
        <w:rPr>
          <w:rFonts w:hint="eastAsia" w:ascii="仿宋" w:hAnsi="仿宋" w:eastAsia="仿宋" w:cs="仿宋"/>
          <w:sz w:val="32"/>
          <w:szCs w:val="32"/>
        </w:rPr>
        <w:t>护国家政治安全和社会稳定置于首位。</w:t>
      </w:r>
      <w:r>
        <w:rPr>
          <w:rFonts w:hint="eastAsia" w:ascii="楷体" w:hAnsi="楷体" w:eastAsia="楷体" w:cs="楷体"/>
          <w:b/>
          <w:bCs/>
          <w:sz w:val="32"/>
          <w:szCs w:val="32"/>
        </w:rPr>
        <w:t>一是完善矛盾纠纷排查。</w:t>
      </w:r>
      <w:r>
        <w:rPr>
          <w:rFonts w:hint="eastAsia" w:ascii="仿宋" w:hAnsi="仿宋" w:eastAsia="仿宋" w:cs="仿宋"/>
          <w:sz w:val="32"/>
          <w:szCs w:val="32"/>
        </w:rPr>
        <w:t>全力做好矛盾纠纷源头预防、排查预警、调解化解，部署开展“调解促稳定 喜迎二十大”矛盾纠纷排查化解专项活动，对排查出来的矛盾纠纷及时建立工作台账，逐一明确化解责任，化解时限。</w:t>
      </w:r>
      <w:r>
        <w:rPr>
          <w:rFonts w:hint="eastAsia" w:ascii="楷体" w:hAnsi="楷体" w:eastAsia="楷体" w:cs="楷体"/>
          <w:b/>
          <w:bCs/>
          <w:sz w:val="32"/>
          <w:szCs w:val="32"/>
        </w:rPr>
        <w:t>二是积极化解矛盾纠纷。</w:t>
      </w:r>
      <w:r>
        <w:rPr>
          <w:rFonts w:hint="eastAsia" w:ascii="仿宋" w:hAnsi="仿宋" w:eastAsia="仿宋" w:cs="仿宋"/>
          <w:sz w:val="32"/>
          <w:szCs w:val="32"/>
        </w:rPr>
        <w:t>制</w:t>
      </w:r>
      <w:r>
        <w:rPr>
          <w:rFonts w:hint="eastAsia" w:ascii="仿宋_GB2312" w:eastAsia="仿宋_GB2312"/>
          <w:sz w:val="32"/>
          <w:szCs w:val="32"/>
        </w:rPr>
        <w:t>定出台了《衡南县人民调解案件“以奖代补”实施办法》，积极推进“屋场恳谈＋人民调解”工作，筑牢了维护社会和谐稳定的第一道防线。一年来累计调处各类矛盾纠纷3851件，调解成功率98%。</w:t>
      </w:r>
    </w:p>
    <w:p>
      <w:pPr>
        <w:adjustRightInd w:val="0"/>
        <w:snapToGrid w:val="0"/>
        <w:spacing w:line="600" w:lineRule="exact"/>
        <w:ind w:firstLine="640"/>
        <w:rPr>
          <w:rFonts w:hint="eastAsia" w:ascii="仿宋" w:hAnsi="仿宋" w:eastAsia="仿宋" w:cs="仿宋"/>
          <w:sz w:val="32"/>
          <w:szCs w:val="32"/>
        </w:rPr>
      </w:pP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rPr>
        <w:t>社</w:t>
      </w:r>
      <w:r>
        <w:rPr>
          <w:rFonts w:hint="eastAsia" w:ascii="仿宋" w:hAnsi="仿宋" w:eastAsia="仿宋" w:cs="仿宋"/>
          <w:sz w:val="32"/>
          <w:szCs w:val="32"/>
        </w:rPr>
        <w:t>区矫正和安置帮教工作</w:t>
      </w:r>
      <w:r>
        <w:rPr>
          <w:rFonts w:hint="eastAsia" w:ascii="仿宋" w:hAnsi="仿宋" w:eastAsia="仿宋" w:cs="仿宋"/>
          <w:sz w:val="32"/>
          <w:szCs w:val="32"/>
          <w:lang w:eastAsia="zh-CN"/>
        </w:rPr>
        <w:t>。</w:t>
      </w:r>
      <w:r>
        <w:rPr>
          <w:rFonts w:hint="eastAsia" w:ascii="仿宋" w:hAnsi="仿宋" w:eastAsia="仿宋" w:cs="仿宋"/>
          <w:sz w:val="32"/>
          <w:szCs w:val="32"/>
        </w:rPr>
        <w:t>开展社区矫正和安置帮教重点人员摸排工作，全面掌握社区矫正和安置帮教重点人员的底数和基本情况，摸排出重点人员22名。依法接收安置帮教对象469名，其中重点帮教对象43名，均落实了有效的安置和帮教措施，坚决维护社会安全稳定。没有出现脱管、漏管和重新犯罪情况。</w:t>
      </w:r>
    </w:p>
    <w:p>
      <w:pPr>
        <w:adjustRightInd w:val="0"/>
        <w:snapToGrid w:val="0"/>
        <w:spacing w:line="600" w:lineRule="exact"/>
        <w:ind w:firstLine="640"/>
        <w:rPr>
          <w:rFonts w:hint="eastAsia" w:ascii="仿宋" w:hAnsi="仿宋" w:eastAsia="仿宋" w:cs="仿宋"/>
          <w:sz w:val="32"/>
          <w:szCs w:val="32"/>
        </w:rPr>
      </w:pPr>
      <w:r>
        <w:rPr>
          <w:rFonts w:hint="eastAsia" w:ascii="Times New Roman" w:hAnsi="Times New Roman" w:eastAsia="仿宋_GB2312" w:cs="Times New Roman"/>
          <w:sz w:val="32"/>
          <w:szCs w:val="32"/>
        </w:rPr>
        <w:t>3</w:t>
      </w:r>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rPr>
        <w:t>法</w:t>
      </w:r>
      <w:r>
        <w:rPr>
          <w:rFonts w:hint="eastAsia" w:ascii="仿宋" w:hAnsi="仿宋" w:eastAsia="仿宋" w:cs="仿宋"/>
          <w:sz w:val="32"/>
          <w:szCs w:val="32"/>
        </w:rPr>
        <w:t>治宣传工作</w:t>
      </w:r>
      <w:r>
        <w:rPr>
          <w:rFonts w:hint="eastAsia" w:ascii="仿宋" w:hAnsi="仿宋" w:eastAsia="仿宋" w:cs="仿宋"/>
          <w:sz w:val="32"/>
          <w:szCs w:val="32"/>
          <w:lang w:eastAsia="zh-CN"/>
        </w:rPr>
        <w:t>。</w:t>
      </w:r>
      <w:r>
        <w:rPr>
          <w:rFonts w:hint="eastAsia" w:ascii="仿宋" w:hAnsi="仿宋" w:eastAsia="仿宋" w:cs="仿宋"/>
          <w:sz w:val="32"/>
          <w:szCs w:val="32"/>
        </w:rPr>
        <w:t>提供让群众更加满意的服务渠道，满足群众的多元化法律服务需求，着力优化法治营商环境，护航经济社会高质量发展。全面实施“八五”普法规划，创新法治宣传方式，大力推进“屋场恳谈+法治宣传”，发挥村（社区）“法律明白人”的作用，用群众喜闻乐见的方式开展法治宣传，源头了解群众法律需求，实现普法宣传“面对面”，服务群众“零距离”，确保法治宣传入脑入心。</w:t>
      </w:r>
    </w:p>
    <w:p>
      <w:pPr>
        <w:adjustRightInd w:val="0"/>
        <w:snapToGrid w:val="0"/>
        <w:spacing w:line="600" w:lineRule="exact"/>
        <w:ind w:firstLine="640"/>
        <w:rPr>
          <w:rFonts w:hint="eastAsia" w:ascii="仿宋" w:hAnsi="仿宋" w:eastAsia="仿宋" w:cs="仿宋"/>
          <w:sz w:val="32"/>
          <w:szCs w:val="32"/>
        </w:rPr>
      </w:pPr>
      <w:r>
        <w:rPr>
          <w:rFonts w:hint="eastAsia" w:ascii="Times New Roman" w:hAnsi="Times New Roman" w:eastAsia="仿宋_GB2312" w:cs="Times New Roman"/>
          <w:sz w:val="32"/>
          <w:szCs w:val="32"/>
        </w:rPr>
        <w:t>4</w:t>
      </w:r>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rPr>
        <w:t>法律援助工作。</w:t>
      </w:r>
      <w:r>
        <w:rPr>
          <w:rFonts w:hint="eastAsia" w:ascii="仿宋" w:hAnsi="仿宋" w:eastAsia="仿宋" w:cs="仿宋"/>
          <w:sz w:val="32"/>
          <w:szCs w:val="32"/>
        </w:rPr>
        <w:t>围绕“覆盖城乡、便捷高效、群众满意”的目标要求，探索推行“屋场恳谈+公共法律服务”，公共法律服务实现“一站通”“一网通”“一线通”。围绕重点工程提供“全程式”服务，组织律师、公证、人民调解等法律服务团队，深入重点工程现场开展法律服务，实施法律宣传10 余次。围绕企业发展提供“精准式”服务，全县律师先后深入19家企业开展“法律体检”，切实增强了人民群众的法治获得感。共受理法律援助案件396件。</w:t>
      </w:r>
    </w:p>
    <w:p>
      <w:pPr>
        <w:adjustRightInd w:val="0"/>
        <w:snapToGrid w:val="0"/>
        <w:spacing w:line="600" w:lineRule="exact"/>
        <w:ind w:firstLine="640"/>
        <w:rPr>
          <w:rFonts w:hint="eastAsia" w:ascii="仿宋" w:hAnsi="仿宋" w:eastAsia="仿宋" w:cs="仿宋"/>
          <w:sz w:val="32"/>
          <w:szCs w:val="32"/>
        </w:rPr>
      </w:pPr>
      <w:r>
        <w:rPr>
          <w:rFonts w:hint="eastAsia" w:ascii="Times New Roman" w:hAnsi="Times New Roman" w:eastAsia="仿宋_GB2312" w:cs="Times New Roman"/>
          <w:sz w:val="32"/>
          <w:szCs w:val="32"/>
        </w:rPr>
        <w:t xml:space="preserve"> 5</w:t>
      </w:r>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rPr>
        <w:t>公</w:t>
      </w:r>
      <w:r>
        <w:rPr>
          <w:rFonts w:hint="eastAsia" w:ascii="仿宋" w:hAnsi="仿宋" w:eastAsia="仿宋" w:cs="仿宋"/>
          <w:sz w:val="32"/>
          <w:szCs w:val="32"/>
        </w:rPr>
        <w:t>证工作办理各类公证事项</w:t>
      </w:r>
      <w:r>
        <w:rPr>
          <w:rFonts w:hint="eastAsia" w:ascii="仿宋" w:hAnsi="仿宋" w:eastAsia="仿宋" w:cs="仿宋"/>
          <w:sz w:val="32"/>
          <w:szCs w:val="32"/>
          <w:lang w:val="en-US" w:eastAsia="zh-CN"/>
        </w:rPr>
        <w:t>233</w:t>
      </w:r>
      <w:r>
        <w:rPr>
          <w:rFonts w:hint="eastAsia" w:ascii="仿宋" w:hAnsi="仿宋" w:eastAsia="仿宋" w:cs="仿宋"/>
          <w:sz w:val="32"/>
          <w:szCs w:val="32"/>
        </w:rPr>
        <w:t>件。协创律师事务所代理诉讼47件，其中民事44件，刑事3件。切实提高了人民群众对公共法律服务的获得感，同时收到了良好的法律效果和社会效果。</w:t>
      </w:r>
    </w:p>
    <w:p>
      <w:pPr>
        <w:adjustRightInd w:val="0"/>
        <w:snapToGrid w:val="0"/>
        <w:spacing w:line="600" w:lineRule="exact"/>
        <w:ind w:firstLine="640"/>
        <w:rPr>
          <w:rFonts w:ascii="仿宋" w:hAnsi="仿宋" w:eastAsia="仿宋" w:cs="仿宋"/>
          <w:sz w:val="32"/>
          <w:szCs w:val="32"/>
        </w:rPr>
      </w:pPr>
      <w:r>
        <w:rPr>
          <w:rFonts w:hint="eastAsia" w:ascii="Times New Roman" w:hAnsi="Times New Roman" w:eastAsia="仿宋_GB2312" w:cs="Times New Roman"/>
          <w:sz w:val="32"/>
          <w:szCs w:val="32"/>
        </w:rPr>
        <w:t>6</w:t>
      </w:r>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rPr>
        <w:t>法治建设与行政复议工作</w:t>
      </w:r>
      <w:r>
        <w:rPr>
          <w:rFonts w:hint="eastAsia" w:ascii="Times New Roman" w:hAnsi="Times New Roman" w:eastAsia="仿宋_GB2312" w:cs="Times New Roman"/>
          <w:sz w:val="32"/>
          <w:szCs w:val="32"/>
          <w:lang w:eastAsia="zh-CN"/>
        </w:rPr>
        <w:t>。</w:t>
      </w:r>
      <w:r>
        <w:rPr>
          <w:rFonts w:hint="eastAsia" w:ascii="仿宋" w:hAnsi="仿宋" w:eastAsia="仿宋" w:cs="仿宋"/>
          <w:sz w:val="32"/>
          <w:szCs w:val="32"/>
        </w:rPr>
        <w:t>充分发挥全面依法治县办统筹协调作用，统筹推进法治衡南、法治政府、法治社会一体化建设。</w:t>
      </w:r>
      <w:r>
        <w:rPr>
          <w:rFonts w:hint="eastAsia" w:ascii="楷体" w:hAnsi="楷体" w:eastAsia="楷体" w:cs="楷体"/>
          <w:b/>
          <w:bCs/>
          <w:sz w:val="32"/>
          <w:szCs w:val="32"/>
        </w:rPr>
        <w:t>一是高站位推进。</w:t>
      </w:r>
      <w:r>
        <w:rPr>
          <w:rFonts w:hint="eastAsia" w:ascii="仿宋" w:hAnsi="仿宋" w:eastAsia="仿宋" w:cs="仿宋"/>
          <w:sz w:val="32"/>
          <w:szCs w:val="32"/>
        </w:rPr>
        <w:t>制定《法治衡南建设规划（2021—2025年）》《衡南县法治政府建设工作方案》《“八五”普法规划》，明确了十四五期间我县法治建设路线图、时间表，推动全面依法治县向纵深发展，建设更高水平法治衡南。将法治建设纳入全县年度工作计划和年度工作要点，将推进依法行政、建设法治政府与全县改革发展稳定各项任务同部署、同安排、同考核，为保障我县经济社会平稳较快发展提高了良好的法治保障。</w:t>
      </w:r>
      <w:r>
        <w:rPr>
          <w:rFonts w:hint="eastAsia" w:ascii="楷体" w:hAnsi="楷体" w:eastAsia="楷体" w:cs="楷体"/>
          <w:b/>
          <w:bCs/>
          <w:sz w:val="32"/>
          <w:szCs w:val="32"/>
        </w:rPr>
        <w:t>二是高标准要求。</w:t>
      </w:r>
      <w:r>
        <w:rPr>
          <w:rFonts w:hint="eastAsia" w:ascii="仿宋" w:hAnsi="仿宋" w:eastAsia="仿宋" w:cs="仿宋"/>
          <w:sz w:val="32"/>
          <w:szCs w:val="32"/>
        </w:rPr>
        <w:t>推进综合行政执法体制改革，将行政执法“三项制度”落实情况、工作成效纳入年底绩效目标考核体系，行政执法全过程记录工作取得一定成效。开展执法案卷评查，对不合格案卷进行通报，并明确提出整改要求，确保全县公正文明执法水平稳步提升。规范行政执法人员持证上岗和资格管理，换证1060个，组织参考800余人。</w:t>
      </w:r>
      <w:r>
        <w:rPr>
          <w:rFonts w:hint="eastAsia" w:ascii="楷体" w:hAnsi="楷体" w:eastAsia="楷体" w:cs="楷体"/>
          <w:b/>
          <w:bCs/>
          <w:sz w:val="32"/>
          <w:szCs w:val="32"/>
        </w:rPr>
        <w:t>三是高质量保障。</w:t>
      </w:r>
      <w:r>
        <w:rPr>
          <w:rFonts w:hint="eastAsia" w:ascii="仿宋" w:hAnsi="仿宋" w:eastAsia="仿宋" w:cs="仿宋"/>
          <w:sz w:val="32"/>
          <w:szCs w:val="32"/>
        </w:rPr>
        <w:t>依法做好行政复议工作，切实发挥行政复议在行政救济中的核心作用，全县受理行政复议案件17件，审结14件，办理行政诉讼案17件，全部审结。全面推进规范性文件审查工作，审核规范性文件1</w:t>
      </w:r>
      <w:r>
        <w:rPr>
          <w:rFonts w:ascii="仿宋" w:hAnsi="仿宋" w:eastAsia="仿宋" w:cs="仿宋"/>
          <w:sz w:val="32"/>
          <w:szCs w:val="32"/>
        </w:rPr>
        <w:t>4</w:t>
      </w:r>
      <w:r>
        <w:rPr>
          <w:rFonts w:hint="eastAsia" w:ascii="仿宋" w:hAnsi="仿宋" w:eastAsia="仿宋" w:cs="仿宋"/>
          <w:sz w:val="32"/>
          <w:szCs w:val="32"/>
        </w:rPr>
        <w:t>件。对2017-2022年期间的全县规范性文件进行清理，共清理43件。对全县2008-2021年签订的所有政府合同进行了全面的摸底、排查、清理和评估，共清理政府合同137份。</w:t>
      </w:r>
    </w:p>
    <w:p>
      <w:pPr>
        <w:spacing w:line="560" w:lineRule="exact"/>
        <w:ind w:firstLine="321" w:firstLineChars="100"/>
        <w:rPr>
          <w:rFonts w:ascii="Times New Roman" w:hAnsi="Times New Roman" w:eastAsia="楷体_GB2312" w:cs="Times New Roman"/>
          <w:b/>
          <w:bCs/>
          <w:sz w:val="32"/>
          <w:szCs w:val="32"/>
          <w:lang w:val="zh-CN"/>
        </w:rPr>
      </w:pPr>
      <w:r>
        <w:rPr>
          <w:rFonts w:hint="eastAsia" w:ascii="Times New Roman" w:hAnsi="Times New Roman" w:eastAsia="楷体_GB2312" w:cs="Times New Roman"/>
          <w:b/>
          <w:bCs/>
          <w:sz w:val="32"/>
          <w:szCs w:val="32"/>
          <w:lang w:val="zh-CN"/>
        </w:rPr>
        <w:t>（三）社会公众满意度评价</w:t>
      </w:r>
    </w:p>
    <w:p>
      <w:pPr>
        <w:adjustRightInd w:val="0"/>
        <w:snapToGrid w:val="0"/>
        <w:spacing w:line="600" w:lineRule="exact"/>
        <w:ind w:firstLine="640"/>
        <w:rPr>
          <w:rFonts w:hint="eastAsia" w:ascii="仿宋" w:hAnsi="仿宋" w:eastAsia="仿宋" w:cs="仿宋"/>
          <w:sz w:val="32"/>
          <w:szCs w:val="32"/>
        </w:rPr>
      </w:pPr>
      <w:r>
        <w:rPr>
          <w:rFonts w:hint="eastAsia" w:ascii="仿宋" w:hAnsi="仿宋" w:eastAsia="仿宋" w:cs="仿宋"/>
          <w:sz w:val="32"/>
          <w:szCs w:val="32"/>
        </w:rPr>
        <w:t>通过上述工作的开展，省内法治环境逐步优化，社会公众的法制意识得到加强，社会的安定团结得到保障，社会公众的满意度得到了提高。</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四、存在的主要问题</w:t>
      </w:r>
    </w:p>
    <w:p>
      <w:pPr>
        <w:adjustRightInd w:val="0"/>
        <w:snapToGrid w:val="0"/>
        <w:spacing w:line="600" w:lineRule="exact"/>
        <w:ind w:firstLine="640"/>
        <w:rPr>
          <w:rFonts w:ascii="Times New Roman" w:hAnsi="Times New Roman" w:eastAsia="仿宋_GB2312" w:cs="Times New Roman"/>
          <w:sz w:val="32"/>
          <w:szCs w:val="32"/>
        </w:rPr>
      </w:pPr>
      <w:r>
        <w:rPr>
          <w:rFonts w:hint="eastAsia" w:ascii="仿宋" w:hAnsi="仿宋" w:eastAsia="仿宋" w:cs="仿宋"/>
          <w:sz w:val="32"/>
          <w:szCs w:val="32"/>
        </w:rPr>
        <w:t>年初预算的编制较为精细，按照费用支出的使用范围和内容，进行了类、款、项三个层级的明细预算，进行了基本支出、项目支出的严格区分，同时在基本支出和项目支出中又进行了更为明细的预算，并按照预算的最末级明细进行预算支出管理，专款专用。但对于追加的项目支出、上年结余结转的项目资金，没有进行预算分解，编制明细预算，因此涉及上年结转和追加预算的项目支出的预算管理均仅从总额进行控制，不便于对其进行精细化的预算管理和分析评价。</w:t>
      </w:r>
    </w:p>
    <w:p>
      <w:pPr>
        <w:spacing w:line="560" w:lineRule="exact"/>
        <w:ind w:firstLine="640" w:firstLineChars="200"/>
        <w:rPr>
          <w:rFonts w:ascii="黑体" w:hAnsi="黑体" w:eastAsia="黑体" w:cs="黑体"/>
          <w:kern w:val="0"/>
          <w:sz w:val="32"/>
          <w:szCs w:val="32"/>
        </w:rPr>
      </w:pPr>
      <w:r>
        <w:rPr>
          <w:rFonts w:hint="eastAsia" w:ascii="黑体" w:hAnsi="黑体" w:eastAsia="黑体" w:cs="黑体"/>
          <w:kern w:val="0"/>
          <w:sz w:val="32"/>
          <w:szCs w:val="32"/>
        </w:rPr>
        <w:t>五、改进措施和建议</w:t>
      </w:r>
    </w:p>
    <w:p>
      <w:pPr>
        <w:adjustRightInd w:val="0"/>
        <w:snapToGrid w:val="0"/>
        <w:spacing w:line="600" w:lineRule="exact"/>
        <w:ind w:firstLine="640"/>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val="en-US" w:eastAsia="zh-CN"/>
        </w:rPr>
        <w:t>.</w:t>
      </w:r>
      <w:r>
        <w:rPr>
          <w:rFonts w:hint="eastAsia" w:ascii="仿宋" w:hAnsi="仿宋" w:eastAsia="仿宋" w:cs="仿宋"/>
          <w:sz w:val="32"/>
          <w:szCs w:val="32"/>
        </w:rPr>
        <w:t>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pPr>
        <w:adjustRightInd w:val="0"/>
        <w:snapToGrid w:val="0"/>
        <w:spacing w:line="600" w:lineRule="exact"/>
        <w:ind w:firstLine="640"/>
        <w:rPr>
          <w:rFonts w:ascii="Times New Roman" w:hAnsi="Times New Roman" w:eastAsia="仿宋_GB2312" w:cs="Times New Roman"/>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w:t>
      </w:r>
      <w:r>
        <w:rPr>
          <w:rFonts w:hint="eastAsia" w:ascii="仿宋" w:hAnsi="仿宋" w:eastAsia="仿宋" w:cs="仿宋"/>
          <w:sz w:val="32"/>
          <w:szCs w:val="32"/>
        </w:rPr>
        <w:t>在日常预算管理过程中，进一步</w:t>
      </w:r>
      <w:r>
        <w:rPr>
          <w:rFonts w:hint="eastAsia" w:ascii="Times New Roman" w:hAnsi="Times New Roman" w:eastAsia="仿宋_GB2312" w:cs="Times New Roman"/>
          <w:sz w:val="32"/>
          <w:szCs w:val="32"/>
        </w:rPr>
        <w:t>加强预算支出的审核、跟踪及预算执行情况分析。</w:t>
      </w:r>
    </w:p>
    <w:p>
      <w:pPr>
        <w:adjustRightInd w:val="0"/>
        <w:snapToGrid w:val="0"/>
        <w:spacing w:line="600" w:lineRule="exact"/>
        <w:ind w:firstLine="640"/>
        <w:rPr>
          <w:rFonts w:ascii="Times New Roman" w:hAnsi="Times New Roman" w:eastAsia="仿宋_GB2312" w:cs="Times New Roman"/>
          <w:sz w:val="32"/>
          <w:szCs w:val="32"/>
        </w:rPr>
      </w:pPr>
    </w:p>
    <w:p>
      <w:pPr>
        <w:adjustRightInd w:val="0"/>
        <w:snapToGrid w:val="0"/>
        <w:spacing w:line="600" w:lineRule="exact"/>
        <w:ind w:firstLine="640"/>
        <w:rPr>
          <w:rFonts w:ascii="Times New Roman" w:hAnsi="Times New Roman" w:eastAsia="仿宋_GB2312" w:cs="Times New Roman"/>
          <w:sz w:val="32"/>
          <w:szCs w:val="32"/>
        </w:rPr>
      </w:pPr>
    </w:p>
    <w:p>
      <w:pPr>
        <w:adjustRightInd w:val="0"/>
        <w:snapToGrid w:val="0"/>
        <w:spacing w:line="600" w:lineRule="exact"/>
        <w:ind w:firstLine="640"/>
        <w:rPr>
          <w:rFonts w:ascii="Times New Roman" w:hAnsi="Times New Roman" w:eastAsia="仿宋_GB2312" w:cs="Times New Roman"/>
          <w:sz w:val="32"/>
          <w:szCs w:val="32"/>
        </w:rPr>
      </w:pPr>
    </w:p>
    <w:p>
      <w:pPr>
        <w:adjustRightInd w:val="0"/>
        <w:snapToGrid w:val="0"/>
        <w:spacing w:line="600" w:lineRule="exact"/>
        <w:ind w:firstLine="640"/>
        <w:rPr>
          <w:rFonts w:ascii="Times New Roman" w:hAnsi="Times New Roman" w:eastAsia="仿宋_GB2312" w:cs="Times New Roman"/>
          <w:sz w:val="32"/>
          <w:szCs w:val="32"/>
        </w:rPr>
      </w:pPr>
    </w:p>
    <w:p>
      <w:pPr>
        <w:wordWrap w:val="0"/>
        <w:spacing w:line="560" w:lineRule="exact"/>
        <w:ind w:right="480" w:firstLine="640" w:firstLineChars="200"/>
        <w:jc w:val="right"/>
        <w:rPr>
          <w:rFonts w:ascii="仿宋_GB2312" w:eastAsia="仿宋_GB2312"/>
          <w:sz w:val="32"/>
          <w:szCs w:val="32"/>
        </w:rPr>
      </w:pPr>
      <w:r>
        <w:rPr>
          <w:rFonts w:hint="eastAsia" w:ascii="仿宋_GB2312" w:eastAsia="仿宋_GB2312"/>
          <w:sz w:val="32"/>
          <w:szCs w:val="32"/>
        </w:rPr>
        <w:t>衡南县司法局</w:t>
      </w:r>
    </w:p>
    <w:p>
      <w:pPr>
        <w:spacing w:line="560" w:lineRule="exact"/>
        <w:ind w:right="480" w:firstLine="640" w:firstLineChars="200"/>
        <w:jc w:val="right"/>
        <w:rPr>
          <w:rFonts w:ascii="黑体" w:hAnsi="黑体" w:eastAsia="黑体" w:cs="黑体"/>
          <w:bCs/>
          <w:sz w:val="32"/>
          <w:szCs w:val="32"/>
        </w:rPr>
      </w:pPr>
      <w:r>
        <w:rPr>
          <w:rFonts w:hint="eastAsia" w:ascii="仿宋_GB2312" w:eastAsia="仿宋_GB2312"/>
          <w:sz w:val="32"/>
          <w:szCs w:val="32"/>
        </w:rPr>
        <w:t>2023年4月19日</w:t>
      </w:r>
    </w:p>
    <w:p/>
    <w:sectPr>
      <w:footerReference r:id="rId3" w:type="default"/>
      <w:pgSz w:w="11906" w:h="16838"/>
      <w:pgMar w:top="1440" w:right="1797" w:bottom="1440" w:left="1797" w:header="851" w:footer="85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微软雅黑"/>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sdt>
                          <w:sdtPr>
                            <w:id w:val="1472944207"/>
                          </w:sdtPr>
                          <w:sdtContent>
                            <w:p>
                              <w:pPr>
                                <w:pStyle w:val="2"/>
                                <w:jc w:val="right"/>
                              </w:pPr>
                              <w:r>
                                <w:fldChar w:fldCharType="begin"/>
                              </w:r>
                              <w:r>
                                <w:instrText xml:space="preserve">PAGE   \* MERGEFORMAT</w:instrText>
                              </w:r>
                              <w:r>
                                <w:fldChar w:fldCharType="separate"/>
                              </w:r>
                              <w:r>
                                <w:rPr>
                                  <w:lang w:val="zh-CN"/>
                                </w:rPr>
                                <w:t>10</w:t>
                              </w:r>
                              <w:r>
                                <w:fldChar w:fldCharType="end"/>
                              </w:r>
                            </w:p>
                          </w:sdtContent>
                        </w:sdt>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sdt>
                    <w:sdtPr>
                      <w:id w:val="1472944207"/>
                    </w:sdtPr>
                    <w:sdtContent>
                      <w:p>
                        <w:pPr>
                          <w:pStyle w:val="2"/>
                          <w:jc w:val="right"/>
                        </w:pPr>
                        <w:r>
                          <w:fldChar w:fldCharType="begin"/>
                        </w:r>
                        <w:r>
                          <w:instrText xml:space="preserve">PAGE   \* MERGEFORMAT</w:instrText>
                        </w:r>
                        <w:r>
                          <w:fldChar w:fldCharType="separate"/>
                        </w:r>
                        <w:r>
                          <w:rPr>
                            <w:lang w:val="zh-CN"/>
                          </w:rPr>
                          <w:t>10</w:t>
                        </w:r>
                        <w:r>
                          <w:fldChar w:fldCharType="end"/>
                        </w:r>
                      </w:p>
                    </w:sdtContent>
                  </w:sdt>
                  <w:p/>
                </w:txbxContent>
              </v:textbox>
            </v:shape>
          </w:pict>
        </mc:Fallback>
      </mc:AlternateConten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MTI3ZDZjZDMxNzZiNmE0MzNkNTc4ZjYwMWMxOGUifQ=="/>
  </w:docVars>
  <w:rsids>
    <w:rsidRoot w:val="0042067E"/>
    <w:rsid w:val="00226F3B"/>
    <w:rsid w:val="002A3BF8"/>
    <w:rsid w:val="00324EAF"/>
    <w:rsid w:val="0042067E"/>
    <w:rsid w:val="007767F5"/>
    <w:rsid w:val="009D021B"/>
    <w:rsid w:val="00A176B1"/>
    <w:rsid w:val="00C8396D"/>
    <w:rsid w:val="00CA10C5"/>
    <w:rsid w:val="00D2779A"/>
    <w:rsid w:val="00D749E0"/>
    <w:rsid w:val="00EB25D3"/>
    <w:rsid w:val="0F1D2D4C"/>
    <w:rsid w:val="14C019E1"/>
    <w:rsid w:val="683237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link w:val="6"/>
    <w:unhideWhenUsed/>
    <w:qFormat/>
    <w:uiPriority w:val="99"/>
    <w:pPr>
      <w:tabs>
        <w:tab w:val="center" w:pos="4153"/>
        <w:tab w:val="right" w:pos="8306"/>
      </w:tabs>
      <w:snapToGrid w:val="0"/>
      <w:jc w:val="left"/>
    </w:pPr>
    <w:rPr>
      <w:sz w:val="18"/>
      <w:szCs w:val="18"/>
    </w:rPr>
  </w:style>
  <w:style w:type="paragraph" w:styleId="3">
    <w:name w:val="Balloon Text"/>
    <w:basedOn w:val="1"/>
    <w:link w:val="7"/>
    <w:semiHidden/>
    <w:unhideWhenUsed/>
    <w:uiPriority w:val="99"/>
    <w:rPr>
      <w:sz w:val="18"/>
      <w:szCs w:val="18"/>
    </w:rPr>
  </w:style>
  <w:style w:type="character" w:customStyle="1" w:styleId="6">
    <w:name w:val="页脚 Char"/>
    <w:basedOn w:val="5"/>
    <w:link w:val="2"/>
    <w:qFormat/>
    <w:uiPriority w:val="99"/>
    <w:rPr>
      <w:sz w:val="18"/>
      <w:szCs w:val="18"/>
    </w:rPr>
  </w:style>
  <w:style w:type="character" w:customStyle="1" w:styleId="7">
    <w:name w:val="批注框文本 Char"/>
    <w:basedOn w:val="5"/>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4802</Words>
  <Characters>5056</Characters>
  <Lines>36</Lines>
  <Paragraphs>10</Paragraphs>
  <TotalTime>227</TotalTime>
  <ScaleCrop>false</ScaleCrop>
  <LinksUpToDate>false</LinksUpToDate>
  <CharactersWithSpaces>5092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2023-04-18T09:04:00Z</dcterms:created>
  <dc:creator>Administrator</dc:creator>
  <cp:lastModifiedBy>孙泽宇</cp:lastModifiedBy>
  <dcterms:modified xsi:type="dcterms:W3CDTF">2023-10-11T08:44:39Z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4D1FBB7B8CA64B23A07F2AE2DA52AEDC_13</vt:lpwstr>
  </property>
</Properties>
</file>