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中共衡南县纪委</w:t>
      </w:r>
    </w:p>
    <w:p>
      <w:pPr>
        <w:jc w:val="center"/>
        <w:rPr>
          <w:rFonts w:asciiTheme="majorEastAsia" w:hAnsiTheme="majorEastAsia" w:eastAsiaTheme="maj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年度部门整体</w:t>
      </w:r>
      <w:r>
        <w:rPr>
          <w:rFonts w:asciiTheme="majorEastAsia" w:hAnsiTheme="majorEastAsia" w:eastAsiaTheme="major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支出绩效报告</w:t>
      </w:r>
    </w:p>
    <w:p>
      <w:pPr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为加强财政预算资金管理，进一步规范预算资金使用，提高财政资金使用效益，根据《衡南县财政局关于开展202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年度县级财政资金绩效自评工作的通知》要求，我委积极组织，对202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年度本单位整体支出进行了绩效自评，现将具体绩效评价情况报告如下： 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一、部门基本情况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县纪委为全额财政拨款单位，纳入财政会计集中核算和国库集中支付体系，财务制度执行《行政单位会计制度》。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（一）机构设置情况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工作职责：中共衡南县纪律检查委员会（以下简称县纪委）机关与衡南县监察委合署办公，一个机构两块牌子，下设16个内设室（部）、12个派驻纪检监察组。在县委、县人大和市纪委、市监察委的双重领导下进行工作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（二）部门职责情况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负责党的纪律检查工作。贯彻落实党中央关于纪律检查工作的决定，落实市委和县委关于纪律检查工作的要求，维护党的章程和其他党内法规，检查党的路线方针政策和决议的执行情况，协助县委推进全面从严治党、加强党风建设和组织协调反腐败工作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2.依照党的章程和其他党内法规履行监督、执纪、问责职责。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负责全县监察工作。贯彻落实中央关于监察工作的决定，按照市纪委市监委和县委关于监察工作的要求，维护宪法法律，依法对县委管理的行使公权力的公职人员进行监察，调查职务违法和职务犯罪，开展廉政建设和反腐败工作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4.依照法律规定履行监督、调查、处置职责。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5.负责组织协调全面从严治党、党风廉政建设和反腐败宣传教育工作。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6.完成市纪委市监委和县委交办的其他任务。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（三）人员编制情况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我单位应有编制12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人，20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年末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在编在岗人员为1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人，其中行政编制10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人，事业编制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二、部门整体支出管理及使用情况</w:t>
      </w:r>
    </w:p>
    <w:p>
      <w:pPr>
        <w:spacing w:line="520" w:lineRule="exact"/>
        <w:ind w:firstLine="640" w:firstLineChars="200"/>
        <w:rPr>
          <w:rFonts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（一）部门预算收支情况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2022年年初一般公共财政预算收入1,583.52万元，其中：工资福利支出1014.74万元，一般商品和服务支出315万元，对个人和家庭的补助6.46万元，专项经费247.32万元。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（二）部门决算收支情况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1、2022年决算收入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2682.56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万元。按支出性质分类：基本支出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2473.12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万元（其中，人员经费：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1316.5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万元；公用经费：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1156.62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万元）；项目支出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209.44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2、政府性基金预算财政拨款收入0万元。</w:t>
      </w:r>
    </w:p>
    <w:p>
      <w:pPr>
        <w:spacing w:line="520" w:lineRule="exact"/>
        <w:ind w:firstLine="640" w:firstLineChars="200"/>
        <w:rPr>
          <w:rFonts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）支出分类情况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1、基本支出情况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年度基本支出的管理和使用情况如下：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基本支出支出总额2473.12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其中包括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工资福利支出1312.65万元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1139.24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对个人和家庭的补助3.85万元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资本性支出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17.38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支出情况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年我单位专项资金支出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209.44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万元，一是用于保障派驻纪检监察组公用经费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121.9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万元，乡镇纪检监察工作经费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万元，其他经费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18.54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万元（包括党风廉政建设、金纪工程信息维护、纪检监察专线维护、廉政文化宣传、重点工程监督等等工作支出）</w:t>
      </w:r>
    </w:p>
    <w:p>
      <w:pPr>
        <w:spacing w:line="520" w:lineRule="exact"/>
        <w:ind w:firstLine="640" w:firstLineChars="200"/>
        <w:rPr>
          <w:rFonts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（三）“三公”经费情况</w:t>
      </w:r>
    </w:p>
    <w:p>
      <w:pPr>
        <w:spacing w:line="520" w:lineRule="exact"/>
        <w:ind w:firstLine="640" w:firstLineChars="2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年我单位“三公”经费支出28万元，其中“公务用车购置及运行维护费”为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均为公务用车运行维护费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，“公务接待费”实际支出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万元，“因公出国（境）费”为0，均在年初预算控制数范围内。</w:t>
      </w:r>
    </w:p>
    <w:p>
      <w:pPr>
        <w:spacing w:line="520" w:lineRule="exact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三、部门整体支出绩效评价情况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（一）绩效目标设定：年初制定本部门绩效目标考核办法，与部门履职挂钩，对考核指标进行了具体细化，分到各内设科室及派驻纪检组。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（二）预算配置：20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年实际在职人数（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人）未超出编制人数（1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人）；严控“三公经费”开支,“三公”均未超出预算范围。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预算管理：为进一步加强部门预算管理，制定了县纪委部门预算管理和财务管理制度，坚持厉行节约，严格控制支出，建立健全财务管理制度，对各项资金的使用严把审核审批监督关，重大开支实行纪委常委会议研究决定，确保各项开支严格符合国家财经纪律要求。</w:t>
      </w:r>
    </w:p>
    <w:p>
      <w:pPr>
        <w:spacing w:line="520" w:lineRule="exact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四、存在的主要问题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纪委监委因体制改革及纪委监委职能的扩大，人员经费和日常公用经费大幅增加，但未全面纳入年初预算。一方面人员经费缺口大，主要体现为：社保经费、住房公积金等职工福利经费财政预算严重不足。另一方面公用经费支出项目增多，且具有不确定性，财政预算追加不足，更不能全额保障。</w:t>
      </w:r>
    </w:p>
    <w:p>
      <w:pPr>
        <w:spacing w:line="520" w:lineRule="exact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五、改进措施和建议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（一）细化预算编制工作，认真做好预算的编制。本着“勤俭节约、保障运转”的原则进行预算的编制。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（二）加强财务管理，严格财务审核，提高财务的精细化管理。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（三）严控三公经费支出，严格控制规模和比例、审核审批流程，进一步细化三公经费的管理，压缩“三公”经费支出。</w:t>
      </w:r>
    </w:p>
    <w:p>
      <w:pPr>
        <w:spacing w:line="520" w:lineRule="exact"/>
        <w:ind w:right="480" w:firstLine="560" w:firstLineChars="200"/>
        <w:jc w:val="right"/>
        <w:rPr>
          <w:rFonts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right="480" w:firstLine="560" w:firstLineChars="200"/>
        <w:jc w:val="right"/>
        <w:rPr>
          <w:rFonts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right="480" w:firstLine="560" w:firstLineChars="200"/>
        <w:jc w:val="right"/>
        <w:rPr>
          <w:rFonts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520" w:lineRule="exact"/>
        <w:ind w:firstLine="640" w:firstLineChars="200"/>
        <w:jc w:val="righ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中共衡南县纪委 </w:t>
      </w:r>
    </w:p>
    <w:p>
      <w:pPr>
        <w:spacing w:line="520" w:lineRule="exact"/>
        <w:ind w:firstLine="640" w:firstLineChars="200"/>
        <w:jc w:val="right"/>
        <w:rPr>
          <w:rFonts w:cs="黑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MzQ5OTk1OWViZGIyMjJiNDA3Nzg0M2JiMzYxOTIifQ=="/>
  </w:docVars>
  <w:rsids>
    <w:rsidRoot w:val="00507285"/>
    <w:rsid w:val="00012DFC"/>
    <w:rsid w:val="00020BA1"/>
    <w:rsid w:val="00025A16"/>
    <w:rsid w:val="00026DB4"/>
    <w:rsid w:val="0003027D"/>
    <w:rsid w:val="00083618"/>
    <w:rsid w:val="000B7ED1"/>
    <w:rsid w:val="000D72D3"/>
    <w:rsid w:val="000F796B"/>
    <w:rsid w:val="00123925"/>
    <w:rsid w:val="00127AB0"/>
    <w:rsid w:val="00131FE3"/>
    <w:rsid w:val="00163107"/>
    <w:rsid w:val="001B6A3C"/>
    <w:rsid w:val="001C0947"/>
    <w:rsid w:val="001C7A5B"/>
    <w:rsid w:val="001E0B7D"/>
    <w:rsid w:val="001F5278"/>
    <w:rsid w:val="00223D85"/>
    <w:rsid w:val="0027222C"/>
    <w:rsid w:val="002755AE"/>
    <w:rsid w:val="002D30A9"/>
    <w:rsid w:val="002D51A5"/>
    <w:rsid w:val="002E62F5"/>
    <w:rsid w:val="002E65D2"/>
    <w:rsid w:val="002F0311"/>
    <w:rsid w:val="002F1F40"/>
    <w:rsid w:val="003077D1"/>
    <w:rsid w:val="00323A5C"/>
    <w:rsid w:val="0034055A"/>
    <w:rsid w:val="003500B0"/>
    <w:rsid w:val="0035295D"/>
    <w:rsid w:val="0035297A"/>
    <w:rsid w:val="00356647"/>
    <w:rsid w:val="00396E93"/>
    <w:rsid w:val="003B02D7"/>
    <w:rsid w:val="003B227D"/>
    <w:rsid w:val="003B3EA0"/>
    <w:rsid w:val="003D608E"/>
    <w:rsid w:val="00410B48"/>
    <w:rsid w:val="00432974"/>
    <w:rsid w:val="004725FD"/>
    <w:rsid w:val="00483F55"/>
    <w:rsid w:val="004B69DC"/>
    <w:rsid w:val="004D4435"/>
    <w:rsid w:val="004D6192"/>
    <w:rsid w:val="004F63B3"/>
    <w:rsid w:val="00507285"/>
    <w:rsid w:val="0051377C"/>
    <w:rsid w:val="00521539"/>
    <w:rsid w:val="00521EC5"/>
    <w:rsid w:val="00525F9A"/>
    <w:rsid w:val="00533B88"/>
    <w:rsid w:val="00562E02"/>
    <w:rsid w:val="005963BE"/>
    <w:rsid w:val="005A3880"/>
    <w:rsid w:val="005F62EB"/>
    <w:rsid w:val="00610FBF"/>
    <w:rsid w:val="00621B30"/>
    <w:rsid w:val="00630CFC"/>
    <w:rsid w:val="006531C7"/>
    <w:rsid w:val="00665097"/>
    <w:rsid w:val="006802F8"/>
    <w:rsid w:val="00692AE2"/>
    <w:rsid w:val="006C7353"/>
    <w:rsid w:val="006F1E37"/>
    <w:rsid w:val="006F215C"/>
    <w:rsid w:val="00723F3C"/>
    <w:rsid w:val="0074238B"/>
    <w:rsid w:val="00742F42"/>
    <w:rsid w:val="00760327"/>
    <w:rsid w:val="00773B0A"/>
    <w:rsid w:val="00782039"/>
    <w:rsid w:val="007B2F8F"/>
    <w:rsid w:val="007D5DD8"/>
    <w:rsid w:val="007E3E5E"/>
    <w:rsid w:val="0080488C"/>
    <w:rsid w:val="008B1B10"/>
    <w:rsid w:val="008D4096"/>
    <w:rsid w:val="009735E7"/>
    <w:rsid w:val="009864C8"/>
    <w:rsid w:val="00990ADA"/>
    <w:rsid w:val="009933DC"/>
    <w:rsid w:val="00995674"/>
    <w:rsid w:val="009B68B7"/>
    <w:rsid w:val="009F7995"/>
    <w:rsid w:val="00A234DB"/>
    <w:rsid w:val="00A877AC"/>
    <w:rsid w:val="00AA2EC1"/>
    <w:rsid w:val="00AC0A23"/>
    <w:rsid w:val="00AF3A7B"/>
    <w:rsid w:val="00B003B2"/>
    <w:rsid w:val="00B064F6"/>
    <w:rsid w:val="00B36FFF"/>
    <w:rsid w:val="00B407D2"/>
    <w:rsid w:val="00B43708"/>
    <w:rsid w:val="00B625AF"/>
    <w:rsid w:val="00BA43ED"/>
    <w:rsid w:val="00BB387A"/>
    <w:rsid w:val="00BD2DBD"/>
    <w:rsid w:val="00BF6560"/>
    <w:rsid w:val="00C66D0F"/>
    <w:rsid w:val="00CB14E0"/>
    <w:rsid w:val="00CE4B74"/>
    <w:rsid w:val="00CE5185"/>
    <w:rsid w:val="00CF01F8"/>
    <w:rsid w:val="00CF362A"/>
    <w:rsid w:val="00D24514"/>
    <w:rsid w:val="00D32277"/>
    <w:rsid w:val="00D62E1F"/>
    <w:rsid w:val="00D66F1C"/>
    <w:rsid w:val="00D7785A"/>
    <w:rsid w:val="00D9096E"/>
    <w:rsid w:val="00DB2569"/>
    <w:rsid w:val="00DE353B"/>
    <w:rsid w:val="00E31893"/>
    <w:rsid w:val="00E52E73"/>
    <w:rsid w:val="00EA42F5"/>
    <w:rsid w:val="00EC3150"/>
    <w:rsid w:val="00F13E36"/>
    <w:rsid w:val="00F20528"/>
    <w:rsid w:val="00F50929"/>
    <w:rsid w:val="00F53777"/>
    <w:rsid w:val="00F601D3"/>
    <w:rsid w:val="00F642CD"/>
    <w:rsid w:val="00F76E17"/>
    <w:rsid w:val="00FA2090"/>
    <w:rsid w:val="00FA3A89"/>
    <w:rsid w:val="00FA56EC"/>
    <w:rsid w:val="00FB3751"/>
    <w:rsid w:val="00FF49BE"/>
    <w:rsid w:val="00FF688D"/>
    <w:rsid w:val="0228485C"/>
    <w:rsid w:val="02DC3EDD"/>
    <w:rsid w:val="0F06475F"/>
    <w:rsid w:val="12517446"/>
    <w:rsid w:val="33DF74F0"/>
    <w:rsid w:val="4394635A"/>
    <w:rsid w:val="45F16B79"/>
    <w:rsid w:val="4AAA348D"/>
    <w:rsid w:val="4DBA25C8"/>
    <w:rsid w:val="57E26786"/>
    <w:rsid w:val="58082BAE"/>
    <w:rsid w:val="5B6519F8"/>
    <w:rsid w:val="6245677D"/>
    <w:rsid w:val="68E97B61"/>
    <w:rsid w:val="6AFA7472"/>
    <w:rsid w:val="70350E1A"/>
    <w:rsid w:val="73B861AD"/>
    <w:rsid w:val="74DF14D7"/>
    <w:rsid w:val="77300CCA"/>
    <w:rsid w:val="7F5C0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1695</Words>
  <Characters>1839</Characters>
  <Lines>13</Lines>
  <Paragraphs>3</Paragraphs>
  <TotalTime>57</TotalTime>
  <ScaleCrop>false</ScaleCrop>
  <LinksUpToDate>false</LinksUpToDate>
  <CharactersWithSpaces>1841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2021-05-24T01:25:00Z</dcterms:created>
  <dc:creator>Administrator</dc:creator>
  <cp:lastModifiedBy>孙泽宇</cp:lastModifiedBy>
  <cp:lastPrinted>2020-07-07T05:29:00Z</cp:lastPrinted>
  <dcterms:modified xsi:type="dcterms:W3CDTF">2023-10-11T08:39:07Z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D406D4F5801A4D37BAA51C90E0E1EB2E_13</vt:lpwstr>
  </property>
</Properties>
</file>