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华文中宋" w:hAnsi="华文中宋" w:eastAsia="华文中宋" w:cs="华文中宋"/>
          <w:sz w:val="56"/>
          <w:szCs w:val="56"/>
        </w:rPr>
      </w:pPr>
      <w:bookmarkStart w:id="0" w:name="_GoBack"/>
      <w:bookmarkEnd w:id="0"/>
    </w:p>
    <w:p>
      <w:pPr>
        <w:jc w:val="center"/>
        <w:rPr>
          <w:rFonts w:hint="eastAsia" w:ascii="华文中宋" w:hAnsi="华文中宋" w:eastAsia="华文中宋" w:cs="华文中宋"/>
          <w:sz w:val="56"/>
          <w:szCs w:val="56"/>
        </w:rPr>
      </w:pPr>
    </w:p>
    <w:p>
      <w:pPr>
        <w:jc w:val="center"/>
        <w:rPr>
          <w:rFonts w:hint="eastAsia" w:ascii="华文中宋" w:hAnsi="华文中宋" w:eastAsia="华文中宋" w:cs="华文中宋"/>
          <w:sz w:val="56"/>
          <w:szCs w:val="56"/>
        </w:rPr>
      </w:pPr>
      <w:r>
        <w:rPr>
          <w:rFonts w:hint="eastAsia" w:ascii="华文中宋" w:hAnsi="华文中宋" w:eastAsia="华文中宋" w:cs="华文中宋"/>
          <w:sz w:val="56"/>
          <w:szCs w:val="56"/>
        </w:rPr>
        <w:t>衡南县部门整体支出绩效自评报告</w:t>
      </w:r>
    </w:p>
    <w:p>
      <w:pPr>
        <w:rPr>
          <w:rFonts w:hint="eastAsia" w:ascii="仿宋_GB2312" w:hAnsi="仿宋_GB2312" w:eastAsia="仿宋_GB2312" w:cs="仿宋_GB2312"/>
          <w:sz w:val="32"/>
          <w:szCs w:val="32"/>
        </w:rPr>
      </w:pPr>
    </w:p>
    <w:p>
      <w:pPr>
        <w:jc w:val="center"/>
        <w:rPr>
          <w:rFonts w:hint="eastAsia" w:ascii="楷体_GB2312" w:hAnsi="楷体_GB2312" w:eastAsia="楷体_GB2312" w:cs="楷体_GB2312"/>
          <w:b/>
          <w:bCs/>
          <w:sz w:val="36"/>
          <w:szCs w:val="36"/>
        </w:rPr>
      </w:pPr>
      <w:r>
        <w:rPr>
          <w:rFonts w:hint="eastAsia" w:ascii="楷体_GB2312" w:hAnsi="楷体_GB2312" w:eastAsia="楷体_GB2312" w:cs="楷体_GB2312"/>
          <w:b/>
          <w:bCs/>
          <w:sz w:val="36"/>
          <w:szCs w:val="36"/>
        </w:rPr>
        <w:t>（ 2022年度 ）</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部门(单位)名称：衡南县人民政府办公室         </w:t>
      </w: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预算编码：103001                   </w:t>
      </w: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评价方式：部门（单位）自评☑  </w:t>
      </w: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中介机构评价□</w:t>
      </w: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评价机构：部门（单位）评价组☑</w:t>
      </w:r>
    </w:p>
    <w:p>
      <w:pPr>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中介机构□</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报告日期：2023年 04月 10日</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2022年衡南县政府办整体支出绩效自评报告</w:t>
      </w:r>
    </w:p>
    <w:p>
      <w:pPr>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根据《衡南县财政局关于开展2022年度级财政资金绩效自评工作的通知》清财绩〔2023〕53号文件要求，我单位积极组织，对2022年度本单位整体支出进行了绩效自评，现将具体绩效评价情况报告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一、部门基本情况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衡南县政府办为全额财政拨款单位，纳入财政会计集中核算和国库集中支付体系，财务制度执行《预算法》、《行政单位会计制度》。</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rPr>
        <w:t>部门职责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协助县政府领导同志审核或组织起草以县政府、县政府办公室名义发布的公文。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研究县政府各部门和各乡镇人民政府(片区服务 中心、办事处)请示县政府的事项，提出审核意见，报县政府领导同志审批。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负责县政府会议的组织和服务工作，协助实施会议决定事项。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根据县政府领导同志的指示或工作需要，对有关问题进行协调，提出处理意见，报县政府领导同志决定。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办理中央、省、市政府和县政府领导同志的批示，并督促落实。督促检查县政府各部门和各乡镇人民政府(片区服务中心、办事处)对县政府决定事项的执行落实情况，及时向县政府报告。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组织办理人大代表议案建议、政协委员提案。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协助县政府领导同志做好需由县政府组织处理的突发事件应急处置工作；负责向国务院、省、市和县政府领导同志报告重要信息和情况；负责县政府值班工作。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负责《政府工作报告》和县政府主要领导同志重 要讲话、报告的起草以及新闻稿的审定；负责起草县政府的 重要汇报材料；组织和协同相关部门起草、修改县政府的有关重要综合性文件；参与起草县委、县政府有关重要会议的文件。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对涉及全县经济建设、社会发展和改革开放等全 局性工作的重大课题牵头组织调查研究，及时综合归纳，提 出供县政府决策的参考方案和政策性建议；对县内外经济形 势和社会发展政策进行分析和研究，提出政策建议；收集、 分析、整理和报送经济社会发展的重要信息、动态，为县政 府决策提供参考建议；组织专家对全县经济社会发展的重大问题、重大决策、重大项目进行研究论证，提供咨询服务。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协调推进经济发展环境的优化，牵头落实国家和 省、市、县有关鼓励市场主体投资，保护投资者权益，促进市场公平竞争的相关政策，维护市场正常秩序的政务、法制、商务、信用等环境，优化重点项目建设环境；指导全县优化 经济发展环境相关工作，承担治理工程建设领域突出问题有 关工作；负责受理行政效能方面群众来电来访等投诉工作，组织协调调查处理影响机关效能和损害经济发展环境行为。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贯彻执行金融工作的方针政策、法律法规，协 调拟订并组织实施全县金融业发展规划和政策措施；研究分 析全县金融运行形势，提出改善金融环境、加强金融服务、促进金融业发展的建议；会同有关部门优化金融生态环境，加强金融风险防范，推动地方金融改革发展创新；联系协调驻县金融管理部门、银行金融机构和非银行金融机构等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负责组织协调全县禁毒有关工作职能。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承办县政府和县政府领导同志交办的其他事项。</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（二）机构设置情况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衡南县政府办下设十四个工作机构：秘书一组、秘书二组、总值班室、综合信息组、文电组、机要室、组织人事组、行政事务组、财务室、督查室、建议提案组、优化经济发展环境办公室、金融监管组、禁毒组。衡南县政府办下设三个正科级、二个二级副科级非独立核算机构、一个临时性机构，分别为：县政府研究中心（正科级）、县重点建设事务中心（正科级）、县社会化禁毒事务中心（正科级）、县金融服务中心（副科级）、机场服务中心（副科级）、县实施产业链链长制领导小组办公室（临时性机构）</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（三）人员编制情况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截止2022年底实有在职人员共计81人，离退休 55 人。其中机关行政编制45人，事业编制31人，工勤编制5人。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（一）</w:t>
      </w:r>
      <w:r>
        <w:rPr>
          <w:rFonts w:hint="eastAsia" w:ascii="楷体_GB2312" w:hAnsi="楷体_GB2312" w:eastAsia="楷体_GB2312" w:cs="楷体_GB2312"/>
          <w:b/>
          <w:bCs/>
          <w:sz w:val="32"/>
          <w:szCs w:val="32"/>
        </w:rPr>
        <w:t>部门预算收支情况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我办2022年各项支出预算批复包干数为1411.01万元（均为公共财政拨款），其中，工资福利支出816.96万元，一般商品服务支出64万元，对个人和家庭的补助15.44万元，专项经费514.6万元。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我办2022年部门收入决算数为</w:t>
      </w:r>
      <w:r>
        <w:rPr>
          <w:rFonts w:hint="eastAsia" w:ascii="仿宋_GB2312" w:hAnsi="仿宋_GB2312" w:eastAsia="仿宋_GB2312" w:cs="仿宋_GB2312"/>
          <w:sz w:val="32"/>
          <w:szCs w:val="32"/>
          <w:lang w:val="en-US" w:eastAsia="zh-CN"/>
        </w:rPr>
        <w:t>2565.44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（含其他收入</w:t>
      </w:r>
      <w:r>
        <w:rPr>
          <w:rFonts w:hint="eastAsia" w:ascii="仿宋_GB2312" w:hAnsi="仿宋_GB2312" w:eastAsia="仿宋_GB2312" w:cs="仿宋_GB2312"/>
          <w:sz w:val="32"/>
          <w:szCs w:val="32"/>
          <w:lang w:val="en-US" w:eastAsia="zh-CN"/>
        </w:rPr>
        <w:t>50.85万元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，支出决算数为</w:t>
      </w:r>
      <w:r>
        <w:rPr>
          <w:rFonts w:hint="eastAsia" w:ascii="仿宋_GB2312" w:hAnsi="仿宋_GB2312" w:eastAsia="仿宋_GB2312" w:cs="仿宋_GB2312"/>
          <w:sz w:val="32"/>
          <w:szCs w:val="32"/>
          <w:lang w:val="en-US" w:eastAsia="zh-CN"/>
        </w:rPr>
        <w:t>2565.44</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（含其他支出</w:t>
      </w:r>
      <w:r>
        <w:rPr>
          <w:rFonts w:hint="eastAsia" w:ascii="仿宋_GB2312" w:hAnsi="仿宋_GB2312" w:eastAsia="仿宋_GB2312" w:cs="仿宋_GB2312"/>
          <w:sz w:val="32"/>
          <w:szCs w:val="32"/>
          <w:lang w:val="en-US" w:eastAsia="zh-CN"/>
        </w:rPr>
        <w:t>50.85万元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，2022年末，结转下年预算指标为零。</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（二）支出分类情况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基本支出情况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2022年年初预算批复的基本支出为896.4万元，2022年决算基本支出1051.17万元，其中：工资福利支出1303.97万元，一般商品和服务支出42.33万元，对个人和家庭的补助33.36万元。实际支出增加的原因：1、人员按政策性调资所增加的工资支出；2、2021-2022年基础绩效集中在2022年发放。</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2、专项支出情况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2022年初预算为514.6万元，实际拨付为1514.28万元，增加款项为999.68万元，其中：1、下属二级机构社会化禁毒事务中心（正科级单位），从大预算增拨本年及上年禁毒工作经费440万元，其中用于禁毒办工作经费62.7万元、禁毒宣传活动工作经费111万元、污水检测费21.1万元、社戒社康工作经费100万元、吸毒人员管控工作经费81.2万元、拨付乡镇禁毒工作经费49万元、禁毒协会工作经费15万元。2、下属二级机构金融办增拨金融办防范和处置非法集资工作经费40万元，用于防范非法集资宣传月活动及进一步加强非法集资举报奖励政策和方式的宣传等工作。3、县政府办追加绩效考核专项经费100万元，用于发放全县“奋战一百天实现双过半”争先创优活动奖励。4、县重点建设项目中心工作经费47万元，用于单位新成立的前期开办筹备及工作开展,2022年实际开支47万元。5、县实施产业链链长制领导小组办公室工作经费130万元，用于解决电子信息、农产品精深加工、房地产建筑总部和物流总部四条产业链工作开展经费。6、政府研究中心工作经费50万元主要用于：1、县政府的重点课题调查研究，为县政府提供决策依据和参谋意见。2、协助全县政府系统调研网格体系建设，指导协调全县政府系统研究工作。3、做好政务信息类刊物的编辑出版工作。2022年我办的专项商品和服务支出经费预算安排503万元主要用途：①政府运转专项工作经费287万元，保障县政府重大活动的组织协调、统筹县政府领导活动安排等工作；保障县政府重要会议精神落实部署（县政府全会、重要工作调度会、县政府常务会等）的组织协调工作、配合信访部门处理到县政府上访群众的接待有关工作正常开展；保障全年综合性督促和专项督查、为民办实事督查考核等工作。②政府性工作专项经费48万元，用于组织办理人大代表建议、政协委员提案：负责推进、指导、协调、监督政府信息公开和政务公开工作；协调推进经济发展环境的优化，负责全县金融工作的行政管理等职责；负责职责范围内对有关行业、领域的安全生产工作实施监督管理职责及用于党建扶贫及政府走访慰问等活动。③政府会议经费120万元，用于召开政府全会及其它综合协调重要会议的组织协调工作，承办县政府常务会、县长办公会议、专题会议的会务组织工作及纪要起草、送签、发放等工作。所有开支均按照我办财务管理制度执行，资金使用严格把关。</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3、“三公”经费情况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三公”经费各费用均控制在预算范围内，且较预算金额有不同程度的结余。其中：因公出国出境费用本年未发生经费支出，实际支出为0；公务接待费预算11万元，实际为5.42万元；公务用车预算6万元，实际公务用车3.1万元，2022年三公经费比上年减少0.19万元。</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4、政府性基金收支情况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我办2022年政府性基金收支安排经费为零</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三、部门整体支出绩效评价情况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（一）评价目的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（二）评价方法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衡南县财政局相关会议精神，我办开展了部门整体支出绩效评价工作，具体工作方法包括：1、查阅资料。查阅2022年预算安排、预算追加、经费支出、资金管理、资产管理等相关文件和财务凭证。2、核实数据。对2022年度部门整体支出数据的准确性、真实性进行核实，将2022年度部门整体支出情况与2022年度预算情况、2022年度部门整体支出情况进行比较分析。3、实地察看。现场察看各类事务资产。4、汇总归纳。根据取得的各项数据及文件资料，结合现场评价情况进行综合分析、归纳汇总，填写基础数据表、评价指标评分表。5、形成绩效评价报告。</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仿宋" w:hAnsi="仿宋" w:eastAsia="仿宋" w:cs="仿宋"/>
          <w:b/>
          <w:bCs/>
          <w:i w:val="0"/>
          <w:iCs w:val="0"/>
          <w:caps w:val="0"/>
          <w:color w:val="000000"/>
          <w:spacing w:val="0"/>
          <w:sz w:val="32"/>
          <w:szCs w:val="32"/>
          <w:shd w:val="clear" w:fill="FFFFFF"/>
          <w:lang w:eastAsia="zh-CN"/>
        </w:rPr>
        <w:t>（</w:t>
      </w:r>
      <w:r>
        <w:rPr>
          <w:rFonts w:hint="eastAsia" w:ascii="仿宋" w:hAnsi="仿宋" w:eastAsia="仿宋" w:cs="仿宋"/>
          <w:b/>
          <w:bCs/>
          <w:i w:val="0"/>
          <w:iCs w:val="0"/>
          <w:caps w:val="0"/>
          <w:color w:val="000000"/>
          <w:spacing w:val="0"/>
          <w:sz w:val="32"/>
          <w:szCs w:val="32"/>
          <w:shd w:val="clear" w:fill="FFFFFF"/>
          <w:lang w:val="en-US" w:eastAsia="zh-CN"/>
        </w:rPr>
        <w:t>三</w:t>
      </w:r>
      <w:r>
        <w:rPr>
          <w:rFonts w:hint="eastAsia" w:ascii="仿宋" w:hAnsi="仿宋" w:eastAsia="仿宋" w:cs="仿宋"/>
          <w:b/>
          <w:bCs/>
          <w:i w:val="0"/>
          <w:iCs w:val="0"/>
          <w:caps w:val="0"/>
          <w:color w:val="000000"/>
          <w:spacing w:val="0"/>
          <w:sz w:val="32"/>
          <w:szCs w:val="32"/>
          <w:shd w:val="clear" w:fill="FFFFFF"/>
          <w:lang w:eastAsia="zh-CN"/>
        </w:rPr>
        <w:t>）</w:t>
      </w:r>
      <w:r>
        <w:rPr>
          <w:rFonts w:ascii="仿宋" w:hAnsi="仿宋" w:eastAsia="仿宋" w:cs="仿宋"/>
          <w:b/>
          <w:bCs/>
          <w:i w:val="0"/>
          <w:iCs w:val="0"/>
          <w:caps w:val="0"/>
          <w:color w:val="000000"/>
          <w:spacing w:val="0"/>
          <w:sz w:val="32"/>
          <w:szCs w:val="32"/>
          <w:shd w:val="clear" w:fill="FFFFFF"/>
        </w:rPr>
        <w:t>部门</w:t>
      </w:r>
      <w:r>
        <w:rPr>
          <w:rFonts w:hint="eastAsia" w:ascii="仿宋" w:hAnsi="仿宋" w:eastAsia="仿宋" w:cs="仿宋"/>
          <w:b/>
          <w:bCs/>
          <w:i w:val="0"/>
          <w:iCs w:val="0"/>
          <w:caps w:val="0"/>
          <w:color w:val="000000"/>
          <w:spacing w:val="0"/>
          <w:sz w:val="32"/>
          <w:szCs w:val="32"/>
          <w:shd w:val="clear" w:fill="FFFFFF"/>
        </w:rPr>
        <w:t>整体支出绩效</w:t>
      </w:r>
      <w:r>
        <w:rPr>
          <w:rFonts w:hint="eastAsia" w:ascii="仿宋" w:hAnsi="仿宋" w:eastAsia="仿宋" w:cs="仿宋"/>
          <w:b/>
          <w:bCs/>
          <w:i w:val="0"/>
          <w:iCs w:val="0"/>
          <w:caps w:val="0"/>
          <w:color w:val="000000"/>
          <w:spacing w:val="0"/>
          <w:sz w:val="32"/>
          <w:szCs w:val="32"/>
          <w:shd w:val="clear" w:fill="FFFFFF"/>
          <w:lang w:val="en-US" w:eastAsia="zh-CN"/>
        </w:rPr>
        <w:t>具体</w:t>
      </w:r>
      <w:r>
        <w:rPr>
          <w:rFonts w:hint="eastAsia" w:ascii="仿宋" w:hAnsi="仿宋" w:eastAsia="仿宋" w:cs="仿宋"/>
          <w:b/>
          <w:bCs/>
          <w:i w:val="0"/>
          <w:iCs w:val="0"/>
          <w:caps w:val="0"/>
          <w:color w:val="000000"/>
          <w:spacing w:val="0"/>
          <w:sz w:val="32"/>
          <w:szCs w:val="32"/>
          <w:shd w:val="clear" w:fill="FFFFFF"/>
        </w:rPr>
        <w:t>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办2022年根据年初工作计划和政府重点工作，紧紧围绕县政府经济工作的要求，积极履行职责职能，强化管理，较好地完成了年度工作目标。通过加强预算收支管理，不断建立健全内部管理制度，梳理内部管理流程，部门整体支出管理情况得到提升，成效明显。根据2022年度部门整体支出状况的概述和分析，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（一）经济效益评价</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1、本年预算配置较好，编制内在职人员控制率为100%。“三公”经费预算总额严格控制在预算指标内，与上年相比减少 0.19万元。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2、预算执行方面，一般公共预算财政性支出总额控制基本在预算总额内，“三公”   经费财政政策支出总体控制较好，公务接待费本年度支出较上年减少  3.21  %，公务用车运行维护费控制在预算内。</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3、预算管理方面，各项管理制度执行总体较为有效，需进一步强化，资金的使用和管理需进一步加强。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4、固定资产管理方面，建立了固定资产管理制度，定期进行了资产盘点和资产清理，总体执行较好。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（二）效率性评价和有效性评价 </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我办一般公共财政预算安排的基本支出基本保障了我办正常工作运转，我办在预算执行上严格遵守各项财政法规、严守财政纪律，在资金使用和管理上，严守法律、纪律和道德的底线。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一是狠抓资金使用效益。</w:t>
      </w:r>
      <w:r>
        <w:rPr>
          <w:rFonts w:hint="eastAsia" w:ascii="仿宋_GB2312" w:hAnsi="仿宋_GB2312" w:eastAsia="仿宋_GB2312" w:cs="仿宋_GB2312"/>
          <w:sz w:val="32"/>
          <w:szCs w:val="32"/>
          <w:lang w:eastAsia="zh-CN"/>
        </w:rPr>
        <w:t>表</w:t>
      </w:r>
      <w:r>
        <w:rPr>
          <w:rFonts w:hint="eastAsia" w:ascii="仿宋_GB2312" w:hAnsi="仿宋_GB2312" w:eastAsia="仿宋_GB2312" w:cs="仿宋_GB2312"/>
          <w:sz w:val="32"/>
          <w:szCs w:val="32"/>
        </w:rPr>
        <w:t>现在：一是保障了职工工资，绩效工资、津补贴的及时足额发放，五险一金足额交付；二是保障了单位的正常运转，各项工作开展顺利。三是财政供养人员控制较好。四是资金管理使用较规范无虚列支出及随意使用现象，无大额现金支付现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二是完善财务管理制度。根据本单位的工作实际，在建立并实施内部监督和控制制度过程中，制度了《财务管理制度》、《财务内部控制制度》和《固定资产管理制度》。在建立和完善各项规章制度的同时，相关人员在工作过程中严格遵守这些规章制度，有效地实施了财务内部监督和控制，保证了会计工作的真实性、准确性、完整性，加强了对本单位财产物资的监督和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三是资金效率性较高。用有限的资金全力保障我办的各项工作的正常发挥。绩效考核指标基本完成。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四是加强国有资产动态管理。根据省市县国资委安排对固定资产进行动态管理，并对资产进行清理和盘查，实现资产管理常态化，使资产帐、卡、实、物相符，有效地提高了固定资产利用率，发挥固定资产最大效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（三）社会公众满意度评价</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2022年我办干部职工在办党总支的正确领导下，认真贯彻落实党的二十大精神，勤奋工作，提高办事效率，办事程序公开，预算信息公开，办事时间缩短，办事效率提高，社会和谐稳定，群众满意度达到95%。</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仿宋" w:hAnsi="仿宋" w:eastAsia="仿宋" w:cs="仿宋"/>
          <w:b/>
          <w:bCs/>
          <w:i w:val="0"/>
          <w:iCs w:val="0"/>
          <w:caps w:val="0"/>
          <w:color w:val="000000"/>
          <w:spacing w:val="0"/>
          <w:sz w:val="32"/>
          <w:szCs w:val="32"/>
          <w:shd w:val="clear" w:fill="FFFFFF"/>
          <w:lang w:val="en-US" w:eastAsia="zh-CN"/>
        </w:rPr>
        <w:t>（四）</w:t>
      </w:r>
      <w:r>
        <w:rPr>
          <w:rFonts w:ascii="仿宋" w:hAnsi="仿宋" w:eastAsia="仿宋" w:cs="仿宋"/>
          <w:b/>
          <w:bCs/>
          <w:i w:val="0"/>
          <w:iCs w:val="0"/>
          <w:caps w:val="0"/>
          <w:color w:val="000000"/>
          <w:spacing w:val="0"/>
          <w:sz w:val="32"/>
          <w:szCs w:val="32"/>
          <w:shd w:val="clear" w:fill="FFFFFF"/>
        </w:rPr>
        <w:t>部门</w:t>
      </w:r>
      <w:r>
        <w:rPr>
          <w:rFonts w:hint="eastAsia" w:ascii="仿宋" w:hAnsi="仿宋" w:eastAsia="仿宋" w:cs="仿宋"/>
          <w:b/>
          <w:bCs/>
          <w:i w:val="0"/>
          <w:iCs w:val="0"/>
          <w:caps w:val="0"/>
          <w:color w:val="000000"/>
          <w:spacing w:val="0"/>
          <w:sz w:val="32"/>
          <w:szCs w:val="32"/>
          <w:shd w:val="clear" w:fill="FFFFFF"/>
        </w:rPr>
        <w:t>整体支出绩效自评结果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2022年，根据我办年初工作规划和重点性工作，围绕县委、县政府中心工作，积极履职，强化管理，较好完成了年度工作目标。通过加强预算收支的管理，不断建立健全内部管理制度，理顺内部管理流程，部门整体支出管理情况得到了提升。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1、在职人员控制率：100%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2、“三公经费”控制率：-5%。严格控制“三公经费”支出，开源节流。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3、预算完成率：</w:t>
      </w:r>
      <w:r>
        <w:rPr>
          <w:rFonts w:hint="eastAsia" w:ascii="仿宋_GB2312" w:hAnsi="仿宋_GB2312" w:eastAsia="仿宋_GB2312" w:cs="仿宋_GB2312"/>
          <w:sz w:val="32"/>
          <w:szCs w:val="32"/>
          <w:lang w:val="en-US" w:eastAsia="zh-CN"/>
        </w:rPr>
        <w:t>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4、政府采购执行率：100%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5、在资金管理上，我办制定了一系列的财务管理制度。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四、存在的主要问题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2、预算决算项目支出编制需进一步明确、精细化。同时项目执行率需进一步提高。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3、公务卡使用力度还应加强，减少现金支付。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4、决算收入支出与预算存在较大差异，是由于部分日常预算公用经费开支资金未计入年初预算。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5、资金使用审核列报支付中，未按功能科目一一对应，从而导致公共财政支出预决算存在偏差。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五、改进措施及建议</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一是建议加强财务管理，严格财务审核。</w:t>
      </w:r>
      <w:r>
        <w:rPr>
          <w:rFonts w:hint="eastAsia" w:ascii="仿宋_GB2312" w:hAnsi="仿宋_GB2312" w:eastAsia="仿宋_GB2312" w:cs="仿宋_GB2312"/>
          <w:sz w:val="32"/>
          <w:szCs w:val="32"/>
        </w:rPr>
        <w:t>加强单位财务管理，健全单位财务管理制度体系，规范单位财务行为。在费用报账支付时，按照预算规定的费用项目和用途进行资金使用审核、财务严格核算，杜绝超支现象的发生。</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二是建议细化预算指标，提高预算科学性。</w:t>
      </w:r>
      <w:r>
        <w:rPr>
          <w:rFonts w:hint="eastAsia" w:ascii="仿宋_GB2312" w:hAnsi="仿宋_GB2312" w:eastAsia="仿宋_GB2312" w:cs="仿宋_GB2312"/>
          <w:sz w:val="32"/>
          <w:szCs w:val="32"/>
        </w:rPr>
        <w:t>预算编制前根据年度内单位可预见的工作任务，确定单位年度预算目标，细化预算指标，科学合理编制部门预算，推进预算编制科学化准确化。</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三是建议进一步加强内部机构的预算管理意识。</w:t>
      </w:r>
      <w:r>
        <w:rPr>
          <w:rFonts w:hint="eastAsia" w:ascii="仿宋_GB2312" w:hAnsi="仿宋_GB2312" w:eastAsia="仿宋_GB2312" w:cs="仿宋_GB2312"/>
          <w:sz w:val="32"/>
          <w:szCs w:val="32"/>
        </w:rPr>
        <w:t>严格按照预算编制的相关制度和要求，进一步提高预算编制的科学性、合理性、严谨性和可控性，在日常预算管理过程中，进一步加强预算支出的审核、跟踪及预算执行情况分析。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衡南县人民政府办公室</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2023年4月10日</w:t>
      </w:r>
    </w:p>
    <w:sectPr>
      <w:footerReference r:id="rId3" w:type="default"/>
      <w:pgSz w:w="11906" w:h="16838"/>
      <w:pgMar w:top="1701" w:right="1701" w:bottom="1701" w:left="1701" w:header="851" w:footer="124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jNDc5M2Q1ZWYwZDQ1OWNkMTM0MTNmM2QxMjUwMjgifQ=="/>
  </w:docVars>
  <w:rsids>
    <w:rsidRoot w:val="45F73E00"/>
    <w:rsid w:val="18B50A2D"/>
    <w:rsid w:val="23ED6655"/>
    <w:rsid w:val="2C4B7D8D"/>
    <w:rsid w:val="307D7A40"/>
    <w:rsid w:val="3C59250A"/>
    <w:rsid w:val="45F73E00"/>
    <w:rsid w:val="508E057E"/>
    <w:rsid w:val="771A73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4130</Words>
  <Characters>4362</Characters>
  <Lines>0</Lines>
  <Paragraphs>0</Paragraphs>
  <TotalTime>1246</TotalTime>
  <ScaleCrop>false</ScaleCrop>
  <LinksUpToDate>false</LinksUpToDate>
  <CharactersWithSpaces>4469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2023-04-11T02:50:00Z</dcterms:created>
  <dc:creator>阳浩</dc:creator>
  <cp:lastModifiedBy>孙泽宇</cp:lastModifiedBy>
  <cp:lastPrinted>2023-04-12T02:50:00Z</cp:lastPrinted>
  <dcterms:modified xsi:type="dcterms:W3CDTF">2023-10-11T08:37:10Z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0C969D40285D48C7804929937950918A_13</vt:lpwstr>
  </property>
</Properties>
</file>