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Times New Roman" w:eastAsia="黑体" w:cs="黑体"/>
          <w:color w:val="000000"/>
        </w:rPr>
      </w:pPr>
      <w:bookmarkStart w:id="1" w:name="_GoBack"/>
      <w:bookmarkEnd w:id="1"/>
      <w:bookmarkStart w:id="0" w:name="YS040100"/>
    </w:p>
    <w:p>
      <w:pPr>
        <w:jc w:val="center"/>
        <w:rPr>
          <w:rFonts w:ascii="黑体" w:hAnsi="Times New Roman" w:eastAsia="黑体" w:cs="黑体"/>
          <w:color w:val="000000"/>
        </w:rPr>
      </w:pPr>
    </w:p>
    <w:bookmarkEnd w:id="0"/>
    <w:p>
      <w:pPr>
        <w:jc w:val="center"/>
        <w:rPr>
          <w:rFonts w:ascii="华文中宋" w:hAnsi="华文中宋" w:eastAsia="华文中宋" w:cs="黑体"/>
          <w:color w:val="000000"/>
          <w:sz w:val="36"/>
          <w:szCs w:val="32"/>
        </w:rPr>
      </w:pPr>
      <w:r>
        <w:rPr>
          <w:rFonts w:hint="eastAsia" w:ascii="华文中宋" w:hAnsi="华文中宋" w:eastAsia="华文中宋" w:cs="黑体"/>
          <w:color w:val="000000"/>
          <w:sz w:val="36"/>
          <w:szCs w:val="32"/>
        </w:rPr>
        <w:t>三塘镇人民政府2021年度部门决算报表填报说明</w:t>
      </w:r>
    </w:p>
    <w:p>
      <w:pPr>
        <w:widowControl/>
        <w:spacing w:line="211" w:lineRule="atLeast"/>
        <w:jc w:val="center"/>
        <w:rPr>
          <w:rFonts w:ascii="华文中宋" w:hAnsi="华文中宋" w:eastAsia="华文中宋" w:cs="宋体"/>
          <w:color w:val="000000"/>
          <w:kern w:val="0"/>
          <w:sz w:val="36"/>
          <w:szCs w:val="32"/>
        </w:rPr>
      </w:pPr>
    </w:p>
    <w:p>
      <w:pPr>
        <w:jc w:val="center"/>
        <w:rPr>
          <w:rFonts w:ascii="仿宋_GB2312" w:hAnsi="华文中宋" w:eastAsia="仿宋_GB2312" w:cs="黑体"/>
          <w:color w:val="000000"/>
          <w:sz w:val="32"/>
          <w:szCs w:val="32"/>
        </w:rPr>
      </w:pPr>
    </w:p>
    <w:p>
      <w:pPr>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一、决算信息来源说明</w:t>
      </w:r>
    </w:p>
    <w:p>
      <w:pPr>
        <w:ind w:firstLine="640" w:firstLineChars="200"/>
        <w:rPr>
          <w:rFonts w:cs="仿宋" w:asciiTheme="majorEastAsia" w:hAnsiTheme="majorEastAsia" w:eastAsiaTheme="majorEastAsia"/>
          <w:bCs/>
          <w:sz w:val="32"/>
          <w:szCs w:val="32"/>
        </w:rPr>
      </w:pPr>
      <w:r>
        <w:rPr>
          <w:rFonts w:hint="eastAsia" w:cs="仿宋" w:asciiTheme="majorEastAsia" w:hAnsiTheme="majorEastAsia" w:eastAsiaTheme="majorEastAsia"/>
          <w:bCs/>
          <w:sz w:val="32"/>
          <w:szCs w:val="32"/>
        </w:rPr>
        <w:t>本套决算依据本单位登记完整、核对无误的账簿记录和其他有关会计核算资料编制，账证相符、账实相符、账表相符、表表相符，真实、准确、完整地反映了本单位预算执行结果和财务状况。</w:t>
      </w:r>
    </w:p>
    <w:p>
      <w:pPr>
        <w:ind w:firstLine="640" w:firstLineChars="200"/>
        <w:rPr>
          <w:rFonts w:cs="黑体" w:asciiTheme="majorEastAsia" w:hAnsiTheme="majorEastAsia" w:eastAsiaTheme="majorEastAsia"/>
          <w:sz w:val="32"/>
          <w:szCs w:val="32"/>
        </w:rPr>
      </w:pPr>
      <w:r>
        <w:rPr>
          <w:rFonts w:hint="eastAsia" w:asciiTheme="majorEastAsia" w:hAnsiTheme="majorEastAsia" w:eastAsiaTheme="majorEastAsia"/>
          <w:sz w:val="32"/>
          <w:szCs w:val="32"/>
        </w:rPr>
        <w:t>（一）本套决算主表决算数据主要依据本单位会计账簿总账及明细账数据填列，预算数据依据本单位预、决算批复文件及预算调整文件填列。</w:t>
      </w:r>
    </w:p>
    <w:p>
      <w:pPr>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（二）本套决算附表数据主要依据本单位会计账簿、资产、人事台账及相关资料填列。</w:t>
      </w:r>
    </w:p>
    <w:p>
      <w:pPr>
        <w:ind w:firstLine="640" w:firstLineChars="200"/>
        <w:rPr>
          <w:rFonts w:cs="黑体" w:asciiTheme="majorEastAsia" w:hAnsiTheme="majorEastAsia" w:eastAsiaTheme="majorEastAsia"/>
          <w:sz w:val="32"/>
          <w:szCs w:val="32"/>
        </w:rPr>
      </w:pPr>
      <w:r>
        <w:rPr>
          <w:rFonts w:hint="eastAsia" w:cs="黑体" w:asciiTheme="majorEastAsia" w:hAnsiTheme="majorEastAsia" w:eastAsiaTheme="majorEastAsia"/>
          <w:sz w:val="32"/>
          <w:szCs w:val="32"/>
        </w:rPr>
        <w:t>二、决算编制基本情况</w:t>
      </w:r>
    </w:p>
    <w:p>
      <w:pPr>
        <w:ind w:firstLine="567"/>
        <w:rPr>
          <w:rFonts w:cs="仿宋" w:asciiTheme="majorEastAsia" w:hAnsiTheme="majorEastAsia" w:eastAsiaTheme="majorEastAsia"/>
          <w:bCs/>
          <w:sz w:val="32"/>
          <w:szCs w:val="32"/>
        </w:rPr>
      </w:pPr>
      <w:r>
        <w:rPr>
          <w:rFonts w:hint="eastAsia" w:cs="仿宋" w:asciiTheme="majorEastAsia" w:hAnsiTheme="majorEastAsia" w:eastAsiaTheme="majorEastAsia"/>
          <w:bCs/>
          <w:sz w:val="32"/>
          <w:szCs w:val="32"/>
        </w:rPr>
        <w:t>本单位为一级</w:t>
      </w:r>
      <w:r>
        <w:rPr>
          <w:rFonts w:hint="eastAsia" w:cs="仿宋" w:asciiTheme="majorEastAsia" w:hAnsiTheme="majorEastAsia" w:eastAsiaTheme="majorEastAsia"/>
          <w:bCs/>
          <w:spacing w:val="14"/>
          <w:sz w:val="32"/>
          <w:szCs w:val="32"/>
        </w:rPr>
        <w:t>预算单位，单位性质</w:t>
      </w:r>
      <w:r>
        <w:rPr>
          <w:rFonts w:hint="eastAsia" w:cs="仿宋" w:asciiTheme="majorEastAsia" w:hAnsiTheme="majorEastAsia" w:eastAsiaTheme="majorEastAsia"/>
          <w:bCs/>
          <w:sz w:val="32"/>
          <w:szCs w:val="32"/>
        </w:rPr>
        <w:t>为行政单位，决算编报类型为单户表，按照政府会计制度填报决算数据。</w:t>
      </w:r>
    </w:p>
    <w:p>
      <w:pPr>
        <w:ind w:firstLine="567"/>
        <w:rPr>
          <w:rFonts w:cs="仿宋" w:asciiTheme="majorEastAsia" w:hAnsiTheme="majorEastAsia" w:eastAsiaTheme="majorEastAsia"/>
          <w:bCs/>
          <w:sz w:val="32"/>
          <w:szCs w:val="32"/>
        </w:rPr>
      </w:pPr>
      <w:r>
        <w:rPr>
          <w:rFonts w:hint="eastAsia" w:cs="仿宋" w:asciiTheme="majorEastAsia" w:hAnsiTheme="majorEastAsia" w:eastAsiaTheme="majorEastAsia"/>
          <w:bCs/>
          <w:sz w:val="32"/>
          <w:szCs w:val="32"/>
        </w:rPr>
        <w:t>纳入本套决算编制范围的独立核算单位共1个，为三塘镇人民政府。与上年比无增减变化。</w:t>
      </w:r>
    </w:p>
    <w:p>
      <w:pPr>
        <w:ind w:firstLine="707" w:firstLineChars="221"/>
        <w:rPr>
          <w:rFonts w:cs="Times New Roman" w:asciiTheme="majorEastAsia" w:hAnsiTheme="majorEastAsia" w:eastAsiaTheme="majorEastAsia"/>
          <w:sz w:val="32"/>
          <w:szCs w:val="32"/>
        </w:rPr>
      </w:pPr>
      <w:r>
        <w:rPr>
          <w:rFonts w:hint="eastAsia" w:cs="黑体" w:asciiTheme="majorEastAsia" w:hAnsiTheme="majorEastAsia" w:eastAsiaTheme="majorEastAsia"/>
          <w:sz w:val="32"/>
          <w:szCs w:val="32"/>
        </w:rPr>
        <w:t>三、基础数据核对情况</w:t>
      </w:r>
    </w:p>
    <w:p>
      <w:pPr>
        <w:ind w:firstLine="709"/>
        <w:rPr>
          <w:rFonts w:cs="仿宋" w:asciiTheme="majorEastAsia" w:hAnsiTheme="majorEastAsia" w:eastAsiaTheme="majorEastAsia"/>
          <w:sz w:val="32"/>
          <w:szCs w:val="32"/>
        </w:rPr>
      </w:pPr>
      <w:r>
        <w:rPr>
          <w:rFonts w:hint="eastAsia" w:cs="仿宋" w:asciiTheme="majorEastAsia" w:hAnsiTheme="majorEastAsia" w:eastAsiaTheme="majorEastAsia"/>
          <w:sz w:val="32"/>
          <w:szCs w:val="32"/>
        </w:rPr>
        <w:t>（一）财政资金对账情况。</w:t>
      </w:r>
    </w:p>
    <w:p>
      <w:pPr>
        <w:ind w:firstLine="709"/>
        <w:rPr>
          <w:rFonts w:cs="Times New Roman" w:asciiTheme="majorEastAsia" w:hAnsiTheme="majorEastAsia" w:eastAsiaTheme="majorEastAsia"/>
          <w:sz w:val="32"/>
          <w:szCs w:val="32"/>
        </w:rPr>
      </w:pPr>
      <w:r>
        <w:rPr>
          <w:rFonts w:hint="eastAsia" w:cs="仿宋" w:asciiTheme="majorEastAsia" w:hAnsiTheme="majorEastAsia" w:eastAsiaTheme="majorEastAsia"/>
          <w:sz w:val="32"/>
          <w:szCs w:val="32"/>
        </w:rPr>
        <w:t>1．财政拨款核对情况。</w:t>
      </w:r>
    </w:p>
    <w:p>
      <w:pPr>
        <w:ind w:firstLine="709"/>
        <w:rPr>
          <w:rFonts w:cs="Times New Roman" w:asciiTheme="majorEastAsia" w:hAnsiTheme="majorEastAsia" w:eastAsiaTheme="majorEastAsia"/>
          <w:sz w:val="32"/>
          <w:szCs w:val="32"/>
        </w:rPr>
      </w:pPr>
      <w:r>
        <w:rPr>
          <w:rFonts w:hint="eastAsia" w:cs="仿宋" w:asciiTheme="majorEastAsia" w:hAnsiTheme="majorEastAsia" w:eastAsiaTheme="majorEastAsia"/>
          <w:sz w:val="32"/>
          <w:szCs w:val="32"/>
        </w:rPr>
        <w:t>（1）单位本年度实际收到的</w:t>
      </w:r>
      <w:r>
        <w:rPr>
          <w:rFonts w:hint="eastAsia" w:cs="仿宋" w:asciiTheme="majorEastAsia" w:hAnsiTheme="majorEastAsia" w:eastAsiaTheme="majorEastAsia"/>
          <w:bCs/>
          <w:sz w:val="32"/>
          <w:szCs w:val="32"/>
        </w:rPr>
        <w:t>一般</w:t>
      </w:r>
      <w:r>
        <w:rPr>
          <w:rFonts w:hint="eastAsia" w:cs="仿宋" w:asciiTheme="majorEastAsia" w:hAnsiTheme="majorEastAsia" w:eastAsiaTheme="majorEastAsia"/>
          <w:sz w:val="32"/>
          <w:szCs w:val="32"/>
        </w:rPr>
        <w:t>公共预算财政拨款收入4235.36万元，财政部门拨款对账单4235.36万元，差额0万元。</w:t>
      </w:r>
    </w:p>
    <w:p>
      <w:pPr>
        <w:ind w:firstLine="709"/>
        <w:rPr>
          <w:rFonts w:cs="Times New Roman" w:asciiTheme="majorEastAsia" w:hAnsiTheme="majorEastAsia" w:eastAsiaTheme="majorEastAsia"/>
          <w:sz w:val="32"/>
          <w:szCs w:val="32"/>
        </w:rPr>
      </w:pPr>
      <w:r>
        <w:rPr>
          <w:rFonts w:hint="eastAsia" w:cs="仿宋" w:asciiTheme="majorEastAsia" w:hAnsiTheme="majorEastAsia" w:eastAsiaTheme="majorEastAsia"/>
          <w:sz w:val="32"/>
          <w:szCs w:val="32"/>
        </w:rPr>
        <w:t>（2）单位本年度政府性基金预算财政拨款收入4234.37万元，财政部门拨款对账单4234.37万元，差额0万元。</w:t>
      </w:r>
    </w:p>
    <w:p>
      <w:pPr>
        <w:ind w:firstLine="709"/>
        <w:rPr>
          <w:rFonts w:cs="仿宋" w:asciiTheme="majorEastAsia" w:hAnsiTheme="majorEastAsia" w:eastAsiaTheme="majorEastAsia"/>
          <w:sz w:val="32"/>
          <w:szCs w:val="32"/>
        </w:rPr>
      </w:pPr>
      <w:r>
        <w:rPr>
          <w:rFonts w:hint="eastAsia" w:cs="仿宋" w:asciiTheme="majorEastAsia" w:hAnsiTheme="majorEastAsia" w:eastAsiaTheme="majorEastAsia"/>
          <w:sz w:val="32"/>
          <w:szCs w:val="32"/>
        </w:rPr>
        <w:t>2．其他需要说明的情况。</w:t>
      </w:r>
    </w:p>
    <w:p>
      <w:pPr>
        <w:ind w:firstLine="709"/>
        <w:rPr>
          <w:rFonts w:cs="Times New Roman" w:asciiTheme="majorEastAsia" w:hAnsiTheme="majorEastAsia" w:eastAsiaTheme="majorEastAsia"/>
          <w:sz w:val="32"/>
          <w:szCs w:val="32"/>
        </w:rPr>
      </w:pPr>
      <w:r>
        <w:rPr>
          <w:rFonts w:hint="eastAsia" w:cs="仿宋" w:asciiTheme="majorEastAsia" w:hAnsiTheme="majorEastAsia" w:eastAsiaTheme="majorEastAsia"/>
          <w:b/>
          <w:sz w:val="32"/>
          <w:szCs w:val="32"/>
        </w:rPr>
        <w:t xml:space="preserve"> </w:t>
      </w:r>
      <w:r>
        <w:rPr>
          <w:rFonts w:hint="eastAsia" w:cs="仿宋" w:asciiTheme="majorEastAsia" w:hAnsiTheme="majorEastAsia" w:eastAsiaTheme="majorEastAsia"/>
          <w:sz w:val="32"/>
          <w:szCs w:val="32"/>
        </w:rPr>
        <w:t xml:space="preserve"> 因机构改革，乡镇站所人员合并，成立三中心一站一大队，人员及公用经费全纳入财政总预算，由乡镇统一管理。</w:t>
      </w:r>
    </w:p>
    <w:p>
      <w:pPr>
        <w:ind w:firstLine="709"/>
        <w:rPr>
          <w:rFonts w:cs="仿宋" w:asciiTheme="majorEastAsia" w:hAnsiTheme="majorEastAsia" w:eastAsiaTheme="majorEastAsia"/>
          <w:sz w:val="32"/>
          <w:szCs w:val="32"/>
        </w:rPr>
      </w:pPr>
      <w:r>
        <w:rPr>
          <w:rFonts w:hint="eastAsia" w:cs="仿宋" w:asciiTheme="majorEastAsia" w:hAnsiTheme="majorEastAsia" w:eastAsiaTheme="majorEastAsia"/>
          <w:sz w:val="32"/>
          <w:szCs w:val="32"/>
        </w:rPr>
        <w:t>（二）与上年指标核对情况。</w:t>
      </w:r>
    </w:p>
    <w:p>
      <w:pPr>
        <w:ind w:firstLine="709"/>
        <w:rPr>
          <w:rFonts w:cs="仿宋" w:asciiTheme="majorEastAsia" w:hAnsiTheme="majorEastAsia" w:eastAsiaTheme="majorEastAsia"/>
          <w:sz w:val="32"/>
          <w:szCs w:val="32"/>
        </w:rPr>
      </w:pPr>
      <w:r>
        <w:rPr>
          <w:rFonts w:hint="eastAsia" w:cs="仿宋" w:asciiTheme="majorEastAsia" w:hAnsiTheme="majorEastAsia" w:eastAsiaTheme="majorEastAsia"/>
          <w:sz w:val="32"/>
          <w:szCs w:val="32"/>
        </w:rPr>
        <w:t>1．全口径、</w:t>
      </w:r>
      <w:r>
        <w:rPr>
          <w:rFonts w:hint="eastAsia" w:cs="仿宋" w:asciiTheme="majorEastAsia" w:hAnsiTheme="majorEastAsia" w:eastAsiaTheme="majorEastAsia"/>
          <w:bCs/>
          <w:sz w:val="32"/>
          <w:szCs w:val="32"/>
        </w:rPr>
        <w:t>一般</w:t>
      </w:r>
      <w:r>
        <w:rPr>
          <w:rFonts w:hint="eastAsia" w:cs="仿宋" w:asciiTheme="majorEastAsia" w:hAnsiTheme="majorEastAsia" w:eastAsiaTheme="majorEastAsia"/>
          <w:sz w:val="32"/>
          <w:szCs w:val="32"/>
        </w:rPr>
        <w:t>公共预算财政拨款、政府性基金预算财政拨款的结转和结余资金本年年初数与上年年末数不一致，减少450.73万元，调整了其他非财政拨款年初结转和结余450.73元。</w:t>
      </w:r>
    </w:p>
    <w:p>
      <w:pPr>
        <w:ind w:firstLine="709"/>
        <w:rPr>
          <w:rFonts w:cs="仿宋" w:asciiTheme="majorEastAsia" w:hAnsiTheme="majorEastAsia" w:eastAsiaTheme="majorEastAsia"/>
          <w:sz w:val="32"/>
          <w:szCs w:val="32"/>
        </w:rPr>
      </w:pPr>
      <w:r>
        <w:rPr>
          <w:rFonts w:hint="eastAsia" w:cs="仿宋" w:asciiTheme="majorEastAsia" w:hAnsiTheme="majorEastAsia" w:eastAsiaTheme="majorEastAsia"/>
          <w:sz w:val="32"/>
          <w:szCs w:val="32"/>
        </w:rPr>
        <w:t>2．主要指标上下年变动幅度超过20%，收支变动幅度大，主要原因是机构改革，乡镇站所人员合并，成立三中心一站一大队，人员及公用经费全纳入财政总预算，由乡镇统一管理。</w:t>
      </w:r>
    </w:p>
    <w:p>
      <w:pPr>
        <w:ind w:firstLine="709"/>
        <w:rPr>
          <w:rFonts w:cs="Times New Roman" w:asciiTheme="majorEastAsia" w:hAnsiTheme="majorEastAsia" w:eastAsiaTheme="majorEastAsia"/>
          <w:sz w:val="32"/>
          <w:szCs w:val="32"/>
        </w:rPr>
      </w:pPr>
      <w:r>
        <w:rPr>
          <w:rFonts w:hint="eastAsia" w:cs="Times New Roman" w:asciiTheme="majorEastAsia" w:hAnsiTheme="majorEastAsia" w:eastAsiaTheme="majorEastAsia"/>
          <w:sz w:val="32"/>
          <w:szCs w:val="32"/>
        </w:rPr>
        <w:t>3．资产情况：房屋与上年比增加12.46万元，原因为上年漏登了政府房屋改造资金12.46万元；年末公务用车保有量2辆,与上年年末数一致。</w:t>
      </w:r>
    </w:p>
    <w:p>
      <w:pPr>
        <w:ind w:firstLine="709"/>
        <w:rPr>
          <w:rFonts w:cs="Times New Roman" w:asciiTheme="majorEastAsia" w:hAnsiTheme="majorEastAsia" w:eastAsiaTheme="majorEastAsia"/>
          <w:sz w:val="32"/>
          <w:szCs w:val="32"/>
        </w:rPr>
      </w:pPr>
      <w:r>
        <w:rPr>
          <w:rFonts w:hint="eastAsia" w:cs="Times New Roman" w:asciiTheme="majorEastAsia" w:hAnsiTheme="majorEastAsia" w:eastAsiaTheme="majorEastAsia"/>
          <w:sz w:val="32"/>
          <w:szCs w:val="32"/>
        </w:rPr>
        <w:t> </w:t>
      </w:r>
      <w:r>
        <w:rPr>
          <w:rFonts w:hint="eastAsia" w:cs="黑体" w:asciiTheme="majorEastAsia" w:hAnsiTheme="majorEastAsia" w:eastAsiaTheme="majorEastAsia"/>
          <w:sz w:val="32"/>
          <w:szCs w:val="32"/>
        </w:rPr>
        <w:t>四、报表审核情况</w:t>
      </w:r>
    </w:p>
    <w:p>
      <w:pPr>
        <w:ind w:firstLine="709"/>
        <w:rPr>
          <w:rFonts w:cs="仿宋" w:asciiTheme="majorEastAsia" w:hAnsiTheme="majorEastAsia" w:eastAsiaTheme="majorEastAsia"/>
          <w:sz w:val="32"/>
          <w:szCs w:val="32"/>
        </w:rPr>
      </w:pPr>
      <w:r>
        <w:rPr>
          <w:rFonts w:hint="eastAsia" w:cs="仿宋" w:asciiTheme="majorEastAsia" w:hAnsiTheme="majorEastAsia" w:eastAsiaTheme="majorEastAsia"/>
          <w:sz w:val="32"/>
          <w:szCs w:val="32"/>
        </w:rPr>
        <w:t>（一）审核情况：全审通过</w:t>
      </w:r>
    </w:p>
    <w:p>
      <w:pPr>
        <w:ind w:firstLine="709"/>
        <w:rPr>
          <w:rFonts w:cs="Times New Roman" w:asciiTheme="majorEastAsia" w:hAnsiTheme="majorEastAsia" w:eastAsiaTheme="majorEastAsia"/>
          <w:sz w:val="32"/>
          <w:szCs w:val="32"/>
        </w:rPr>
      </w:pPr>
      <w:r>
        <w:rPr>
          <w:rFonts w:hint="eastAsia" w:cs="仿宋" w:asciiTheme="majorEastAsia" w:hAnsiTheme="majorEastAsia" w:eastAsiaTheme="majorEastAsia"/>
          <w:sz w:val="32"/>
          <w:szCs w:val="32"/>
        </w:rPr>
        <w:t>（二）对报表指标、审核公式和审核模板的设置建议：无建议</w:t>
      </w:r>
    </w:p>
    <w:p>
      <w:pPr>
        <w:ind w:firstLine="709"/>
        <w:rPr>
          <w:rFonts w:hint="eastAsia" w:cs="Times New Roman" w:asciiTheme="majorEastAsia" w:hAnsiTheme="majorEastAsia" w:eastAsiaTheme="majorEastAsia"/>
          <w:sz w:val="32"/>
          <w:szCs w:val="32"/>
        </w:rPr>
      </w:pPr>
      <w:r>
        <w:rPr>
          <w:rFonts w:hint="eastAsia" w:cs="黑体" w:asciiTheme="majorEastAsia" w:hAnsiTheme="majorEastAsia" w:eastAsiaTheme="majorEastAsia"/>
          <w:sz w:val="32"/>
          <w:szCs w:val="32"/>
        </w:rPr>
        <w:t>五、决算数据其他需要说明的情况</w:t>
      </w:r>
    </w:p>
    <w:p>
      <w:pPr>
        <w:ind w:firstLine="709"/>
        <w:rPr>
          <w:rFonts w:cs="Times New Roman" w:asciiTheme="majorEastAsia" w:hAnsiTheme="majorEastAsia" w:eastAsiaTheme="majorEastAsia"/>
          <w:sz w:val="32"/>
          <w:szCs w:val="32"/>
        </w:rPr>
      </w:pPr>
      <w:r>
        <w:rPr>
          <w:rFonts w:hint="eastAsia" w:cs="仿宋" w:asciiTheme="majorEastAsia" w:hAnsiTheme="majorEastAsia" w:eastAsiaTheme="majorEastAsia"/>
          <w:sz w:val="32"/>
          <w:szCs w:val="32"/>
        </w:rPr>
        <w:t>1．“项目支出决算明细表”中“对个人和家庭的补助支出”科目中有发生额，生活补助栏支出为村干与组长工资，救济栏支出主要为镇解决执法大队临聘人员公务途中交通事故赔偿款及医药费。</w:t>
      </w:r>
    </w:p>
    <w:p>
      <w:pPr>
        <w:ind w:firstLine="640" w:firstLineChars="200"/>
        <w:rPr>
          <w:sz w:val="28"/>
          <w:szCs w:val="28"/>
        </w:rPr>
      </w:pPr>
      <w:r>
        <w:rPr>
          <w:rFonts w:hint="eastAsia" w:cs="仿宋" w:asciiTheme="majorEastAsia" w:hAnsiTheme="majorEastAsia" w:eastAsiaTheme="majorEastAsia"/>
          <w:sz w:val="32"/>
          <w:szCs w:val="32"/>
        </w:rPr>
        <w:t>2.</w:t>
      </w:r>
      <w:r>
        <w:rPr>
          <w:rFonts w:hint="eastAsia" w:ascii="仿宋" w:hAnsi="仿宋" w:eastAsia="仿宋"/>
          <w:color w:val="000000"/>
          <w:kern w:val="0"/>
          <w:sz w:val="28"/>
          <w:szCs w:val="28"/>
        </w:rPr>
        <w:t xml:space="preserve"> </w:t>
      </w:r>
      <w:r>
        <w:rPr>
          <w:rFonts w:hint="eastAsia" w:asciiTheme="majorEastAsia" w:hAnsiTheme="majorEastAsia" w:eastAsiaTheme="majorEastAsia"/>
          <w:color w:val="000000"/>
          <w:kern w:val="0"/>
          <w:sz w:val="32"/>
          <w:szCs w:val="32"/>
        </w:rPr>
        <w:t>“三公”经费本年度支出22.91万元，其中：公务用车运行维护费12.19万元，公务接待费10.72万元，与上年同期“三公”经费支出23.51万元（公务用车运行维护费12.69万元、公务接待10.82万元）比，减少了0.6万元，主要是规范车辆管理、控制车辆加油维修等费用。国内公务接待批次162批次，国内公务接待人次1786人次。</w:t>
      </w:r>
    </w:p>
    <w:p>
      <w:pPr>
        <w:ind w:firstLine="709"/>
        <w:rPr>
          <w:rFonts w:hint="eastAsia" w:cs="仿宋" w:asciiTheme="majorEastAsia" w:hAnsiTheme="majorEastAsia" w:eastAsiaTheme="majorEastAsia"/>
          <w:sz w:val="32"/>
          <w:szCs w:val="32"/>
        </w:rPr>
      </w:pPr>
      <w:r>
        <w:rPr>
          <w:rFonts w:hint="eastAsia" w:asciiTheme="majorEastAsia" w:hAnsiTheme="majorEastAsia" w:eastAsiaTheme="majorEastAsia"/>
          <w:sz w:val="32"/>
          <w:szCs w:val="32"/>
        </w:rPr>
        <w:t>3、机关运行经费本年度支出705.74万元，与上年比增加了424.8万元，</w:t>
      </w:r>
      <w:r>
        <w:rPr>
          <w:rFonts w:hint="eastAsia" w:cs="仿宋" w:asciiTheme="majorEastAsia" w:hAnsiTheme="majorEastAsia" w:eastAsiaTheme="majorEastAsia"/>
          <w:sz w:val="32"/>
          <w:szCs w:val="32"/>
        </w:rPr>
        <w:t>主要原因是机构改革，乡镇站所人员合并，成立三中心一站一大队，人员及公用经费全纳入财政总预算，由乡镇统一管理。</w:t>
      </w:r>
    </w:p>
    <w:p>
      <w:pPr>
        <w:ind w:firstLine="709"/>
        <w:rPr>
          <w:rFonts w:hint="eastAsia" w:cs="仿宋" w:asciiTheme="majorEastAsia" w:hAnsiTheme="majorEastAsia" w:eastAsiaTheme="majorEastAsia"/>
          <w:sz w:val="32"/>
          <w:szCs w:val="32"/>
        </w:rPr>
      </w:pPr>
      <w:r>
        <w:rPr>
          <w:rFonts w:hint="eastAsia" w:cs="仿宋" w:asciiTheme="majorEastAsia" w:hAnsiTheme="majorEastAsia" w:eastAsiaTheme="majorEastAsia"/>
          <w:sz w:val="32"/>
          <w:szCs w:val="32"/>
        </w:rPr>
        <w:t>4、本年度政府采购服务支出1694.34万元，是环卫垃圾清扫、垃圾收集、垃圾外运一体化服务政府采购项目，采购合同金额1694.34万元，服务期限为3年，采取一年一签的方式进行续签。</w:t>
      </w:r>
    </w:p>
    <w:p>
      <w:pPr>
        <w:ind w:firstLine="709"/>
        <w:rPr>
          <w:rFonts w:cs="仿宋" w:asciiTheme="majorEastAsia" w:hAnsiTheme="majorEastAsia" w:eastAsiaTheme="majorEastAsia"/>
          <w:sz w:val="32"/>
          <w:szCs w:val="32"/>
        </w:rPr>
      </w:pPr>
    </w:p>
    <w:p>
      <w:pPr>
        <w:rPr>
          <w:rFonts w:asciiTheme="majorEastAsia" w:hAnsiTheme="majorEastAsia" w:eastAsiaTheme="majorEastAsia"/>
          <w:sz w:val="32"/>
          <w:szCs w:val="32"/>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sz w:val="24"/>
        <w:szCs w:val="24"/>
        <w:lang w:val="zh-CN"/>
      </w:rPr>
      <w:t>2</w:t>
    </w:r>
    <w:r>
      <w:rPr>
        <w:rFonts w:ascii="Arial" w:hAnsi="Arial" w:cs="Arial"/>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E5YmVhNjAzM2U4NmQyODAyOTk1MGZmYzIwMjc1ZjMifQ=="/>
  </w:docVars>
  <w:rsids>
    <w:rsidRoot w:val="003877C3"/>
    <w:rsid w:val="00026211"/>
    <w:rsid w:val="000A1A07"/>
    <w:rsid w:val="001B3A85"/>
    <w:rsid w:val="0021440D"/>
    <w:rsid w:val="0021650B"/>
    <w:rsid w:val="00262E3F"/>
    <w:rsid w:val="002B7727"/>
    <w:rsid w:val="003877C3"/>
    <w:rsid w:val="00462038"/>
    <w:rsid w:val="004C430F"/>
    <w:rsid w:val="004F29FE"/>
    <w:rsid w:val="00522486"/>
    <w:rsid w:val="00531F34"/>
    <w:rsid w:val="0054284F"/>
    <w:rsid w:val="00551B83"/>
    <w:rsid w:val="00576055"/>
    <w:rsid w:val="00593503"/>
    <w:rsid w:val="006210EA"/>
    <w:rsid w:val="006231DE"/>
    <w:rsid w:val="00644386"/>
    <w:rsid w:val="0069225A"/>
    <w:rsid w:val="006B17A2"/>
    <w:rsid w:val="007740B3"/>
    <w:rsid w:val="007A55C1"/>
    <w:rsid w:val="00801006"/>
    <w:rsid w:val="008B4CF8"/>
    <w:rsid w:val="008C1371"/>
    <w:rsid w:val="008E5B2B"/>
    <w:rsid w:val="00904CC2"/>
    <w:rsid w:val="00956FBE"/>
    <w:rsid w:val="00986296"/>
    <w:rsid w:val="009E77A1"/>
    <w:rsid w:val="00A225D4"/>
    <w:rsid w:val="00A306F7"/>
    <w:rsid w:val="00AE3644"/>
    <w:rsid w:val="00BA0960"/>
    <w:rsid w:val="00BB0B4D"/>
    <w:rsid w:val="00BC22A3"/>
    <w:rsid w:val="00BD6CD3"/>
    <w:rsid w:val="00C45A71"/>
    <w:rsid w:val="00C63E92"/>
    <w:rsid w:val="00C8600C"/>
    <w:rsid w:val="00CD68E2"/>
    <w:rsid w:val="00CE1E82"/>
    <w:rsid w:val="00D6432C"/>
    <w:rsid w:val="00DB260F"/>
    <w:rsid w:val="00DC6E4B"/>
    <w:rsid w:val="00DF0488"/>
    <w:rsid w:val="00E1090A"/>
    <w:rsid w:val="00E81402"/>
    <w:rsid w:val="00EE0CEF"/>
    <w:rsid w:val="00F323F8"/>
    <w:rsid w:val="00F52C7E"/>
    <w:rsid w:val="00F85D0E"/>
    <w:rsid w:val="00FC400A"/>
    <w:rsid w:val="344B2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nhideWhenUsed="0"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uiPriority w:val="0"/>
    <w:rPr>
      <w:rFonts w:cs="Times New Roman"/>
      <w:sz w:val="18"/>
      <w:szCs w:val="18"/>
    </w:rPr>
  </w:style>
  <w:style w:type="paragraph" w:styleId="3">
    <w:name w:val="footer"/>
    <w:basedOn w:val="1"/>
    <w:link w:val="10"/>
    <w:uiPriority w:val="99"/>
    <w:pPr>
      <w:tabs>
        <w:tab w:val="center" w:pos="4153"/>
        <w:tab w:val="right" w:pos="8306"/>
      </w:tabs>
      <w:snapToGrid w:val="0"/>
      <w:jc w:val="left"/>
    </w:pPr>
    <w:rPr>
      <w:rFonts w:ascii="Times New Roman" w:hAnsi="Times New Roman" w:cs="Times New Roman"/>
      <w:kern w:val="0"/>
      <w:sz w:val="18"/>
      <w:szCs w:val="18"/>
    </w:rPr>
  </w:style>
  <w:style w:type="paragraph" w:styleId="4">
    <w:name w:val="header"/>
    <w:basedOn w:val="1"/>
    <w:link w:val="12"/>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character" w:styleId="7">
    <w:name w:val="FollowedHyperlink"/>
    <w:semiHidden/>
    <w:uiPriority w:val="99"/>
    <w:rPr>
      <w:color w:val="800080"/>
      <w:u w:val="single"/>
    </w:rPr>
  </w:style>
  <w:style w:type="character" w:styleId="8">
    <w:name w:val="Hyperlink"/>
    <w:semiHidden/>
    <w:uiPriority w:val="99"/>
    <w:rPr>
      <w:color w:val="0000FF"/>
      <w:u w:val="single"/>
    </w:rPr>
  </w:style>
  <w:style w:type="character" w:customStyle="1" w:styleId="9">
    <w:name w:val="页脚 Char"/>
    <w:basedOn w:val="6"/>
    <w:semiHidden/>
    <w:uiPriority w:val="99"/>
    <w:rPr>
      <w:rFonts w:ascii="Calibri" w:hAnsi="Calibri" w:eastAsia="宋体" w:cs="Calibri"/>
      <w:sz w:val="18"/>
      <w:szCs w:val="18"/>
    </w:rPr>
  </w:style>
  <w:style w:type="character" w:customStyle="1" w:styleId="10">
    <w:name w:val="页脚 Char1"/>
    <w:link w:val="3"/>
    <w:locked/>
    <w:uiPriority w:val="99"/>
    <w:rPr>
      <w:rFonts w:ascii="Times New Roman" w:hAnsi="Times New Roman" w:eastAsia="宋体" w:cs="Times New Roman"/>
      <w:kern w:val="0"/>
      <w:sz w:val="18"/>
      <w:szCs w:val="18"/>
    </w:rPr>
  </w:style>
  <w:style w:type="character" w:customStyle="1" w:styleId="11">
    <w:name w:val="页眉 Char"/>
    <w:basedOn w:val="6"/>
    <w:semiHidden/>
    <w:uiPriority w:val="99"/>
    <w:rPr>
      <w:rFonts w:ascii="Calibri" w:hAnsi="Calibri" w:eastAsia="宋体" w:cs="Calibri"/>
      <w:sz w:val="18"/>
      <w:szCs w:val="18"/>
    </w:rPr>
  </w:style>
  <w:style w:type="character" w:customStyle="1" w:styleId="12">
    <w:name w:val="页眉 Char1"/>
    <w:link w:val="4"/>
    <w:locked/>
    <w:uiPriority w:val="99"/>
    <w:rPr>
      <w:rFonts w:ascii="Times New Roman" w:hAnsi="Times New Roman" w:eastAsia="宋体" w:cs="Times New Roman"/>
      <w:kern w:val="0"/>
      <w:sz w:val="18"/>
      <w:szCs w:val="18"/>
    </w:rPr>
  </w:style>
  <w:style w:type="character" w:customStyle="1" w:styleId="13">
    <w:name w:val="apple-converted-space"/>
    <w:basedOn w:val="6"/>
    <w:uiPriority w:val="99"/>
  </w:style>
  <w:style w:type="character" w:customStyle="1" w:styleId="14">
    <w:name w:val="批注框文本 Char"/>
    <w:basedOn w:val="6"/>
    <w:semiHidden/>
    <w:uiPriority w:val="99"/>
    <w:rPr>
      <w:rFonts w:ascii="Calibri" w:hAnsi="Calibri" w:eastAsia="宋体" w:cs="Calibri"/>
      <w:sz w:val="18"/>
      <w:szCs w:val="18"/>
    </w:rPr>
  </w:style>
  <w:style w:type="character" w:customStyle="1" w:styleId="15">
    <w:name w:val="批注框文本 Char1"/>
    <w:link w:val="2"/>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1169</Words>
  <Characters>1269</Characters>
  <Lines>9</Lines>
  <Paragraphs>2</Paragraphs>
  <TotalTime>90</TotalTime>
  <ScaleCrop>false</ScaleCrop>
  <LinksUpToDate>false</LinksUpToDate>
  <CharactersWithSpaces>1273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2018-09-18T01:13:00Z</dcterms:created>
  <dc:creator>闻吉</dc:creator>
  <cp:lastModifiedBy>Administrator</cp:lastModifiedBy>
  <cp:lastPrinted>2022-05-25T08:36:02Z</cp:lastPrinted>
  <dcterms:modified xsi:type="dcterms:W3CDTF">2022-05-25T08:38:08Z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6EDA0B3264B345969E2ABC34BAF51D7C</vt:lpwstr>
  </property>
</Properties>
</file>