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rPr>
          <w:b/>
          <w:bCs/>
          <w:sz w:val="36"/>
          <w:szCs w:val="36"/>
        </w:rPr>
      </w:pPr>
    </w:p>
    <w:p>
      <w:pPr>
        <w:jc w:val="center"/>
        <w:rPr>
          <w:b/>
          <w:bCs/>
          <w:sz w:val="36"/>
          <w:szCs w:val="36"/>
        </w:rPr>
      </w:pPr>
      <w:r>
        <w:rPr>
          <w:rFonts w:hint="eastAsia"/>
          <w:b/>
          <w:bCs/>
          <w:sz w:val="36"/>
          <w:szCs w:val="36"/>
        </w:rPr>
        <w:t>衡南县部门整体支出绩效自评报告</w:t>
      </w:r>
    </w:p>
    <w:p>
      <w:pPr>
        <w:jc w:val="center"/>
        <w:rPr>
          <w:b/>
          <w:bCs/>
          <w:sz w:val="36"/>
          <w:szCs w:val="36"/>
        </w:rPr>
      </w:pPr>
    </w:p>
    <w:p>
      <w:pPr>
        <w:jc w:val="center"/>
        <w:rPr>
          <w:b/>
          <w:bCs/>
          <w:sz w:val="36"/>
          <w:szCs w:val="36"/>
        </w:rPr>
      </w:pPr>
      <w:r>
        <w:rPr>
          <w:rFonts w:hint="eastAsia"/>
          <w:b/>
          <w:bCs/>
          <w:sz w:val="36"/>
          <w:szCs w:val="36"/>
        </w:rPr>
        <w:t>（ 2</w:t>
      </w:r>
      <w:r>
        <w:rPr>
          <w:b/>
          <w:bCs/>
          <w:sz w:val="36"/>
          <w:szCs w:val="36"/>
        </w:rPr>
        <w:t>02</w:t>
      </w:r>
      <w:r>
        <w:rPr>
          <w:rFonts w:hint="eastAsia"/>
          <w:b/>
          <w:bCs/>
          <w:sz w:val="36"/>
          <w:szCs w:val="36"/>
        </w:rPr>
        <w:t>1年度 ）</w:t>
      </w:r>
    </w:p>
    <w:p>
      <w:pPr>
        <w:jc w:val="center"/>
        <w:rPr>
          <w:b/>
          <w:bCs/>
          <w:sz w:val="36"/>
          <w:szCs w:val="36"/>
        </w:rPr>
      </w:pPr>
    </w:p>
    <w:p>
      <w:pPr>
        <w:ind w:firstLineChars="200" w:firstLine="640"/>
        <w:rPr>
          <w:rFonts w:ascii="宋体"/>
          <w:sz w:val="32"/>
          <w:szCs w:val="32"/>
        </w:rPr>
      </w:pPr>
      <w:r>
        <w:rPr>
          <w:rFonts w:ascii="宋体" w:hint="eastAsia"/>
          <w:sz w:val="32"/>
          <w:szCs w:val="32"/>
        </w:rPr>
        <w:t xml:space="preserve">部门(单位)名称：衡南县近尾洲镇人民政府             </w:t>
      </w:r>
    </w:p>
    <w:p>
      <w:pPr>
        <w:ind w:firstLineChars="200" w:firstLine="640"/>
        <w:rPr>
          <w:rFonts w:ascii="宋体"/>
          <w:sz w:val="32"/>
          <w:szCs w:val="32"/>
        </w:rPr>
      </w:pPr>
      <w:r>
        <w:rPr>
          <w:rFonts w:ascii="宋体" w:hint="eastAsia"/>
          <w:sz w:val="32"/>
          <w:szCs w:val="32"/>
        </w:rPr>
        <w:t>预算编码：</w:t>
      </w:r>
      <w:r>
        <w:rPr>
          <w:rFonts w:ascii="宋体"/>
          <w:sz w:val="32"/>
          <w:szCs w:val="32"/>
        </w:rPr>
        <w:t>914001</w:t>
      </w:r>
      <w:r>
        <w:rPr>
          <w:rFonts w:ascii="宋体" w:hint="eastAsia"/>
          <w:sz w:val="32"/>
          <w:szCs w:val="32"/>
        </w:rPr>
        <w:t xml:space="preserve">                    </w:t>
      </w:r>
    </w:p>
    <w:p>
      <w:pPr>
        <w:ind w:firstLineChars="200" w:firstLine="640"/>
        <w:rPr>
          <w:rFonts w:ascii="宋体"/>
          <w:sz w:val="32"/>
          <w:szCs w:val="32"/>
        </w:rPr>
      </w:pPr>
      <w:r>
        <w:rPr>
          <w:rFonts w:ascii="宋体" w:hint="eastAsia"/>
          <w:sz w:val="32"/>
          <w:szCs w:val="32"/>
        </w:rPr>
        <w:t xml:space="preserve">评价方式：部门（单位）自评☑  </w:t>
      </w:r>
    </w:p>
    <w:p>
      <w:pPr>
        <w:ind w:firstLineChars="700" w:firstLine="2240"/>
        <w:rPr>
          <w:rFonts w:ascii="宋体"/>
          <w:sz w:val="32"/>
          <w:szCs w:val="32"/>
        </w:rPr>
      </w:pPr>
      <w:r>
        <w:rPr>
          <w:rFonts w:ascii="宋体" w:hint="eastAsia"/>
          <w:sz w:val="32"/>
          <w:szCs w:val="32"/>
        </w:rPr>
        <w:t>中介机构评价□</w:t>
      </w:r>
    </w:p>
    <w:p>
      <w:pPr>
        <w:ind w:firstLineChars="200" w:firstLine="640"/>
        <w:rPr>
          <w:rFonts w:ascii="宋体"/>
          <w:sz w:val="32"/>
          <w:szCs w:val="32"/>
        </w:rPr>
      </w:pPr>
      <w:r>
        <w:rPr>
          <w:rFonts w:ascii="宋体" w:hint="eastAsia"/>
          <w:sz w:val="32"/>
          <w:szCs w:val="32"/>
        </w:rPr>
        <w:t>评价机构：部门（单位）评价组☑</w:t>
      </w:r>
    </w:p>
    <w:p>
      <w:pPr>
        <w:ind w:firstLineChars="700" w:firstLine="2240"/>
        <w:rPr>
          <w:rFonts w:ascii="宋体"/>
          <w:sz w:val="32"/>
          <w:szCs w:val="32"/>
        </w:rPr>
      </w:pPr>
      <w:r>
        <w:rPr>
          <w:rFonts w:ascii="宋体" w:hint="eastAsia"/>
          <w:sz w:val="32"/>
          <w:szCs w:val="32"/>
        </w:rPr>
        <w:t>中介机构□</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jc w:val="center"/>
        <w:rPr>
          <w:rFonts w:ascii="宋体"/>
          <w:sz w:val="32"/>
          <w:szCs w:val="32"/>
        </w:rPr>
      </w:pPr>
      <w:r>
        <w:rPr>
          <w:rFonts w:ascii="宋体" w:hint="eastAsia"/>
          <w:sz w:val="32"/>
          <w:szCs w:val="32"/>
        </w:rPr>
        <w:t>报告日期：   202</w:t>
      </w:r>
      <w:r>
        <w:rPr>
          <w:rFonts w:ascii="宋体"/>
          <w:sz w:val="32"/>
          <w:szCs w:val="32"/>
        </w:rPr>
        <w:t>2</w:t>
      </w:r>
      <w:r>
        <w:rPr>
          <w:rFonts w:ascii="宋体" w:hint="eastAsia"/>
          <w:sz w:val="32"/>
          <w:szCs w:val="32"/>
        </w:rPr>
        <w:t xml:space="preserve">  年 0</w:t>
      </w:r>
      <w:r>
        <w:rPr>
          <w:rFonts w:ascii="宋体"/>
          <w:sz w:val="32"/>
          <w:szCs w:val="32"/>
        </w:rPr>
        <w:t>4</w:t>
      </w:r>
      <w:r>
        <w:rPr>
          <w:rFonts w:ascii="宋体" w:hint="eastAsia"/>
          <w:sz w:val="32"/>
          <w:szCs w:val="32"/>
        </w:rPr>
        <w:t xml:space="preserve"> 月 </w:t>
      </w:r>
      <w:r>
        <w:rPr>
          <w:rFonts w:ascii="宋体"/>
          <w:sz w:val="32"/>
          <w:szCs w:val="32"/>
        </w:rPr>
        <w:t>25</w:t>
      </w:r>
      <w:r>
        <w:rPr>
          <w:rFonts w:ascii="宋体" w:hint="eastAsia"/>
          <w:sz w:val="32"/>
          <w:szCs w:val="32"/>
        </w:rPr>
        <w:t>日</w:t>
      </w:r>
    </w:p>
    <w:p/>
    <w:p/>
    <w:p/>
    <w:p/>
    <w:p>
      <w:pPr>
        <w:jc w:val="center"/>
        <w:rPr>
          <w:b/>
          <w:bCs/>
          <w:sz w:val="36"/>
          <w:szCs w:val="36"/>
        </w:rPr>
      </w:pPr>
    </w:p>
    <w:p>
      <w:pPr>
        <w:jc w:val="center"/>
        <w:rPr>
          <w:b/>
          <w:bCs/>
          <w:sz w:val="36"/>
          <w:szCs w:val="36"/>
        </w:rPr>
      </w:pPr>
    </w:p>
    <w:p>
      <w:pPr>
        <w:jc w:val="center"/>
        <w:rPr>
          <w:b/>
          <w:bCs/>
          <w:sz w:val="36"/>
          <w:szCs w:val="36"/>
        </w:rPr>
      </w:pPr>
    </w:p>
    <w:p>
      <w:pPr>
        <w:jc w:val="center"/>
        <w:rPr>
          <w:rFonts w:cs="Times New Roman"/>
          <w:b/>
          <w:bCs/>
          <w:sz w:val="36"/>
          <w:szCs w:val="36"/>
        </w:rPr>
      </w:pPr>
      <w:r>
        <w:rPr>
          <w:rFonts w:hint="eastAsia"/>
          <w:b/>
          <w:bCs/>
          <w:sz w:val="36"/>
          <w:szCs w:val="36"/>
        </w:rPr>
        <w:t>近尾洲镇人民政府</w:t>
      </w:r>
    </w:p>
    <w:p>
      <w:pPr>
        <w:jc w:val="center"/>
        <w:rPr>
          <w:rFonts w:cs="Times New Roman"/>
          <w:b/>
          <w:bCs/>
          <w:sz w:val="36"/>
          <w:szCs w:val="36"/>
        </w:rPr>
      </w:pPr>
      <w:r>
        <w:rPr>
          <w:rFonts w:hint="eastAsia"/>
          <w:b/>
          <w:bCs/>
          <w:sz w:val="36"/>
          <w:szCs w:val="36"/>
        </w:rPr>
        <w:t>部门整体支出绩效自评报告</w:t>
      </w:r>
    </w:p>
    <w:p>
      <w:pPr>
        <w:spacing w:line="560" w:lineRule="exact"/>
        <w:ind w:firstLineChars="200" w:firstLine="600"/>
        <w:rPr>
          <w:rFonts w:ascii="宋体"/>
          <w:sz w:val="30"/>
          <w:szCs w:val="30"/>
        </w:rPr>
      </w:pPr>
      <w:r>
        <w:rPr>
          <w:rFonts w:ascii="宋体" w:hint="eastAsia"/>
          <w:sz w:val="30"/>
          <w:szCs w:val="30"/>
        </w:rPr>
        <w:t xml:space="preserve">为加强财政预算资金管理，进一步规范预算资金使用，提高财政资金使用效益，根据《衡南县财政局关于开展2021年度财政资金绩效自评工作的通知》要求，我单位积极组织力量对2021年度本单位整体支出进行了绩效自评，现将具体绩效评价情况报告如下：           </w:t>
      </w:r>
    </w:p>
    <w:p>
      <w:pPr>
        <w:numPr>
          <w:ilvl w:val="0"/>
          <w:numId w:val="1"/>
        </w:numPr>
        <w:spacing w:line="560" w:lineRule="exact"/>
        <w:ind w:left="0" w:firstLineChars="200" w:firstLine="600"/>
        <w:rPr>
          <w:rFonts w:ascii="宋体"/>
          <w:b/>
          <w:sz w:val="30"/>
          <w:szCs w:val="30"/>
        </w:rPr>
      </w:pPr>
      <w:r>
        <w:rPr>
          <w:rFonts w:ascii="宋体" w:hint="eastAsia"/>
          <w:b/>
          <w:sz w:val="30"/>
          <w:szCs w:val="30"/>
        </w:rPr>
        <w:t>基本情况</w:t>
      </w:r>
    </w:p>
    <w:p>
      <w:pPr>
        <w:spacing w:line="560" w:lineRule="exact"/>
        <w:rPr>
          <w:rFonts w:ascii="宋体"/>
          <w:sz w:val="30"/>
          <w:szCs w:val="30"/>
        </w:rPr>
      </w:pPr>
      <w:r>
        <w:rPr>
          <w:rFonts w:ascii="宋体" w:hint="eastAsia"/>
          <w:sz w:val="30"/>
          <w:szCs w:val="30"/>
        </w:rPr>
        <w:t xml:space="preserve">    近尾洲镇人民政府为全额财政拨款单位，纳入财政会计集中核算和国库集中支付体系，财务制度执行《行政单位会计制度》。 </w:t>
      </w:r>
    </w:p>
    <w:p>
      <w:pPr>
        <w:spacing w:line="560" w:lineRule="exact"/>
        <w:ind w:firstLineChars="200" w:firstLine="600"/>
        <w:rPr>
          <w:rFonts w:ascii="宋体"/>
          <w:sz w:val="30"/>
          <w:szCs w:val="30"/>
        </w:rPr>
      </w:pPr>
      <w:r>
        <w:rPr>
          <w:rFonts w:ascii="宋体" w:hint="eastAsia"/>
          <w:sz w:val="30"/>
          <w:szCs w:val="30"/>
        </w:rPr>
        <w:t>（一）部门职责</w:t>
      </w:r>
    </w:p>
    <w:p>
      <w:pPr>
        <w:widowControl/>
        <w:rPr>
          <w:rFonts w:ascii="宋体" w:hint="eastAsia"/>
          <w:color w:val="000000"/>
          <w:kern w:val="0"/>
          <w:sz w:val="30"/>
          <w:szCs w:val="30"/>
        </w:rPr>
      </w:pPr>
      <w:r>
        <w:rPr>
          <w:rFonts w:ascii="宋体" w:hint="eastAsia"/>
          <w:color w:val="000000"/>
          <w:kern w:val="0"/>
          <w:sz w:val="30"/>
          <w:szCs w:val="30"/>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br/>
        <w:t>（2）制定并组织实施村镇建设规划，部署重点工程建设，地方道路建设及公共设施，水利设施的管理，负责土地、林木、水等自然资源和生态环境的保护，做好护林防火工作。</w:t>
        <w:br/>
        <w:t>（3）负责本行政区域内的党建、扶贫、民政、安全生产、教育、卫生、计划生育、文体等社会公益事业的综合性工作，维护一切经济单位和个人的正当经济权益，取缔非法经济活动，调解和处理民事纠纷，打击刑事犯罪，维护社会稳定。</w:t>
        <w:br/>
        <w:t>（4）按计划组织本级财政收入和地方税的征收，完成国家财政计划，不断培植税源，管好财政资金，增强财政实力。</w:t>
        <w:br/>
        <w:t>（5）抓好精神文明建设，丰富群众文化生活，提倡移风易俗，反对封建迷信，破除陈规陋习，树立社会主义新风尚。</w:t>
        <w:br/>
        <w:t>（6）完成上级政府交办的其它事项。</w:t>
      </w:r>
    </w:p>
    <w:p>
      <w:pPr>
        <w:widowControl/>
        <w:ind w:firstLineChars="200" w:firstLine="600"/>
        <w:rPr>
          <w:rFonts w:ascii="宋体" w:hint="eastAsia"/>
          <w:color w:val="000000"/>
          <w:kern w:val="0"/>
          <w:sz w:val="30"/>
          <w:szCs w:val="30"/>
        </w:rPr>
      </w:pPr>
      <w:r>
        <w:rPr>
          <w:rFonts w:ascii="宋体" w:hint="eastAsia"/>
          <w:color w:val="000000"/>
          <w:kern w:val="0"/>
          <w:sz w:val="30"/>
          <w:szCs w:val="30"/>
        </w:rPr>
        <w:t>（二）机构设置情况</w:t>
      </w:r>
    </w:p>
    <w:p>
      <w:pPr>
        <w:widowControl/>
        <w:ind w:firstLineChars="200" w:firstLine="600"/>
        <w:rPr>
          <w:rFonts w:ascii="宋体"/>
          <w:color w:val="000000"/>
          <w:kern w:val="0"/>
          <w:sz w:val="30"/>
          <w:szCs w:val="30"/>
        </w:rPr>
      </w:pPr>
      <w:r>
        <w:rPr>
          <w:rFonts w:ascii="宋体" w:hint="eastAsia"/>
          <w:color w:val="000000"/>
          <w:kern w:val="0"/>
          <w:sz w:val="30"/>
          <w:szCs w:val="30"/>
        </w:rPr>
        <w:t>根据《中共衡南县委办公室衡南县人民政府办公室关于印发&lt;衡南县深化乡镇机构改革实施方案&gt;的通知》（清办发〔2019〕5号），近尾洲镇设立6个党政机构，3个事业中心，1个退役军人站和1个执法大队。</w:t>
      </w:r>
    </w:p>
    <w:p>
      <w:pPr>
        <w:widowControl/>
        <w:ind w:firstLineChars="200" w:firstLine="600"/>
        <w:rPr>
          <w:rFonts w:ascii="宋体"/>
          <w:color w:val="000000"/>
          <w:kern w:val="0"/>
          <w:sz w:val="30"/>
          <w:szCs w:val="30"/>
        </w:rPr>
      </w:pPr>
      <w:r>
        <w:rPr>
          <w:rFonts w:ascii="宋体" w:hint="eastAsia"/>
          <w:color w:val="000000"/>
          <w:kern w:val="0"/>
          <w:sz w:val="30"/>
          <w:szCs w:val="30"/>
        </w:rPr>
        <w:t>6个党政机构：</w:t>
      </w:r>
    </w:p>
    <w:p>
      <w:pPr>
        <w:widowControl/>
        <w:ind w:firstLineChars="200" w:firstLine="600"/>
        <w:rPr>
          <w:rFonts w:ascii="宋体"/>
          <w:color w:val="000000"/>
          <w:kern w:val="0"/>
          <w:sz w:val="30"/>
          <w:szCs w:val="30"/>
        </w:rPr>
      </w:pPr>
      <w:r>
        <w:rPr>
          <w:rFonts w:ascii="宋体" w:hint="eastAsia"/>
          <w:color w:val="000000"/>
          <w:kern w:val="0"/>
          <w:sz w:val="30"/>
          <w:szCs w:val="30"/>
        </w:rPr>
        <w:t>（1）党政综合办公室。承担党委、政府日常事务，负责基层宣传工作、统战工作。负责综合协调、统计报表、督查考核、文秘信息、保密档案、重要会务及机关行政后勤管理等工作。</w:t>
      </w:r>
    </w:p>
    <w:p>
      <w:pPr>
        <w:widowControl/>
        <w:ind w:firstLineChars="200" w:firstLine="600"/>
        <w:rPr>
          <w:rFonts w:ascii="宋体"/>
          <w:color w:val="000000"/>
          <w:kern w:val="0"/>
          <w:sz w:val="30"/>
          <w:szCs w:val="30"/>
        </w:rPr>
      </w:pPr>
      <w:r>
        <w:rPr>
          <w:rFonts w:ascii="宋体" w:hint="eastAsia"/>
          <w:color w:val="000000"/>
          <w:kern w:val="0"/>
          <w:sz w:val="30"/>
          <w:szCs w:val="30"/>
        </w:rPr>
        <w:t>（2）经济发展办公室（农业农村和扶贫工作办公室）。负责制定经济社会发展规划。负责产业发展、公共基础设施和市政基础设施建设、商贸流通和农作物经济、水利建设与管理、扶贫开发、动物防疫及乡村振兴等工作。承担市场监管有关方面的指导协调职责。</w:t>
      </w:r>
    </w:p>
    <w:p>
      <w:pPr>
        <w:widowControl/>
        <w:ind w:firstLineChars="200" w:firstLine="600"/>
        <w:rPr>
          <w:rFonts w:ascii="宋体" w:hint="eastAsia"/>
          <w:color w:val="000000"/>
          <w:kern w:val="0"/>
          <w:sz w:val="30"/>
          <w:szCs w:val="30"/>
        </w:rPr>
      </w:pPr>
      <w:r>
        <w:rPr>
          <w:rFonts w:ascii="宋体" w:hint="eastAsia"/>
          <w:color w:val="000000"/>
          <w:kern w:val="0"/>
          <w:sz w:val="30"/>
          <w:szCs w:val="30"/>
        </w:rPr>
        <w:t>（3）社会事务办公室。负责民政、社会保障、文体旅游、科技教育、卫生健康、民族宗教、退役军人等社会事务管理工作。</w:t>
      </w:r>
    </w:p>
    <w:p>
      <w:pPr>
        <w:widowControl/>
        <w:ind w:firstLineChars="200" w:firstLine="600"/>
        <w:rPr>
          <w:rFonts w:ascii="宋体"/>
          <w:color w:val="000000"/>
          <w:kern w:val="0"/>
          <w:sz w:val="30"/>
          <w:szCs w:val="30"/>
        </w:rPr>
      </w:pPr>
    </w:p>
    <w:p>
      <w:pPr>
        <w:widowControl/>
        <w:ind w:firstLineChars="200" w:firstLine="600"/>
        <w:rPr>
          <w:rFonts w:ascii="宋体"/>
          <w:color w:val="000000"/>
          <w:kern w:val="0"/>
          <w:sz w:val="30"/>
          <w:szCs w:val="30"/>
        </w:rPr>
      </w:pPr>
      <w:r>
        <w:rPr>
          <w:rFonts w:ascii="宋体" w:hint="eastAsia"/>
          <w:color w:val="000000"/>
          <w:kern w:val="0"/>
          <w:sz w:val="30"/>
          <w:szCs w:val="30"/>
        </w:rPr>
        <w:t>（4）自然资源和生态环境办公室（村镇建设管理办公室）。负责编制实施村镇规划，负责国土资源管理、林政管理、造林绿化、生态环境保护等工作，组织协调环境污染事故与生态破坏事件查处。</w:t>
      </w:r>
    </w:p>
    <w:p>
      <w:pPr>
        <w:widowControl/>
        <w:ind w:firstLineChars="200" w:firstLine="600"/>
        <w:rPr>
          <w:rFonts w:ascii="宋体"/>
          <w:color w:val="000000"/>
          <w:kern w:val="0"/>
          <w:sz w:val="30"/>
          <w:szCs w:val="30"/>
        </w:rPr>
      </w:pPr>
      <w:r>
        <w:rPr>
          <w:rFonts w:ascii="宋体" w:hint="eastAsia"/>
          <w:color w:val="000000"/>
          <w:kern w:val="0"/>
          <w:sz w:val="30"/>
          <w:szCs w:val="30"/>
        </w:rPr>
        <w:t>（5）社会治安综合治理和应急管理办公室。负责社会治安综合治理、信访维稳等工作，指导协调民事纠纷调解处理和社区矫正工作；负责安全生产监管、防汛抗旱、减灾、抗震救灾、森林防火等工作。</w:t>
      </w:r>
    </w:p>
    <w:p>
      <w:pPr>
        <w:widowControl/>
        <w:ind w:firstLineChars="200" w:firstLine="600"/>
        <w:rPr>
          <w:rFonts w:ascii="宋体"/>
          <w:color w:val="000000"/>
          <w:kern w:val="0"/>
          <w:sz w:val="30"/>
          <w:szCs w:val="30"/>
        </w:rPr>
      </w:pPr>
      <w:r>
        <w:rPr>
          <w:rFonts w:ascii="宋体" w:hint="eastAsia"/>
          <w:color w:val="000000"/>
          <w:kern w:val="0"/>
          <w:sz w:val="30"/>
          <w:szCs w:val="30"/>
        </w:rPr>
        <w:t>（6）基层党建工作办公室。负责基层党建工作的组织推动、业务指导、督促落实和综合协调等工作。负责基层党组织设置和党员队伍的教育管理，指导村（社区）加强党组织阵地建设。负责基层党的代表大会，选举党代表及党代表日常管理服务工作。负责村（社区）干部队伍和后备干部队伍建设，指导村（社区）开展“两委”换届选举工作。负责基层党风廉政建设，督促落实以党建促脱贫攻坚、乡村振兴等工作。</w:t>
      </w:r>
    </w:p>
    <w:p>
      <w:pPr>
        <w:widowControl/>
        <w:ind w:firstLineChars="200" w:firstLine="600"/>
        <w:rPr>
          <w:rFonts w:ascii="宋体"/>
          <w:color w:val="000000"/>
          <w:kern w:val="0"/>
          <w:sz w:val="30"/>
          <w:szCs w:val="30"/>
        </w:rPr>
      </w:pPr>
      <w:r>
        <w:rPr>
          <w:rFonts w:ascii="宋体" w:hint="eastAsia"/>
          <w:color w:val="000000"/>
          <w:kern w:val="0"/>
          <w:sz w:val="30"/>
          <w:szCs w:val="30"/>
        </w:rPr>
        <w:t>3个事业单位：</w:t>
      </w:r>
    </w:p>
    <w:p>
      <w:pPr>
        <w:widowControl/>
        <w:ind w:firstLineChars="200" w:firstLine="600"/>
        <w:rPr>
          <w:rFonts w:ascii="宋体"/>
          <w:color w:val="000000"/>
          <w:kern w:val="0"/>
          <w:sz w:val="30"/>
          <w:szCs w:val="30"/>
        </w:rPr>
      </w:pPr>
      <w:r>
        <w:rPr>
          <w:rFonts w:ascii="宋体" w:hint="eastAsia"/>
          <w:color w:val="000000"/>
          <w:kern w:val="0"/>
          <w:sz w:val="30"/>
          <w:szCs w:val="30"/>
        </w:rPr>
        <w:t>（1）社会事业综合服务中心（文化综合服务站、退役军人服务站）。为正股级，核定全额拨款事业编制10名，设主任1名，副主任1名。主要工作任务：负责建设规划、国土资源、扶贫、劳动就业、劳动争议、卫生健康、老龄、体育、文化、退役军人、征兵、法律援助、残疾人、城乡居民基本养老、社会保障、医疗保障、工伤失业保障、最低生活保障、市场服务等公益性事务服务工作；负责重点项目招商引资等公益性事务服务工作，协调有关方面做好重点项目实施后的配套服务和政策落实工作。</w:t>
      </w:r>
    </w:p>
    <w:p>
      <w:pPr>
        <w:widowControl/>
        <w:ind w:firstLineChars="200" w:firstLine="600"/>
        <w:rPr>
          <w:rFonts w:ascii="宋体"/>
          <w:color w:val="000000"/>
          <w:kern w:val="0"/>
          <w:sz w:val="30"/>
          <w:szCs w:val="30"/>
        </w:rPr>
      </w:pPr>
      <w:r>
        <w:rPr>
          <w:rFonts w:ascii="宋体" w:hint="eastAsia"/>
          <w:color w:val="000000"/>
          <w:kern w:val="0"/>
          <w:sz w:val="30"/>
          <w:szCs w:val="30"/>
        </w:rPr>
        <w:t>（2）农业综合服务中心。为正股级，核定全额拨款事业编制15名，设主任1名，副主任2名。主要工作任务：负责农业、农业机械、畜牧水产、林业、农村经营、水利、库区移民、烟叶生产等公益性事务服务工作；培育、推进特色优势产业开发；组织农民培训，提高农民发展经济的技能，指导农民专业合作社建设、农业产业化经营等工作。</w:t>
      </w:r>
    </w:p>
    <w:p>
      <w:pPr>
        <w:widowControl/>
        <w:ind w:firstLineChars="200" w:firstLine="600"/>
        <w:rPr>
          <w:rFonts w:ascii="宋体"/>
          <w:color w:val="000000"/>
          <w:kern w:val="0"/>
          <w:sz w:val="30"/>
          <w:szCs w:val="30"/>
        </w:rPr>
      </w:pPr>
      <w:r>
        <w:rPr>
          <w:rFonts w:ascii="宋体" w:hint="eastAsia"/>
          <w:color w:val="000000"/>
          <w:kern w:val="0"/>
          <w:sz w:val="30"/>
          <w:szCs w:val="30"/>
        </w:rPr>
        <w:t>（3）政务服务中心。为正股级，核定全额拨款事业编制6名，设主任1名，副主任1名。</w:t>
      </w:r>
    </w:p>
    <w:p>
      <w:pPr>
        <w:widowControl/>
        <w:ind w:firstLineChars="200" w:firstLine="600"/>
        <w:rPr>
          <w:rFonts w:ascii="宋体"/>
          <w:color w:val="000000"/>
          <w:kern w:val="0"/>
          <w:sz w:val="30"/>
          <w:szCs w:val="30"/>
        </w:rPr>
      </w:pPr>
      <w:r>
        <w:rPr>
          <w:rFonts w:ascii="宋体" w:hint="eastAsia"/>
          <w:color w:val="000000"/>
          <w:kern w:val="0"/>
          <w:sz w:val="30"/>
          <w:szCs w:val="30"/>
        </w:rPr>
        <w:t>主要工作任务：负责乡镇政府及县直部门下放或委托的相关政务服务工作；负责网格化综合管理的事务性、辅助性服务工作；协调乡镇派驻机构设立服务窗口工作。</w:t>
      </w:r>
    </w:p>
    <w:p>
      <w:pPr>
        <w:widowControl/>
        <w:ind w:firstLineChars="200" w:firstLine="600"/>
        <w:rPr>
          <w:rFonts w:ascii="宋体"/>
          <w:color w:val="000000"/>
          <w:kern w:val="0"/>
          <w:sz w:val="30"/>
          <w:szCs w:val="30"/>
        </w:rPr>
      </w:pPr>
      <w:r>
        <w:rPr>
          <w:rFonts w:ascii="宋体" w:hint="eastAsia"/>
          <w:color w:val="000000"/>
          <w:kern w:val="0"/>
          <w:sz w:val="30"/>
          <w:szCs w:val="30"/>
        </w:rPr>
        <w:t>1个退役军人服务站：</w:t>
      </w:r>
    </w:p>
    <w:p>
      <w:pPr>
        <w:widowControl/>
        <w:ind w:firstLineChars="200" w:firstLine="600"/>
        <w:rPr>
          <w:rFonts w:ascii="宋体"/>
          <w:color w:val="000000"/>
          <w:kern w:val="0"/>
          <w:sz w:val="30"/>
          <w:szCs w:val="30"/>
        </w:rPr>
      </w:pPr>
      <w:r>
        <w:rPr>
          <w:rFonts w:ascii="宋体" w:hint="eastAsia"/>
          <w:color w:val="000000"/>
          <w:kern w:val="0"/>
          <w:sz w:val="30"/>
          <w:szCs w:val="30"/>
        </w:rPr>
        <w:t>退役军人服务站。为正股级，设站长1名。主要负责做好辖区内退役军人的关系转接、联络接待、困难帮扶、信息采集、情况反映等具体事务工作。</w:t>
      </w:r>
    </w:p>
    <w:p>
      <w:pPr>
        <w:widowControl/>
        <w:ind w:firstLineChars="200" w:firstLine="600"/>
        <w:rPr>
          <w:rFonts w:ascii="宋体"/>
          <w:color w:val="000000"/>
          <w:kern w:val="0"/>
          <w:sz w:val="30"/>
          <w:szCs w:val="30"/>
        </w:rPr>
      </w:pPr>
      <w:r>
        <w:rPr>
          <w:rFonts w:ascii="宋体" w:hint="eastAsia"/>
          <w:color w:val="000000"/>
          <w:kern w:val="0"/>
          <w:sz w:val="30"/>
          <w:szCs w:val="30"/>
        </w:rPr>
        <w:t>1个执法大队：</w:t>
      </w:r>
    </w:p>
    <w:p>
      <w:pPr>
        <w:widowControl/>
        <w:ind w:firstLineChars="200" w:firstLine="600"/>
        <w:rPr>
          <w:rFonts w:ascii="宋体" w:hint="eastAsia"/>
          <w:color w:val="000000"/>
          <w:kern w:val="0"/>
          <w:sz w:val="30"/>
          <w:szCs w:val="30"/>
        </w:rPr>
      </w:pPr>
      <w:r>
        <w:rPr>
          <w:rFonts w:ascii="宋体" w:hint="eastAsia"/>
          <w:color w:val="000000"/>
          <w:kern w:val="0"/>
          <w:sz w:val="30"/>
          <w:szCs w:val="30"/>
        </w:rPr>
        <w:t>综合行政执法大队。为正股级，核定全额拨款事业编制8名，设大队长1名，副大队长1名。整合县直有关部门下放的行政执法事项，以近尾洲镇的名义开启执法工作。</w:t>
      </w:r>
    </w:p>
    <w:p>
      <w:pPr>
        <w:spacing w:line="560" w:lineRule="exact"/>
        <w:ind w:firstLineChars="200" w:firstLine="600"/>
        <w:rPr>
          <w:rFonts w:ascii="宋体"/>
          <w:sz w:val="30"/>
          <w:szCs w:val="30"/>
        </w:rPr>
      </w:pPr>
      <w:r>
        <w:rPr>
          <w:rFonts w:ascii="宋体" w:hint="eastAsia"/>
          <w:sz w:val="30"/>
          <w:szCs w:val="30"/>
        </w:rPr>
        <w:t>（三）人员编制情况</w:t>
      </w:r>
    </w:p>
    <w:p>
      <w:pPr>
        <w:widowControl/>
        <w:rPr>
          <w:rFonts w:ascii="宋体"/>
          <w:color w:val="000000"/>
          <w:kern w:val="0"/>
          <w:sz w:val="30"/>
          <w:szCs w:val="30"/>
        </w:rPr>
      </w:pPr>
      <w:r>
        <w:rPr>
          <w:rFonts w:ascii="宋体" w:hint="eastAsia"/>
          <w:sz w:val="30"/>
          <w:szCs w:val="30"/>
        </w:rPr>
        <w:t xml:space="preserve">    截止2021年底全部实有人员共计73人，其中政府在职行政编23人，全额事业编4人，三中心一站一大队事业编46人。</w:t>
      </w:r>
    </w:p>
    <w:p>
      <w:pPr>
        <w:spacing w:line="560" w:lineRule="exact"/>
        <w:rPr>
          <w:rFonts w:ascii="宋体"/>
          <w:b/>
          <w:bCs/>
          <w:sz w:val="30"/>
          <w:szCs w:val="30"/>
        </w:rPr>
      </w:pPr>
      <w:r>
        <w:rPr>
          <w:rFonts w:ascii="宋体" w:hint="eastAsia"/>
          <w:b/>
          <w:bCs/>
          <w:sz w:val="30"/>
          <w:szCs w:val="30"/>
        </w:rPr>
        <w:t xml:space="preserve">    二、部门整体支出管理及使用情况</w:t>
      </w:r>
    </w:p>
    <w:p>
      <w:pPr>
        <w:widowControl/>
        <w:spacing w:line="560" w:lineRule="exact"/>
        <w:ind w:firstLineChars="200" w:firstLine="600"/>
        <w:jc w:val="left"/>
        <w:rPr>
          <w:rFonts w:ascii="宋体" w:cs="仿宋_GB2312" w:hint="eastAsia"/>
          <w:sz w:val="30"/>
          <w:szCs w:val="30"/>
        </w:rPr>
      </w:pPr>
      <w:r>
        <w:rPr>
          <w:rFonts w:ascii="宋体" w:cs="仿宋_GB2312" w:hint="eastAsia"/>
          <w:sz w:val="30"/>
          <w:szCs w:val="30"/>
        </w:rPr>
        <w:t>(一)、部门预算收支情况</w:t>
      </w:r>
    </w:p>
    <w:p>
      <w:pPr>
        <w:widowControl/>
        <w:spacing w:line="560" w:lineRule="exact"/>
        <w:ind w:firstLineChars="200" w:firstLine="600"/>
        <w:jc w:val="left"/>
        <w:rPr>
          <w:rFonts w:ascii="宋体" w:cs="仿宋_GB2312"/>
          <w:sz w:val="30"/>
          <w:szCs w:val="30"/>
        </w:rPr>
      </w:pPr>
      <w:r>
        <w:rPr>
          <w:rFonts w:ascii="宋体" w:cs="仿宋_GB2312" w:hint="eastAsia"/>
          <w:sz w:val="30"/>
          <w:szCs w:val="30"/>
        </w:rPr>
        <w:t>1、2021年年初一般公共财政预算收入1122.63万元，其中：工资福利支出621.20万元，日常商品和服务支出97.40万元，对个人和家庭的补助25.88万元，项目支出378.15万元。</w:t>
      </w:r>
    </w:p>
    <w:p>
      <w:pPr>
        <w:widowControl/>
        <w:spacing w:line="560" w:lineRule="exact"/>
        <w:ind w:firstLineChars="200" w:firstLine="600"/>
        <w:jc w:val="left"/>
        <w:rPr>
          <w:rFonts w:ascii="宋体" w:cs="仿宋_GB2312" w:hint="eastAsia"/>
          <w:sz w:val="30"/>
          <w:szCs w:val="30"/>
        </w:rPr>
      </w:pPr>
      <w:r>
        <w:rPr>
          <w:rFonts w:ascii="宋体" w:cs="仿宋_GB2312" w:hint="eastAsia"/>
          <w:sz w:val="30"/>
          <w:szCs w:val="30"/>
        </w:rPr>
        <w:t>2、2021年决算收入1061.67万元。其中：工资福利支出716.50万元，商品和服务支出280.65万元，对个人和家庭的补助64.52万元。</w:t>
      </w:r>
    </w:p>
    <w:p>
      <w:pPr>
        <w:widowControl/>
        <w:spacing w:line="560" w:lineRule="exact"/>
        <w:ind w:firstLineChars="200" w:firstLine="600"/>
        <w:jc w:val="left"/>
        <w:rPr>
          <w:rFonts w:ascii="宋体" w:cs="仿宋_GB2312"/>
          <w:sz w:val="30"/>
          <w:szCs w:val="30"/>
        </w:rPr>
      </w:pPr>
      <w:r>
        <w:rPr>
          <w:rFonts w:ascii="宋体" w:cs="仿宋_GB2312" w:hint="eastAsia"/>
          <w:sz w:val="30"/>
          <w:szCs w:val="30"/>
        </w:rPr>
        <w:t>3、政府性基金预算收入0元。</w:t>
      </w:r>
    </w:p>
    <w:p>
      <w:pPr>
        <w:widowControl/>
        <w:spacing w:line="560" w:lineRule="exact"/>
        <w:ind w:firstLineChars="200" w:firstLine="600"/>
        <w:jc w:val="left"/>
        <w:rPr>
          <w:rFonts w:ascii="宋体" w:cs="仿宋_GB2312" w:hint="eastAsia"/>
          <w:sz w:val="30"/>
          <w:szCs w:val="30"/>
        </w:rPr>
      </w:pPr>
      <w:r>
        <w:rPr>
          <w:rFonts w:ascii="宋体" w:cs="仿宋_GB2312"/>
          <w:sz w:val="30"/>
          <w:szCs w:val="30"/>
        </w:rPr>
        <w:t>4、</w:t>
      </w:r>
      <w:r>
        <w:rPr>
          <w:rFonts w:ascii="宋体" w:cs="仿宋_GB2312" w:hint="eastAsia"/>
          <w:sz w:val="30"/>
          <w:szCs w:val="30"/>
        </w:rPr>
        <w:t>202</w:t>
      </w:r>
      <w:r>
        <w:rPr>
          <w:rFonts w:ascii="宋体" w:cs="仿宋_GB2312"/>
          <w:sz w:val="30"/>
          <w:szCs w:val="30"/>
        </w:rPr>
        <w:t>0</w:t>
      </w:r>
      <w:r>
        <w:rPr>
          <w:rFonts w:ascii="宋体" w:cs="仿宋_GB2312" w:hint="eastAsia"/>
          <w:sz w:val="30"/>
          <w:szCs w:val="30"/>
        </w:rPr>
        <w:t>年</w:t>
      </w:r>
      <w:r>
        <w:rPr>
          <w:rFonts w:ascii="宋体" w:cs="仿宋_GB2312"/>
          <w:sz w:val="30"/>
          <w:szCs w:val="30"/>
        </w:rPr>
        <w:t>预算</w:t>
      </w:r>
      <w:bookmarkStart w:id="0" w:name="_GoBack"/>
      <w:bookmarkEnd w:id="0"/>
      <w:r>
        <w:rPr>
          <w:rFonts w:ascii="宋体" w:cs="仿宋_GB2312"/>
          <w:sz w:val="30"/>
          <w:szCs w:val="30"/>
        </w:rPr>
        <w:t>结转194.19</w:t>
      </w:r>
      <w:r>
        <w:rPr>
          <w:rFonts w:ascii="宋体" w:cs="仿宋_GB2312" w:hint="eastAsia"/>
          <w:sz w:val="30"/>
          <w:szCs w:val="30"/>
        </w:rPr>
        <w:t>万元</w:t>
      </w:r>
      <w:r>
        <w:rPr>
          <w:rFonts w:ascii="宋体" w:cs="仿宋_GB2312"/>
          <w:sz w:val="30"/>
          <w:szCs w:val="30"/>
        </w:rPr>
        <w:t>，2021年追加预算218.64万元，我单位2021年度财政拨款总收入1535.45万元，全年总支出1061.67万元，年末结转结余4,41.33万元，另外财政直接支付32.45万元用于职业年金缴费。</w:t>
      </w:r>
    </w:p>
    <w:p>
      <w:pPr>
        <w:widowControl/>
        <w:spacing w:line="560" w:lineRule="exact"/>
        <w:ind w:firstLineChars="150" w:firstLine="450"/>
        <w:jc w:val="left"/>
        <w:rPr>
          <w:rFonts w:ascii="宋体" w:cs="仿宋_GB2312" w:hint="eastAsia"/>
          <w:sz w:val="30"/>
          <w:szCs w:val="30"/>
        </w:rPr>
      </w:pPr>
      <w:r>
        <w:rPr>
          <w:rFonts w:ascii="宋体" w:cs="仿宋_GB2312" w:hint="eastAsia"/>
          <w:sz w:val="30"/>
          <w:szCs w:val="30"/>
        </w:rPr>
        <w:t>（二）、支出分类情况</w:t>
      </w:r>
    </w:p>
    <w:p>
      <w:pPr>
        <w:widowControl/>
        <w:spacing w:line="560" w:lineRule="exact"/>
        <w:ind w:firstLineChars="150" w:firstLine="450"/>
        <w:jc w:val="left"/>
        <w:rPr>
          <w:rFonts w:ascii="宋体" w:cs="仿宋_GB2312"/>
          <w:sz w:val="30"/>
          <w:szCs w:val="30"/>
        </w:rPr>
      </w:pPr>
      <w:r>
        <w:rPr>
          <w:rFonts w:ascii="宋体" w:cs="仿宋_GB2312" w:hint="eastAsia"/>
          <w:sz w:val="30"/>
          <w:szCs w:val="30"/>
        </w:rPr>
        <w:t>202</w:t>
      </w:r>
      <w:r>
        <w:rPr>
          <w:rFonts w:ascii="宋体" w:cs="仿宋_GB2312"/>
          <w:sz w:val="30"/>
          <w:szCs w:val="30"/>
        </w:rPr>
        <w:t>1</w:t>
      </w:r>
      <w:r>
        <w:rPr>
          <w:rFonts w:ascii="宋体" w:cs="仿宋_GB2312" w:hint="eastAsia"/>
          <w:sz w:val="30"/>
          <w:szCs w:val="30"/>
        </w:rPr>
        <w:t>年度财政拨款支出年初预算数为</w:t>
      </w:r>
      <w:r>
        <w:rPr>
          <w:rFonts w:ascii="宋体" w:cs="仿宋_GB2312"/>
          <w:sz w:val="30"/>
          <w:szCs w:val="30"/>
        </w:rPr>
        <w:t>1122.63</w:t>
      </w:r>
      <w:r>
        <w:rPr>
          <w:rFonts w:ascii="宋体" w:cs="仿宋_GB2312" w:hint="eastAsia"/>
          <w:sz w:val="30"/>
          <w:szCs w:val="30"/>
        </w:rPr>
        <w:t>万元，支出决算数为10</w:t>
      </w:r>
      <w:r>
        <w:rPr>
          <w:rFonts w:ascii="宋体" w:cs="仿宋_GB2312"/>
          <w:sz w:val="30"/>
          <w:szCs w:val="30"/>
        </w:rPr>
        <w:t>61.67</w:t>
      </w:r>
      <w:r>
        <w:rPr>
          <w:rFonts w:ascii="宋体" w:cs="仿宋_GB2312" w:hint="eastAsia"/>
          <w:sz w:val="30"/>
          <w:szCs w:val="30"/>
        </w:rPr>
        <w:t>万元，完成年初预算的</w:t>
      </w:r>
      <w:r>
        <w:rPr>
          <w:rFonts w:ascii="宋体" w:cs="仿宋_GB2312"/>
          <w:sz w:val="30"/>
          <w:szCs w:val="30"/>
        </w:rPr>
        <w:t>94.57</w:t>
      </w:r>
      <w:r>
        <w:rPr>
          <w:rFonts w:ascii="宋体" w:cs="仿宋_GB2312" w:hint="eastAsia"/>
          <w:sz w:val="30"/>
          <w:szCs w:val="30"/>
        </w:rPr>
        <w:t>%，其中：</w:t>
      </w:r>
    </w:p>
    <w:p>
      <w:pPr>
        <w:widowControl/>
        <w:spacing w:line="560" w:lineRule="exact"/>
        <w:ind w:firstLineChars="150" w:firstLine="450"/>
        <w:jc w:val="left"/>
        <w:rPr>
          <w:rFonts w:ascii="宋体" w:cs="仿宋_GB2312" w:hint="eastAsia"/>
          <w:sz w:val="30"/>
          <w:szCs w:val="30"/>
        </w:rPr>
      </w:pPr>
      <w:r>
        <w:rPr>
          <w:rFonts w:ascii="宋体" w:cs="仿宋_GB2312" w:hint="eastAsia"/>
          <w:sz w:val="30"/>
          <w:szCs w:val="30"/>
        </w:rPr>
        <w:t>1.一般公共服务</w:t>
      </w:r>
      <w:r>
        <w:rPr>
          <w:rFonts w:ascii="宋体" w:cs="仿宋_GB2312"/>
          <w:sz w:val="30"/>
          <w:szCs w:val="30"/>
        </w:rPr>
        <w:t>支出</w:t>
      </w:r>
    </w:p>
    <w:p>
      <w:pPr>
        <w:widowControl/>
        <w:spacing w:line="560" w:lineRule="exact"/>
        <w:ind w:firstLineChars="150" w:firstLine="450"/>
        <w:jc w:val="left"/>
        <w:rPr>
          <w:rFonts w:ascii="宋体" w:cs="仿宋_GB2312" w:hint="eastAsia"/>
          <w:sz w:val="30"/>
          <w:szCs w:val="30"/>
        </w:rPr>
      </w:pPr>
      <w:r>
        <w:rPr>
          <w:rFonts w:ascii="宋体" w:cs="仿宋_GB2312" w:hint="eastAsia"/>
          <w:sz w:val="30"/>
          <w:szCs w:val="30"/>
        </w:rPr>
        <w:t>年初预算为</w:t>
      </w:r>
      <w:r>
        <w:rPr>
          <w:rFonts w:ascii="宋体" w:cs="仿宋_GB2312"/>
          <w:sz w:val="30"/>
          <w:szCs w:val="30"/>
        </w:rPr>
        <w:t>602.04</w:t>
      </w:r>
      <w:r>
        <w:rPr>
          <w:rFonts w:ascii="宋体" w:cs="仿宋_GB2312" w:hint="eastAsia"/>
          <w:sz w:val="30"/>
          <w:szCs w:val="30"/>
        </w:rPr>
        <w:t>万元，支出决算为</w:t>
      </w:r>
      <w:r>
        <w:rPr>
          <w:rFonts w:ascii="宋体" w:cs="仿宋_GB2312"/>
          <w:sz w:val="30"/>
          <w:szCs w:val="30"/>
        </w:rPr>
        <w:t>539.99</w:t>
      </w:r>
      <w:r>
        <w:rPr>
          <w:rFonts w:ascii="宋体" w:cs="仿宋_GB2312" w:hint="eastAsia"/>
          <w:sz w:val="30"/>
          <w:szCs w:val="30"/>
        </w:rPr>
        <w:t>万元，完成年初预算的</w:t>
      </w:r>
      <w:r>
        <w:rPr>
          <w:rFonts w:ascii="宋体" w:cs="仿宋_GB2312"/>
          <w:sz w:val="30"/>
          <w:szCs w:val="30"/>
        </w:rPr>
        <w:t>89.69</w:t>
      </w:r>
      <w:r>
        <w:rPr>
          <w:rFonts w:ascii="宋体" w:cs="仿宋_GB2312" w:hint="eastAsia"/>
          <w:sz w:val="30"/>
          <w:szCs w:val="30"/>
        </w:rPr>
        <w:t>%，决算数</w:t>
      </w:r>
      <w:r>
        <w:rPr>
          <w:rFonts w:ascii="宋体" w:cs="仿宋_GB2312"/>
          <w:sz w:val="30"/>
          <w:szCs w:val="30"/>
        </w:rPr>
        <w:t>小</w:t>
      </w:r>
      <w:r>
        <w:rPr>
          <w:rFonts w:ascii="宋体" w:cs="仿宋_GB2312" w:hint="eastAsia"/>
          <w:sz w:val="30"/>
          <w:szCs w:val="30"/>
        </w:rPr>
        <w:t>于年初预算数的主要原因是：人员异动及政策性调整。</w:t>
      </w:r>
    </w:p>
    <w:p>
      <w:pPr>
        <w:widowControl/>
        <w:spacing w:line="560" w:lineRule="exact"/>
        <w:ind w:firstLineChars="150" w:firstLine="450"/>
        <w:jc w:val="left"/>
        <w:rPr>
          <w:rFonts w:ascii="宋体" w:cs="仿宋_GB2312" w:hint="eastAsia"/>
          <w:sz w:val="30"/>
          <w:szCs w:val="30"/>
        </w:rPr>
      </w:pPr>
      <w:r>
        <w:rPr>
          <w:rFonts w:ascii="宋体" w:cs="仿宋_GB2312" w:hint="eastAsia"/>
          <w:sz w:val="30"/>
          <w:szCs w:val="30"/>
        </w:rPr>
        <w:t>2.</w:t>
      </w:r>
      <w:r>
        <w:rPr>
          <w:rFonts w:ascii="宋体" w:cs="仿宋_GB2312"/>
          <w:sz w:val="30"/>
          <w:szCs w:val="30"/>
        </w:rPr>
        <w:t>教育</w:t>
      </w:r>
      <w:r>
        <w:rPr>
          <w:rFonts w:ascii="宋体" w:cs="仿宋_GB2312" w:hint="eastAsia"/>
          <w:sz w:val="30"/>
          <w:szCs w:val="30"/>
        </w:rPr>
        <w:t>支出</w:t>
      </w:r>
    </w:p>
    <w:p>
      <w:pPr>
        <w:widowControl/>
        <w:spacing w:line="560" w:lineRule="exact"/>
        <w:ind w:firstLineChars="150" w:firstLine="450"/>
        <w:jc w:val="left"/>
        <w:rPr>
          <w:rFonts w:ascii="宋体" w:cs="仿宋_GB2312" w:hint="eastAsia"/>
          <w:sz w:val="30"/>
          <w:szCs w:val="30"/>
        </w:rPr>
      </w:pPr>
      <w:r>
        <w:rPr>
          <w:rFonts w:ascii="宋体" w:cs="仿宋_GB2312" w:hint="eastAsia"/>
          <w:sz w:val="30"/>
          <w:szCs w:val="30"/>
        </w:rPr>
        <w:t>年初预算为0万元，支出决算为5万元，决算数大于年初预算数的主要原因是：</w:t>
      </w:r>
      <w:r>
        <w:rPr>
          <w:rFonts w:ascii="宋体" w:cs="仿宋_GB2312"/>
          <w:sz w:val="30"/>
          <w:szCs w:val="30"/>
        </w:rPr>
        <w:t>干部培训</w:t>
      </w:r>
      <w:r>
        <w:rPr>
          <w:rFonts w:ascii="宋体" w:cs="仿宋_GB2312" w:hint="eastAsia"/>
          <w:sz w:val="30"/>
          <w:szCs w:val="30"/>
        </w:rPr>
        <w:t>。</w:t>
      </w:r>
    </w:p>
    <w:p>
      <w:pPr>
        <w:widowControl/>
        <w:spacing w:line="560" w:lineRule="exact"/>
        <w:ind w:firstLineChars="150" w:firstLine="450"/>
        <w:jc w:val="left"/>
        <w:rPr>
          <w:rFonts w:ascii="宋体" w:cs="仿宋_GB2312" w:hint="eastAsia"/>
          <w:sz w:val="30"/>
          <w:szCs w:val="30"/>
        </w:rPr>
      </w:pPr>
      <w:r>
        <w:rPr>
          <w:rFonts w:ascii="宋体" w:cs="仿宋_GB2312" w:hint="eastAsia"/>
          <w:sz w:val="30"/>
          <w:szCs w:val="30"/>
        </w:rPr>
        <w:t>3.社会保障和就业支出</w:t>
      </w:r>
    </w:p>
    <w:p>
      <w:pPr>
        <w:widowControl/>
        <w:spacing w:line="560" w:lineRule="exact"/>
        <w:ind w:firstLineChars="150" w:firstLine="450"/>
        <w:jc w:val="left"/>
        <w:rPr>
          <w:rFonts w:ascii="宋体" w:cs="仿宋_GB2312" w:hint="eastAsia"/>
          <w:sz w:val="30"/>
          <w:szCs w:val="30"/>
        </w:rPr>
      </w:pPr>
      <w:r>
        <w:rPr>
          <w:rFonts w:ascii="宋体" w:cs="仿宋_GB2312" w:hint="eastAsia"/>
          <w:sz w:val="30"/>
          <w:szCs w:val="30"/>
        </w:rPr>
        <w:t>年初预算为</w:t>
      </w:r>
      <w:r>
        <w:rPr>
          <w:rFonts w:ascii="宋体" w:cs="仿宋_GB2312"/>
          <w:sz w:val="30"/>
          <w:szCs w:val="30"/>
        </w:rPr>
        <w:t>124.35</w:t>
      </w:r>
      <w:r>
        <w:rPr>
          <w:rFonts w:ascii="宋体" w:cs="仿宋_GB2312" w:hint="eastAsia"/>
          <w:sz w:val="30"/>
          <w:szCs w:val="30"/>
        </w:rPr>
        <w:t>万元，支出决算为</w:t>
      </w:r>
      <w:r>
        <w:rPr>
          <w:rFonts w:ascii="宋体" w:cs="仿宋_GB2312"/>
          <w:sz w:val="30"/>
          <w:szCs w:val="30"/>
        </w:rPr>
        <w:t>51.86</w:t>
      </w:r>
      <w:r>
        <w:rPr>
          <w:rFonts w:ascii="宋体" w:cs="仿宋_GB2312" w:hint="eastAsia"/>
          <w:sz w:val="30"/>
          <w:szCs w:val="30"/>
        </w:rPr>
        <w:t>万元，完成年初预算的</w:t>
      </w:r>
      <w:r>
        <w:rPr>
          <w:rFonts w:ascii="宋体" w:cs="仿宋_GB2312"/>
          <w:sz w:val="30"/>
          <w:szCs w:val="30"/>
        </w:rPr>
        <w:t>41.7</w:t>
      </w:r>
      <w:r>
        <w:rPr>
          <w:rFonts w:ascii="宋体" w:cs="仿宋_GB2312" w:hint="eastAsia"/>
          <w:sz w:val="30"/>
          <w:szCs w:val="30"/>
        </w:rPr>
        <w:t>%，决算数小于年初预算数的主要原因是：人员异动</w:t>
      </w:r>
      <w:r>
        <w:rPr>
          <w:rFonts w:ascii="宋体" w:cs="仿宋_GB2312"/>
          <w:sz w:val="30"/>
          <w:szCs w:val="30"/>
        </w:rPr>
        <w:t>及政策性调整</w:t>
      </w:r>
      <w:r>
        <w:rPr>
          <w:rFonts w:ascii="宋体" w:cs="仿宋_GB2312" w:hint="eastAsia"/>
          <w:sz w:val="30"/>
          <w:szCs w:val="30"/>
        </w:rPr>
        <w:t>。</w:t>
      </w:r>
    </w:p>
    <w:p>
      <w:pPr>
        <w:widowControl/>
        <w:spacing w:line="560" w:lineRule="exact"/>
        <w:ind w:firstLineChars="150" w:firstLine="450"/>
        <w:jc w:val="left"/>
        <w:rPr>
          <w:rFonts w:ascii="宋体" w:cs="仿宋_GB2312" w:hint="eastAsia"/>
          <w:sz w:val="30"/>
          <w:szCs w:val="30"/>
        </w:rPr>
      </w:pPr>
      <w:r>
        <w:rPr>
          <w:rFonts w:ascii="宋体" w:cs="仿宋_GB2312" w:hint="eastAsia"/>
          <w:sz w:val="30"/>
          <w:szCs w:val="30"/>
        </w:rPr>
        <w:t>4.卫生健康支出</w:t>
      </w:r>
    </w:p>
    <w:p>
      <w:pPr>
        <w:widowControl/>
        <w:spacing w:line="560" w:lineRule="exact"/>
        <w:ind w:firstLineChars="150" w:firstLine="450"/>
        <w:jc w:val="left"/>
        <w:rPr>
          <w:rFonts w:ascii="宋体" w:cs="仿宋_GB2312" w:hint="eastAsia"/>
          <w:sz w:val="30"/>
          <w:szCs w:val="30"/>
        </w:rPr>
      </w:pPr>
      <w:r>
        <w:rPr>
          <w:rFonts w:ascii="宋体" w:cs="仿宋_GB2312" w:hint="eastAsia"/>
          <w:sz w:val="30"/>
          <w:szCs w:val="30"/>
        </w:rPr>
        <w:t>年初预算为</w:t>
      </w:r>
      <w:r>
        <w:rPr>
          <w:rFonts w:ascii="宋体" w:cs="仿宋_GB2312"/>
          <w:sz w:val="30"/>
          <w:szCs w:val="30"/>
        </w:rPr>
        <w:t>22.44</w:t>
      </w:r>
      <w:r>
        <w:rPr>
          <w:rFonts w:ascii="宋体" w:cs="仿宋_GB2312" w:hint="eastAsia"/>
          <w:sz w:val="30"/>
          <w:szCs w:val="30"/>
        </w:rPr>
        <w:t>万元，支出决算为</w:t>
      </w:r>
      <w:r>
        <w:rPr>
          <w:rFonts w:ascii="宋体" w:cs="仿宋_GB2312"/>
          <w:sz w:val="30"/>
          <w:szCs w:val="30"/>
        </w:rPr>
        <w:t>22.08</w:t>
      </w:r>
      <w:r>
        <w:rPr>
          <w:rFonts w:ascii="宋体" w:cs="仿宋_GB2312" w:hint="eastAsia"/>
          <w:sz w:val="30"/>
          <w:szCs w:val="30"/>
        </w:rPr>
        <w:t>万元，完成年初预算的</w:t>
      </w:r>
      <w:r>
        <w:rPr>
          <w:rFonts w:ascii="宋体" w:cs="仿宋_GB2312"/>
          <w:sz w:val="30"/>
          <w:szCs w:val="30"/>
        </w:rPr>
        <w:t>98.39</w:t>
      </w:r>
      <w:r>
        <w:rPr>
          <w:rFonts w:ascii="宋体" w:cs="仿宋_GB2312" w:hint="eastAsia"/>
          <w:sz w:val="30"/>
          <w:szCs w:val="30"/>
        </w:rPr>
        <w:t>%，决算数</w:t>
      </w:r>
      <w:r>
        <w:rPr>
          <w:rFonts w:ascii="宋体" w:cs="仿宋_GB2312"/>
          <w:sz w:val="30"/>
          <w:szCs w:val="30"/>
        </w:rPr>
        <w:t>小</w:t>
      </w:r>
      <w:r>
        <w:rPr>
          <w:rFonts w:ascii="宋体" w:cs="仿宋_GB2312" w:hint="eastAsia"/>
          <w:sz w:val="30"/>
          <w:szCs w:val="30"/>
        </w:rPr>
        <w:t>于年初预算数的主要原因是：</w:t>
      </w:r>
      <w:r>
        <w:rPr>
          <w:rFonts w:ascii="宋体" w:cs="仿宋_GB2312"/>
          <w:sz w:val="30"/>
          <w:szCs w:val="30"/>
        </w:rPr>
        <w:t>人员异动</w:t>
      </w:r>
      <w:r>
        <w:rPr>
          <w:rFonts w:ascii="宋体" w:cs="仿宋_GB2312" w:hint="eastAsia"/>
          <w:sz w:val="30"/>
          <w:szCs w:val="30"/>
        </w:rPr>
        <w:t>。</w:t>
      </w:r>
    </w:p>
    <w:p>
      <w:pPr>
        <w:widowControl/>
        <w:spacing w:line="560" w:lineRule="exact"/>
        <w:ind w:firstLineChars="150" w:firstLine="450"/>
        <w:jc w:val="left"/>
        <w:rPr>
          <w:rFonts w:ascii="宋体" w:cs="仿宋_GB2312" w:hint="eastAsia"/>
          <w:sz w:val="30"/>
          <w:szCs w:val="30"/>
        </w:rPr>
      </w:pPr>
      <w:r>
        <w:rPr>
          <w:rFonts w:ascii="宋体" w:cs="仿宋_GB2312" w:hint="eastAsia"/>
          <w:sz w:val="30"/>
          <w:szCs w:val="30"/>
        </w:rPr>
        <w:t>5.农林水支出</w:t>
      </w:r>
    </w:p>
    <w:p>
      <w:pPr>
        <w:widowControl/>
        <w:spacing w:line="560" w:lineRule="exact"/>
        <w:ind w:firstLineChars="150" w:firstLine="450"/>
        <w:jc w:val="left"/>
        <w:rPr>
          <w:rFonts w:ascii="宋体" w:cs="仿宋_GB2312" w:hint="eastAsia"/>
          <w:sz w:val="30"/>
          <w:szCs w:val="30"/>
        </w:rPr>
      </w:pPr>
      <w:r>
        <w:rPr>
          <w:rFonts w:ascii="宋体" w:cs="仿宋_GB2312" w:hint="eastAsia"/>
          <w:sz w:val="30"/>
          <w:szCs w:val="30"/>
        </w:rPr>
        <w:t>年初预算为353.07万元，支出决算为</w:t>
      </w:r>
      <w:r>
        <w:rPr>
          <w:rFonts w:ascii="宋体" w:cs="仿宋_GB2312"/>
          <w:sz w:val="30"/>
          <w:szCs w:val="30"/>
        </w:rPr>
        <w:t>437.38</w:t>
      </w:r>
      <w:r>
        <w:rPr>
          <w:rFonts w:ascii="宋体" w:cs="仿宋_GB2312" w:hint="eastAsia"/>
          <w:sz w:val="30"/>
          <w:szCs w:val="30"/>
        </w:rPr>
        <w:t>万元，完成年初预算的1</w:t>
      </w:r>
      <w:r>
        <w:rPr>
          <w:rFonts w:ascii="宋体" w:cs="仿宋_GB2312"/>
          <w:sz w:val="30"/>
          <w:szCs w:val="30"/>
        </w:rPr>
        <w:t>23.88</w:t>
      </w:r>
      <w:r>
        <w:rPr>
          <w:rFonts w:ascii="宋体" w:cs="仿宋_GB2312" w:hint="eastAsia"/>
          <w:sz w:val="30"/>
          <w:szCs w:val="30"/>
        </w:rPr>
        <w:t>%，决算数大于年初预算数的主要原因是：追加村级集体经济</w:t>
      </w:r>
      <w:r>
        <w:rPr>
          <w:rFonts w:ascii="宋体" w:cs="仿宋_GB2312"/>
          <w:sz w:val="30"/>
          <w:szCs w:val="30"/>
        </w:rPr>
        <w:t>发展</w:t>
      </w:r>
      <w:r>
        <w:rPr>
          <w:rFonts w:ascii="宋体" w:cs="仿宋_GB2312" w:hint="eastAsia"/>
          <w:sz w:val="30"/>
          <w:szCs w:val="30"/>
        </w:rPr>
        <w:t>项目经费。</w:t>
      </w:r>
    </w:p>
    <w:p>
      <w:pPr>
        <w:widowControl/>
        <w:spacing w:line="560" w:lineRule="exact"/>
        <w:ind w:firstLineChars="150" w:firstLine="450"/>
        <w:jc w:val="left"/>
        <w:rPr>
          <w:rFonts w:ascii="宋体" w:cs="仿宋_GB2312" w:hint="eastAsia"/>
          <w:sz w:val="30"/>
          <w:szCs w:val="30"/>
        </w:rPr>
      </w:pPr>
      <w:r>
        <w:rPr>
          <w:rFonts w:ascii="宋体" w:cs="仿宋_GB2312" w:hint="eastAsia"/>
          <w:sz w:val="30"/>
          <w:szCs w:val="30"/>
        </w:rPr>
        <w:t>6.住房保障支出</w:t>
      </w:r>
    </w:p>
    <w:p>
      <w:pPr>
        <w:widowControl/>
        <w:spacing w:line="560" w:lineRule="exact"/>
        <w:ind w:firstLineChars="150" w:firstLine="450"/>
        <w:jc w:val="left"/>
        <w:rPr>
          <w:rFonts w:ascii="宋体" w:cs="仿宋_GB2312" w:hint="eastAsia"/>
          <w:sz w:val="30"/>
          <w:szCs w:val="30"/>
        </w:rPr>
      </w:pPr>
      <w:r>
        <w:rPr>
          <w:rFonts w:ascii="宋体" w:cs="仿宋_GB2312" w:hint="eastAsia"/>
          <w:sz w:val="30"/>
          <w:szCs w:val="30"/>
        </w:rPr>
        <w:t>年初预算为</w:t>
      </w:r>
      <w:r>
        <w:rPr>
          <w:rFonts w:ascii="宋体" w:cs="仿宋_GB2312"/>
          <w:sz w:val="30"/>
          <w:szCs w:val="30"/>
        </w:rPr>
        <w:t>20.73</w:t>
      </w:r>
      <w:r>
        <w:rPr>
          <w:rFonts w:ascii="宋体" w:cs="仿宋_GB2312" w:hint="eastAsia"/>
          <w:sz w:val="30"/>
          <w:szCs w:val="30"/>
        </w:rPr>
        <w:t>万元，支出决算为</w:t>
      </w:r>
      <w:r>
        <w:rPr>
          <w:rFonts w:ascii="宋体" w:cs="仿宋_GB2312"/>
          <w:sz w:val="30"/>
          <w:szCs w:val="30"/>
        </w:rPr>
        <w:t>5.34</w:t>
      </w:r>
      <w:r>
        <w:rPr>
          <w:rFonts w:ascii="宋体" w:cs="仿宋_GB2312" w:hint="eastAsia"/>
          <w:sz w:val="30"/>
          <w:szCs w:val="30"/>
        </w:rPr>
        <w:t>万元，完成年初预算的</w:t>
      </w:r>
      <w:r>
        <w:rPr>
          <w:rFonts w:ascii="宋体" w:cs="仿宋_GB2312"/>
          <w:sz w:val="30"/>
          <w:szCs w:val="30"/>
        </w:rPr>
        <w:t>25.76</w:t>
      </w:r>
      <w:r>
        <w:rPr>
          <w:rFonts w:ascii="宋体" w:cs="仿宋_GB2312" w:hint="eastAsia"/>
          <w:sz w:val="30"/>
          <w:szCs w:val="30"/>
        </w:rPr>
        <w:t>%，决算数小于年初预算数的主要原因是：人员异动调减</w:t>
      </w:r>
      <w:r>
        <w:rPr>
          <w:rFonts w:ascii="宋体" w:cs="仿宋_GB2312"/>
          <w:sz w:val="30"/>
          <w:szCs w:val="30"/>
        </w:rPr>
        <w:t>及政策性调整</w:t>
      </w:r>
      <w:r>
        <w:rPr>
          <w:rFonts w:ascii="宋体" w:cs="仿宋_GB2312" w:hint="eastAsia"/>
          <w:sz w:val="30"/>
          <w:szCs w:val="30"/>
        </w:rPr>
        <w:t>。</w:t>
      </w:r>
    </w:p>
    <w:p>
      <w:pPr>
        <w:widowControl/>
        <w:spacing w:line="560" w:lineRule="exact"/>
        <w:ind w:firstLineChars="150" w:firstLine="450"/>
        <w:jc w:val="left"/>
        <w:rPr>
          <w:rFonts w:ascii="宋体"/>
          <w:sz w:val="30"/>
          <w:szCs w:val="30"/>
        </w:rPr>
      </w:pPr>
      <w:r>
        <w:rPr>
          <w:rFonts w:ascii="宋体" w:cs="仿宋_GB2312" w:hint="eastAsia"/>
          <w:sz w:val="30"/>
          <w:szCs w:val="30"/>
        </w:rPr>
        <w:t>（三）、“三公经费”支出情况</w:t>
      </w:r>
    </w:p>
    <w:p>
      <w:pPr>
        <w:widowControl/>
        <w:spacing w:line="560" w:lineRule="exact"/>
        <w:ind w:firstLineChars="200" w:firstLine="600"/>
        <w:jc w:val="left"/>
        <w:rPr>
          <w:rFonts w:ascii="宋体" w:cs="仿宋_GB2312" w:hint="eastAsia"/>
          <w:sz w:val="30"/>
          <w:szCs w:val="30"/>
        </w:rPr>
      </w:pPr>
      <w:r>
        <w:rPr>
          <w:rFonts w:ascii="宋体" w:cs="仿宋_GB2312" w:hint="eastAsia"/>
          <w:sz w:val="30"/>
          <w:szCs w:val="30"/>
        </w:rPr>
        <w:t>2021年“三公”经费实际开支14.36万元，其中：公务接待费5.58万元、公务用车运行维护费8.78万元。</w:t>
      </w:r>
      <w:r>
        <w:rPr>
          <w:rFonts w:ascii="宋体" w:cs="仿宋_GB2312" w:hint="eastAsia"/>
          <w:bCs/>
          <w:sz w:val="30"/>
          <w:szCs w:val="30"/>
        </w:rPr>
        <w:t>202</w:t>
      </w:r>
      <w:r>
        <w:rPr>
          <w:rFonts w:ascii="宋体" w:cs="仿宋_GB2312" w:hint="eastAsia"/>
          <w:bCs/>
          <w:sz w:val="30"/>
          <w:szCs w:val="30"/>
          <w:lang w:val="en-US" w:eastAsia="zh-CN"/>
        </w:rPr>
        <w:t>1年“三公”经费比上年减少</w:t>
      </w:r>
      <w:r>
        <w:rPr>
          <w:rFonts w:ascii="宋体" w:cs="仿宋_GB2312"/>
          <w:bCs/>
          <w:sz w:val="30"/>
          <w:szCs w:val="30"/>
          <w:lang w:val="en-US" w:eastAsia="zh-CN"/>
        </w:rPr>
        <w:t>11.19</w:t>
      </w:r>
      <w:r>
        <w:rPr>
          <w:rFonts w:ascii="宋体" w:cs="仿宋_GB2312" w:hint="eastAsia"/>
          <w:bCs/>
          <w:sz w:val="30"/>
          <w:szCs w:val="30"/>
          <w:lang w:val="en-US" w:eastAsia="zh-CN"/>
        </w:rPr>
        <w:t>万元。</w:t>
      </w:r>
      <w:r>
        <w:rPr>
          <w:rFonts w:ascii="宋体" w:cs="仿宋_GB2312"/>
          <w:bCs/>
          <w:sz w:val="30"/>
          <w:szCs w:val="30"/>
          <w:lang w:val="en-US" w:eastAsia="zh-CN"/>
        </w:rPr>
        <w:t>我镇三公经费严格按照年初预算以及各级部门相关要求，严把支出关，强化制度执行。切实做好厉行节约工作，全面落实各项管理制度要求，努力降低行政成本。</w:t>
      </w:r>
    </w:p>
    <w:p>
      <w:pPr>
        <w:spacing w:line="560" w:lineRule="exact"/>
        <w:ind w:firstLineChars="200" w:firstLine="640"/>
        <w:rPr>
          <w:rFonts w:ascii="黑体" w:eastAsia="黑体"/>
          <w:sz w:val="32"/>
          <w:szCs w:val="32"/>
        </w:rPr>
      </w:pPr>
      <w:r>
        <w:rPr>
          <w:rFonts w:ascii="黑体" w:eastAsia="黑体" w:hint="eastAsia"/>
          <w:sz w:val="32"/>
          <w:szCs w:val="32"/>
        </w:rPr>
        <w:t>三、绩效评价工作情况</w:t>
      </w:r>
    </w:p>
    <w:p>
      <w:pPr>
        <w:spacing w:line="560" w:lineRule="exact"/>
        <w:ind w:firstLineChars="200" w:firstLine="600"/>
        <w:rPr>
          <w:rFonts w:ascii="宋体" w:cs="Times New Roman"/>
          <w:bCs/>
          <w:color w:val="383838"/>
          <w:sz w:val="30"/>
          <w:szCs w:val="30"/>
          <w:shd w:val="clear" w:color="auto" w:fill="FFFFFF"/>
        </w:rPr>
      </w:pPr>
      <w:r>
        <w:rPr>
          <w:rFonts w:ascii="宋体" w:cs="Times New Roman" w:hint="eastAsia"/>
          <w:bCs/>
          <w:color w:val="383838"/>
          <w:sz w:val="30"/>
          <w:szCs w:val="30"/>
          <w:shd w:val="clear" w:color="auto" w:fill="FFFFFF"/>
        </w:rPr>
        <w:t>（一）评价目的</w:t>
      </w:r>
    </w:p>
    <w:p>
      <w:pPr>
        <w:spacing w:line="560" w:lineRule="exact"/>
        <w:ind w:firstLineChars="200" w:firstLine="600"/>
        <w:rPr>
          <w:rFonts w:ascii="宋体" w:cs="Times New Roman"/>
          <w:bCs/>
          <w:color w:val="383838"/>
          <w:sz w:val="30"/>
          <w:szCs w:val="30"/>
          <w:shd w:val="clear" w:color="auto" w:fill="FFFFFF"/>
        </w:rPr>
      </w:pPr>
      <w:r>
        <w:rPr>
          <w:rFonts w:ascii="宋体" w:cs="Times New Roman" w:hint="eastAsia"/>
          <w:bCs/>
          <w:color w:val="383838"/>
          <w:sz w:val="30"/>
          <w:szCs w:val="30"/>
          <w:shd w:val="clear" w:color="auto" w:fill="FFFFFF"/>
        </w:rPr>
        <w:t>通过全面开展财政支出绩效评价，强化财政支出绩效理念，科学合理编制年度预算，切实发挥财政资金资源配置作用，逐步建立以科学理财为基础，以精细化管理为手段，以评价结果为导向，以实施过程为监管对象的预算管理体系。同时可以使我镇的各项指标数据更加清晰明了，有利于我镇2022年各项工作的开展。</w:t>
      </w:r>
    </w:p>
    <w:p>
      <w:pPr>
        <w:spacing w:line="560" w:lineRule="exact"/>
        <w:ind w:firstLineChars="200" w:firstLine="600"/>
        <w:rPr>
          <w:rFonts w:ascii="宋体" w:cs="Times New Roman"/>
          <w:bCs/>
          <w:color w:val="383838"/>
          <w:sz w:val="30"/>
          <w:szCs w:val="30"/>
          <w:shd w:val="clear" w:color="auto" w:fill="FFFFFF"/>
        </w:rPr>
      </w:pPr>
      <w:r>
        <w:rPr>
          <w:rFonts w:ascii="宋体" w:cs="Times New Roman" w:hint="eastAsia"/>
          <w:bCs/>
          <w:color w:val="383838"/>
          <w:sz w:val="30"/>
          <w:szCs w:val="30"/>
          <w:shd w:val="clear" w:color="auto" w:fill="FFFFFF"/>
        </w:rPr>
        <w:t>（二）评价方法</w:t>
      </w:r>
    </w:p>
    <w:p>
      <w:pPr>
        <w:spacing w:line="560" w:lineRule="exact"/>
        <w:ind w:firstLineChars="200" w:firstLine="600"/>
        <w:rPr>
          <w:rFonts w:ascii="宋体" w:cs="Times New Roman"/>
          <w:bCs/>
          <w:color w:val="383838"/>
          <w:sz w:val="30"/>
          <w:szCs w:val="30"/>
          <w:shd w:val="clear" w:color="auto" w:fill="FFFFFF"/>
        </w:rPr>
      </w:pPr>
      <w:r>
        <w:rPr>
          <w:rFonts w:ascii="宋体" w:cs="Times New Roman" w:hint="eastAsia"/>
          <w:bCs/>
          <w:color w:val="383838"/>
          <w:sz w:val="30"/>
          <w:szCs w:val="30"/>
          <w:shd w:val="clear" w:color="auto" w:fill="FFFFFF"/>
        </w:rPr>
        <w:t>根据衡南县财政局《衡南县预算绩效管理工作考核办法》（南财预[2015]174号）及县财政局会议精神，我镇成立了绩效评价工作组，于2022年4月中旬起开展了部门整体支出绩效评价工作，具体工作方法包括：</w:t>
      </w:r>
    </w:p>
    <w:p>
      <w:pPr>
        <w:spacing w:line="560" w:lineRule="exact"/>
        <w:ind w:firstLineChars="200" w:firstLine="600"/>
        <w:rPr>
          <w:rFonts w:ascii="宋体" w:cs="Times New Roman"/>
          <w:bCs/>
          <w:color w:val="383838"/>
          <w:sz w:val="30"/>
          <w:szCs w:val="30"/>
          <w:shd w:val="clear" w:color="auto" w:fill="FFFFFF"/>
        </w:rPr>
      </w:pPr>
      <w:r>
        <w:rPr>
          <w:rFonts w:ascii="宋体" w:cs="Times New Roman" w:hint="eastAsia"/>
          <w:bCs/>
          <w:color w:val="383838"/>
          <w:sz w:val="30"/>
          <w:szCs w:val="30"/>
          <w:shd w:val="clear" w:color="auto" w:fill="FFFFFF"/>
        </w:rPr>
        <w:t>1、查阅资料。查阅2021年度预算安排、预算追加、经费支出、资金管理、资产管理等相关文件资料和财务凭证。</w:t>
      </w:r>
    </w:p>
    <w:p>
      <w:pPr>
        <w:spacing w:line="560" w:lineRule="exact"/>
        <w:ind w:firstLineChars="200" w:firstLine="600"/>
        <w:rPr>
          <w:rFonts w:ascii="宋体" w:cs="Times New Roman"/>
          <w:bCs/>
          <w:color w:val="383838"/>
          <w:sz w:val="30"/>
          <w:szCs w:val="30"/>
          <w:shd w:val="clear" w:color="auto" w:fill="FFFFFF"/>
        </w:rPr>
      </w:pPr>
      <w:r>
        <w:rPr>
          <w:rFonts w:ascii="宋体" w:cs="Times New Roman" w:hint="eastAsia"/>
          <w:bCs/>
          <w:color w:val="383838"/>
          <w:sz w:val="30"/>
          <w:szCs w:val="30"/>
          <w:shd w:val="clear" w:color="auto" w:fill="FFFFFF"/>
        </w:rPr>
        <w:t>2、核实数据。对2021年度部门整体支出数据的准确性、真实性进行核实，将2021年度部门整体支出情况与2021年度预算情况、2021年度部门整体支出情况进行比较分析。</w:t>
      </w:r>
    </w:p>
    <w:p>
      <w:pPr>
        <w:spacing w:line="560" w:lineRule="exact"/>
        <w:ind w:firstLineChars="200" w:firstLine="600"/>
        <w:rPr>
          <w:rFonts w:ascii="宋体" w:cs="Times New Roman"/>
          <w:bCs/>
          <w:color w:val="383838"/>
          <w:sz w:val="30"/>
          <w:szCs w:val="30"/>
          <w:shd w:val="clear" w:color="auto" w:fill="FFFFFF"/>
        </w:rPr>
      </w:pPr>
      <w:r>
        <w:rPr>
          <w:rFonts w:ascii="宋体" w:cs="Times New Roman" w:hint="eastAsia"/>
          <w:bCs/>
          <w:color w:val="383838"/>
          <w:sz w:val="30"/>
          <w:szCs w:val="30"/>
          <w:shd w:val="clear" w:color="auto" w:fill="FFFFFF"/>
        </w:rPr>
        <w:t>3、实地查看。现场查看各类实物资产。</w:t>
      </w:r>
    </w:p>
    <w:p>
      <w:pPr>
        <w:spacing w:line="560" w:lineRule="exact"/>
        <w:ind w:firstLineChars="200" w:firstLine="600"/>
        <w:rPr>
          <w:rFonts w:ascii="宋体" w:cs="Times New Roman"/>
          <w:bCs/>
          <w:color w:val="383838"/>
          <w:sz w:val="30"/>
          <w:szCs w:val="30"/>
          <w:shd w:val="clear" w:color="auto" w:fill="FFFFFF"/>
        </w:rPr>
      </w:pPr>
      <w:r>
        <w:rPr>
          <w:rFonts w:ascii="宋体" w:cs="Times New Roman" w:hint="eastAsia"/>
          <w:bCs/>
          <w:color w:val="383838"/>
          <w:sz w:val="30"/>
          <w:szCs w:val="30"/>
          <w:shd w:val="clear" w:color="auto" w:fill="FFFFFF"/>
        </w:rPr>
        <w:t>4、汇总归纳。根据取得的各项数据及文件资料，结合现场评价情况进行综合分析、归纳汇总，填写基础数据表、评价指标评分表。</w:t>
      </w:r>
    </w:p>
    <w:p>
      <w:pPr>
        <w:spacing w:line="560" w:lineRule="exact"/>
        <w:ind w:firstLineChars="200" w:firstLine="600"/>
        <w:rPr>
          <w:rFonts w:ascii="宋体" w:cs="Times New Roman"/>
          <w:bCs/>
          <w:color w:val="383838"/>
          <w:sz w:val="30"/>
          <w:szCs w:val="30"/>
          <w:shd w:val="clear" w:color="auto" w:fill="FFFFFF"/>
        </w:rPr>
      </w:pPr>
      <w:r>
        <w:rPr>
          <w:rFonts w:ascii="宋体" w:cs="Times New Roman" w:hint="eastAsia"/>
          <w:bCs/>
          <w:color w:val="383838"/>
          <w:sz w:val="30"/>
          <w:szCs w:val="30"/>
          <w:shd w:val="clear" w:color="auto" w:fill="FFFFFF"/>
        </w:rPr>
        <w:t>5、形成绩效评价报告。</w:t>
      </w:r>
    </w:p>
    <w:p>
      <w:pPr>
        <w:spacing w:line="560" w:lineRule="exact"/>
        <w:ind w:firstLineChars="200" w:firstLine="640"/>
        <w:rPr>
          <w:rFonts w:ascii="仿宋" w:eastAsia="仿宋" w:cs="Times New Roman"/>
          <w:bCs/>
          <w:color w:val="383838"/>
          <w:sz w:val="32"/>
          <w:shd w:val="clear" w:color="auto" w:fill="FFFFFF"/>
        </w:rPr>
      </w:pPr>
      <w:r>
        <w:rPr>
          <w:rFonts w:ascii="黑体" w:eastAsia="黑体" w:hint="eastAsia"/>
          <w:sz w:val="32"/>
          <w:szCs w:val="32"/>
        </w:rPr>
        <w:t>四、部门总体支出绩效评价</w:t>
      </w:r>
    </w:p>
    <w:p>
      <w:pPr>
        <w:spacing w:line="560" w:lineRule="exact"/>
        <w:ind w:firstLineChars="200" w:firstLine="600"/>
        <w:rPr>
          <w:rFonts w:ascii="宋体" w:cs="Times New Roman"/>
          <w:bCs/>
          <w:color w:val="383838"/>
          <w:sz w:val="30"/>
          <w:szCs w:val="30"/>
          <w:shd w:val="clear" w:color="auto" w:fill="FFFFFF"/>
        </w:rPr>
      </w:pPr>
      <w:r>
        <w:rPr>
          <w:rFonts w:ascii="宋体" w:cs="Times New Roman" w:hint="eastAsia"/>
          <w:bCs/>
          <w:color w:val="383838"/>
          <w:sz w:val="30"/>
          <w:szCs w:val="30"/>
          <w:shd w:val="clear" w:color="auto" w:fill="FFFFFF"/>
        </w:rPr>
        <w:t>2021年我镇根据年初工作规划及财政预算计划，积极履职、强化管理，较好的完成了年度工作目标。通过加强预算收支管理、不断建立健全内部管理制度、梳理内部管理流程，部门整体支出管理情况得到提升。我镇2021年度部门整体支出绩效评价自评得分为97.4分。具体工作主要体现在以下几个方面：</w:t>
      </w:r>
    </w:p>
    <w:p>
      <w:pPr>
        <w:spacing w:line="560" w:lineRule="exact"/>
        <w:ind w:firstLineChars="200" w:firstLine="600"/>
        <w:rPr>
          <w:rFonts w:ascii="宋体" w:cs="Times New Roman"/>
          <w:bCs/>
          <w:color w:val="383838"/>
          <w:sz w:val="30"/>
          <w:szCs w:val="30"/>
          <w:shd w:val="clear" w:color="auto" w:fill="FFFFFF"/>
        </w:rPr>
      </w:pPr>
      <w:r>
        <w:rPr>
          <w:rFonts w:ascii="宋体" w:cs="Times New Roman" w:hint="eastAsia"/>
          <w:bCs/>
          <w:color w:val="383838"/>
          <w:sz w:val="30"/>
          <w:szCs w:val="30"/>
          <w:shd w:val="clear" w:color="auto" w:fill="FFFFFF"/>
        </w:rPr>
        <w:t>一是进一步规范财务管理，加强预算管理。根据中央八项规定有关精神以及财务管理方面的法律、法规和审计等部门的意见，我镇对机关财务管理制度进一步进行了完善。同时，在财务开支把关方面认真执行相关文件并严格财务开支审批程序，重点保障机关运转及重点工作的需要，提高财政资金使用效益。编制内在职人员控制率小于100%，支出总额控制在预算总额以内。</w:t>
      </w:r>
    </w:p>
    <w:p>
      <w:pPr>
        <w:spacing w:line="560" w:lineRule="exact"/>
        <w:ind w:firstLineChars="200" w:firstLine="600"/>
        <w:rPr>
          <w:rFonts w:ascii="宋体" w:cs="Times New Roman"/>
          <w:bCs/>
          <w:color w:val="383838"/>
          <w:sz w:val="30"/>
          <w:szCs w:val="30"/>
          <w:shd w:val="clear" w:color="auto" w:fill="FFFFFF"/>
        </w:rPr>
      </w:pPr>
      <w:r>
        <w:rPr>
          <w:rFonts w:ascii="宋体" w:cs="Times New Roman" w:hint="eastAsia"/>
          <w:bCs/>
          <w:color w:val="383838"/>
          <w:sz w:val="30"/>
          <w:szCs w:val="30"/>
          <w:shd w:val="clear" w:color="auto" w:fill="FFFFFF"/>
        </w:rPr>
        <w:t>二是加强资产管理。建立了资产管理制度，固定资产利用率高于90%，定期进行了资产盘点和资产清理，总体执行情况良好。</w:t>
      </w:r>
    </w:p>
    <w:p>
      <w:pPr>
        <w:spacing w:line="560" w:lineRule="exact"/>
        <w:ind w:firstLineChars="200" w:firstLine="600"/>
        <w:rPr>
          <w:rFonts w:ascii="宋体" w:cs="Times New Roman"/>
          <w:bCs/>
          <w:color w:val="383838"/>
          <w:sz w:val="30"/>
          <w:szCs w:val="30"/>
          <w:shd w:val="clear" w:color="auto" w:fill="FFFFFF"/>
        </w:rPr>
      </w:pPr>
      <w:r>
        <w:rPr>
          <w:rFonts w:ascii="宋体" w:cs="Times New Roman" w:hint="eastAsia"/>
          <w:bCs/>
          <w:color w:val="383838"/>
          <w:sz w:val="30"/>
          <w:szCs w:val="30"/>
          <w:shd w:val="clear" w:color="auto" w:fill="FFFFFF"/>
        </w:rPr>
        <w:t>三是资金效益方面。在资金监管同时对各年龄层次的村民群众进行公众满意度进行调查，就水污染改善、河道清理、农村清洁工程、生活压力、居住条件、街道绿化、乡村及镇区风貌、出行便捷与否、村民活动场所建设、文化设施建设、治安情况、基础设施建设等多面方面的内容调查，通过调查分析获取了人民群众对生态环境的健康度、居住生活的舒适度、工作出行的便捷度、居住生活的安全度各方面的评价</w:t>
      </w:r>
      <w:r>
        <w:rPr>
          <w:rFonts w:ascii="宋体" w:cs="Times New Roman"/>
          <w:bCs/>
          <w:color w:val="383838"/>
          <w:sz w:val="30"/>
          <w:szCs w:val="30"/>
          <w:shd w:val="clear" w:color="auto" w:fill="FFFFFF"/>
        </w:rPr>
        <w:t>。</w:t>
      </w:r>
    </w:p>
    <w:p>
      <w:pPr>
        <w:spacing w:line="560" w:lineRule="exact"/>
        <w:ind w:firstLineChars="200" w:firstLine="600"/>
        <w:rPr>
          <w:rFonts w:ascii="宋体" w:cs="Times New Roman"/>
          <w:bCs/>
          <w:color w:val="383838"/>
          <w:sz w:val="30"/>
          <w:szCs w:val="30"/>
          <w:shd w:val="clear" w:color="auto" w:fill="FFFFFF"/>
        </w:rPr>
      </w:pPr>
      <w:r>
        <w:rPr>
          <w:rFonts w:ascii="宋体" w:cs="Times New Roman" w:hint="eastAsia"/>
          <w:bCs/>
          <w:color w:val="383838"/>
          <w:sz w:val="30"/>
          <w:szCs w:val="30"/>
          <w:shd w:val="clear" w:color="auto" w:fill="FFFFFF"/>
        </w:rPr>
        <w:t>四是项目支出方面，主要是村级转移支付和新农村建设。村级转移性支付项目主要用于村级工作运转，包含村干部工资、妇女及小组长工资、村级办公运转经费、离任村干生活补助、会议误工、交通补助以及其他支出，其他支出包含农村清洁工程资金等。2021年村级转移支付项目支付到达村账村均金额超过县级下达拨付的最低标准，及时、达标的完成了支付，充分保障了村干办公、村委的正常合理支出，得到村干部及民众的好评。新农村建设资金主要用于村组道路修建、维修、硬化，塘坝扩容、硬化、河道清淤、硬化等农村基础设施建设，方便群众出行，改善饮水、加强灌溉，得到了民众的高度认可。</w:t>
      </w:r>
    </w:p>
    <w:p>
      <w:pPr>
        <w:spacing w:line="560" w:lineRule="exact"/>
        <w:ind w:firstLineChars="200" w:firstLine="600"/>
        <w:rPr>
          <w:rFonts w:ascii="宋体"/>
          <w:b/>
          <w:sz w:val="30"/>
          <w:szCs w:val="30"/>
        </w:rPr>
      </w:pPr>
      <w:r>
        <w:rPr>
          <w:rFonts w:ascii="宋体" w:hint="eastAsia"/>
          <w:b/>
          <w:sz w:val="30"/>
          <w:szCs w:val="30"/>
        </w:rPr>
        <w:t>五、存在的主要问题</w:t>
      </w:r>
    </w:p>
    <w:p>
      <w:pPr>
        <w:spacing w:line="560" w:lineRule="exact"/>
        <w:ind w:firstLineChars="200" w:firstLine="600"/>
        <w:rPr>
          <w:rFonts w:ascii="宋体"/>
          <w:sz w:val="30"/>
          <w:szCs w:val="30"/>
        </w:rPr>
      </w:pPr>
      <w:r>
        <w:rPr>
          <w:rFonts w:ascii="宋体" w:hint="eastAsia"/>
          <w:sz w:val="30"/>
          <w:szCs w:val="30"/>
        </w:rPr>
        <w:t>年初编制的预算只能在县级已出台的政策框架之内，不能预测，编制也就无法精确，导致年内预算追加较大，预算控制率较低；编制年初预算时较为精细，按照费用支出的使用范围和内容，进行了基本支出、项目支出的严格区分，并按照预算的最末级明细进行预算支出管理，专款专用。但对于追加的资金，就没有进行明细分解，造成基本与项目支出混用。</w:t>
      </w:r>
    </w:p>
    <w:p>
      <w:pPr>
        <w:spacing w:line="560" w:lineRule="exact"/>
        <w:ind w:firstLineChars="200" w:firstLine="600"/>
        <w:rPr>
          <w:rFonts w:ascii="宋体"/>
          <w:b/>
          <w:sz w:val="30"/>
          <w:szCs w:val="30"/>
        </w:rPr>
      </w:pPr>
      <w:r>
        <w:rPr>
          <w:rFonts w:ascii="宋体" w:hint="eastAsia"/>
          <w:b/>
          <w:sz w:val="30"/>
          <w:szCs w:val="30"/>
        </w:rPr>
        <w:t>六、改进措施和建议</w:t>
      </w:r>
    </w:p>
    <w:p>
      <w:pPr>
        <w:spacing w:line="560" w:lineRule="exact"/>
        <w:ind w:firstLineChars="200" w:firstLine="600"/>
        <w:rPr>
          <w:rFonts w:ascii="宋体"/>
          <w:sz w:val="30"/>
          <w:szCs w:val="30"/>
        </w:rPr>
      </w:pPr>
      <w:r>
        <w:rPr>
          <w:rFonts w:ascii="宋体" w:hint="eastAsia"/>
          <w:sz w:val="30"/>
          <w:szCs w:val="30"/>
        </w:rPr>
        <w:t>进一步加强内部机构的预算管理意识，严格按照预算编制的相关制度和要求，进一步提高预算编制的科学性、合理性、严谨性和可控性，在日常预算管理过程中，进一步加强预算支出的审核、跟踪及预算执行情况分析。</w:t>
      </w:r>
    </w:p>
    <w:p>
      <w:pPr>
        <w:spacing w:line="560" w:lineRule="exact"/>
        <w:ind w:left="0"/>
        <w:rPr>
          <w:rFonts w:ascii="宋体"/>
          <w:sz w:val="30"/>
          <w:szCs w:val="30"/>
        </w:rPr>
      </w:pPr>
    </w:p>
    <w:p>
      <w:pPr>
        <w:spacing w:line="560" w:lineRule="exact"/>
        <w:rPr>
          <w:rFonts w:ascii="宋体"/>
          <w:sz w:val="30"/>
          <w:szCs w:val="30"/>
        </w:rPr>
      </w:pPr>
    </w:p>
    <w:p>
      <w:pPr>
        <w:spacing w:line="560" w:lineRule="exact"/>
        <w:ind w:right="480" w:firstLineChars="200" w:firstLine="600"/>
        <w:jc w:val="right"/>
        <w:rPr>
          <w:rFonts w:ascii="宋体"/>
          <w:sz w:val="30"/>
          <w:szCs w:val="30"/>
        </w:rPr>
      </w:pPr>
      <w:r>
        <w:rPr>
          <w:rFonts w:ascii="宋体" w:hint="eastAsia"/>
          <w:sz w:val="30"/>
          <w:szCs w:val="30"/>
        </w:rPr>
        <w:t xml:space="preserve">                      衡南县近尾洲镇人民政府</w:t>
      </w:r>
    </w:p>
    <w:p>
      <w:pPr>
        <w:spacing w:line="560" w:lineRule="exact"/>
        <w:ind w:right="960" w:firstLineChars="200" w:firstLine="600"/>
        <w:jc w:val="right"/>
        <w:rPr>
          <w:rFonts w:ascii="宋体"/>
          <w:sz w:val="30"/>
          <w:szCs w:val="30"/>
        </w:rPr>
      </w:pPr>
      <w:r>
        <w:rPr>
          <w:rFonts w:ascii="宋体" w:hint="eastAsia"/>
          <w:sz w:val="30"/>
          <w:szCs w:val="30"/>
        </w:rPr>
        <w:t>202</w:t>
      </w:r>
      <w:r>
        <w:rPr>
          <w:rFonts w:ascii="宋体"/>
          <w:sz w:val="30"/>
          <w:szCs w:val="30"/>
        </w:rPr>
        <w:t>2</w:t>
      </w:r>
      <w:r>
        <w:rPr>
          <w:rFonts w:ascii="宋体" w:hint="eastAsia"/>
          <w:sz w:val="30"/>
          <w:szCs w:val="30"/>
        </w:rPr>
        <w:t>年</w:t>
      </w:r>
      <w:r>
        <w:rPr>
          <w:rFonts w:ascii="宋体"/>
          <w:sz w:val="30"/>
          <w:szCs w:val="30"/>
        </w:rPr>
        <w:t>4</w:t>
      </w:r>
      <w:r>
        <w:rPr>
          <w:rFonts w:ascii="宋体" w:hint="eastAsia"/>
          <w:sz w:val="30"/>
          <w:szCs w:val="30"/>
        </w:rPr>
        <w:t>月</w:t>
      </w:r>
      <w:r>
        <w:rPr>
          <w:rFonts w:ascii="宋体"/>
          <w:sz w:val="30"/>
          <w:szCs w:val="30"/>
        </w:rPr>
        <w:t>25</w:t>
      </w:r>
      <w:r>
        <w:rPr>
          <w:rFonts w:ascii="宋体" w:hint="eastAsia"/>
          <w:sz w:val="30"/>
          <w:szCs w:val="30"/>
        </w:rPr>
        <w:t>日</w:t>
      </w:r>
    </w:p>
    <w:p>
      <w:pPr>
        <w:rPr>
          <w:rFonts w:ascii="宋体"/>
        </w:rPr>
      </w:pPr>
    </w:p>
    <w:sectPr>
      <w:headerReference w:type="default" r:id="rId2"/>
      <w:footerReference w:type="default" r:id="rId3"/>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modern"/>
    <w:pitch w:val="variable"/>
    <w:sig w:usb0="00000001" w:usb1="080E0000" w:usb2="0000000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mc:AlternateContent>
        <mc:Choice Requires="wps">
          <w:drawing>
            <wp:anchor distT="0" distB="0" distL="91438" distR="91438" simplePos="0" relativeHeight="12" behindDoc="0" locked="0" layoutInCell="1" hidden="0" allowOverlap="1">
              <wp:simplePos x="0" y="0"/>
              <wp:positionH relativeFrom="margin">
                <wp:align>right</wp:align>
              </wp:positionH>
              <wp:positionV relativeFrom="paragraph">
                <wp:posOffset>0</wp:posOffset>
              </wp:positionV>
              <wp:extent cx="57949" cy="139560"/>
              <wp:effectExtent l="0" t="0" r="0" b="0"/>
              <wp:wrapNone/>
              <wp:docPr id="1" name="文本框 1025"/>
              <wp:cNvGraphicFramePr>
                <a:graphicFrameLocks noChangeAspect="0"/>
              </wp:cNvGraphicFramePr>
              <a:graphic>
                <a:graphicData uri="http://schemas.microsoft.com/office/word/2010/wordprocessingShape">
                  <wps:wsp>
                    <wps:cNvSpPr/>
                    <wps:spPr>
                      <a:xfrm rot="0">
                        <a:off x="0" y="0"/>
                        <a:ext cx="57949" cy="139560"/>
                      </a:xfrm>
                      <a:prstGeom prst="rect"/>
                      <a:noFill/>
                      <a:ln w="9525" cmpd="sng" cap="flat">
                        <a:noFill/>
                        <a:prstDash val="solid"/>
                        <a:miter/>
                      </a:ln>
                    </wps:spPr>
                    <wps:txbx id="2">
                      <w:txbxContent>
                        <w:p>
                          <w:pPr>
                            <w:pStyle w:val="16"/>
                            <w:tabs>
                              <w:tab w:val="center" w:pos="4153"/>
                              <w:tab w:val="right" w:pos="8306"/>
                            </w:tabs>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vert="horz" wrap="none" lIns="0" tIns="0" rIns="0" bIns="0" anchor="t" anchorCtr="0" upright="1">
                      <a:spAutoFit/>
                    </wps:bodyPr>
                  </wps:wsp>
                </a:graphicData>
              </a:graphic>
            </wp:anchor>
          </w:drawing>
        </mc:Choice>
        <mc:Fallback>
          <w:pict>
            <v:rect type="#_x0000_t1" id="文本框 1025 3" o:spid="_x0000_s3" filled="f" stroked="f" style="position:absolute;margin-left:-46.65002pt;margin-top:0.0pt;width:4.5629916pt;height:10.989017pt;z-index:12;mso-position-horizontal:right;mso-position-horizontal-relative:margin;mso-position-vertical:absolute;mso-wrap-distance-left:7.19989pt;mso-wrap-distance-right:7.19989pt;mso-wrap-style:none;">
              <v:stroke color="#000000"/>
              <v:textbox id="848" inset="0mm,0mm,0mm,0mm" o:insetmode="custom" style="layout-flow:horizontal;v-text-anchor:top;mso-fit-shape-to-text:t;">
                <w:txbxContent>
                  <w:p>
                    <w:pPr>
                      <w:pStyle w:val="16"/>
                      <w:tabs>
                        <w:tab w:val="center" w:pos="4153"/>
                        <w:tab w:val="right" w:pos="8306"/>
                      </w:tabs>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rect>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5857928D"/>
    <w:multiLevelType w:val="singleLevel"/>
    <w:tmpl w:val="5857928D"/>
    <w:lvl w:ilvl="0">
      <w:start w:val="1"/>
      <w:numFmt w:val="chineseCounting"/>
      <w:lvlRestart w:val="0"/>
      <w:suff w:val="nothing"/>
      <w:lvlText w:val="%1、"/>
      <w:lvlJc w:val="left"/>
      <w:pPr>
        <w:tabs>
          <w:tab w:val="num" w:pos="0"/>
        </w:tabs>
        <w:ind w:left="0" w:hanging="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Calibri" w:eastAsia="宋体" w:cs="宋体" w:hAnsi="Calibri"/>
      <w:kern w:val="2"/>
      <w:sz w:val="21"/>
      <w:szCs w:val="24"/>
      <w:lang w:val="en-US" w:eastAsia="zh-CN" w:bidi="ar-SA"/>
    </w:rPr>
  </w:style>
  <w:style w:type="paragraph" w:styleId="1">
    <w:name w:val="heading 1"/>
    <w:qFormat/>
    <w:basedOn w:val="0"/>
    <w:next w:val="0"/>
    <w:pPr>
      <w:keepNext/>
      <w:keepLines/>
      <w:widowControl w:val="0"/>
      <w:spacing w:before="340" w:after="330" w:line="578" w:lineRule="auto"/>
      <w:outlineLvl w:val="0"/>
    </w:pPr>
    <w:rPr>
      <w:b/>
      <w:bCs/>
      <w:kern w:val="44"/>
      <w:sz w:val="44"/>
    </w:rPr>
  </w:style>
  <w:style w:type="paragraph" w:styleId="2">
    <w:name w:val="heading 2"/>
    <w:qFormat/>
    <w:basedOn w:val="0"/>
    <w:next w:val="0"/>
    <w:pPr>
      <w:keepNext/>
      <w:keepLines/>
      <w:widowControl w:val="0"/>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widowControl w:val="0"/>
      <w:spacing w:before="260" w:after="260" w:line="415" w:lineRule="auto"/>
      <w:outlineLvl w:val="2"/>
    </w:pPr>
    <w:rPr>
      <w:b/>
      <w:sz w:val="32"/>
    </w:rPr>
  </w:style>
  <w:style w:type="character" w:default="1" w:styleId="10">
    <w:name w:val="Default Paragraph Font"/>
    <w:qFormat/>
  </w:style>
  <w:style w:type="paragraph" w:styleId="15">
    <w:name w:val="header"/>
    <w:qFormat/>
    <w:pPr>
      <w:widowControl w:val="0"/>
      <w:pBdr>
        <w:bottom w:val="single" w:sz="6" w:space="1" w:color="auto"/>
      </w:pBdr>
      <w:tabs>
        <w:tab w:val="center" w:pos="4153"/>
        <w:tab w:val="right" w:pos="8306"/>
      </w:tabs>
      <w:snapToGrid w:val="0"/>
      <w:jc w:val="center"/>
    </w:pPr>
    <w:rPr>
      <w:rFonts w:ascii="Calibri" w:eastAsia="宋体" w:cs="宋体" w:hAnsi="Calibri"/>
      <w:kern w:val="2"/>
      <w:sz w:val="18"/>
      <w:szCs w:val="18"/>
      <w:lang w:val="en-US" w:eastAsia="zh-CN" w:bidi="ar-SA"/>
    </w:rPr>
  </w:style>
  <w:style w:type="paragraph" w:styleId="16">
    <w:name w:val="footer"/>
    <w:qFormat/>
    <w:pPr>
      <w:widowControl w:val="0"/>
      <w:tabs>
        <w:tab w:val="center" w:pos="4153"/>
        <w:tab w:val="right" w:pos="8306"/>
      </w:tabs>
      <w:snapToGrid w:val="0"/>
    </w:pPr>
    <w:rPr>
      <w:rFonts w:ascii="Calibri" w:eastAsia="宋体" w:cs="宋体" w:hAnsi="Calibri"/>
      <w:kern w:val="2"/>
      <w:sz w:val="18"/>
      <w:szCs w:val="18"/>
      <w:lang w:val="en-US" w:eastAsia="zh-CN" w:bidi="ar-SA"/>
    </w:rPr>
  </w:style>
  <w:style w:type="paragraph" w:styleId="17">
    <w:name w:val="Normal (Web)"/>
    <w:qFormat/>
    <w:pPr>
      <w:widowControl w:val="0"/>
      <w:jc w:val="left"/>
    </w:pPr>
    <w:rPr>
      <w:rFonts w:ascii="Calibri" w:eastAsia="宋体" w:cs="Calibri" w:hAnsi="Calibri"/>
      <w:kern w:val="0"/>
      <w:sz w:val="18"/>
      <w:szCs w:val="18"/>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1542</TotalTime>
  <Application>Yozo_Office27021597764231180</Application>
  <Pages>10</Pages>
  <Words>0</Words>
  <Characters>3728</Characters>
  <Lines>0</Lines>
  <Paragraphs>105</Paragraphs>
  <CharactersWithSpaces>4971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Win</dc:creator>
  <cp:lastModifiedBy>Win</cp:lastModifiedBy>
  <cp:revision>40</cp:revision>
  <dcterms:created xsi:type="dcterms:W3CDTF">2022-04-19T03:36:00Z</dcterms:created>
  <dcterms:modified xsi:type="dcterms:W3CDTF">2022-05-05T07:07:13Z</dcterms:modified>
</cp:coreProperties>
</file>