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rPr>
        <w:t>21</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 xml:space="preserve">部门(单位)名称：衡南县洪山镇人民政府             </w:t>
      </w:r>
    </w:p>
    <w:p>
      <w:pPr>
        <w:ind w:firstLine="640" w:firstLineChars="200"/>
        <w:rPr>
          <w:rFonts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900088</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 xml:space="preserve">报告日期：   2022 年 04 月 </w:t>
      </w:r>
      <w:r>
        <w:rPr>
          <w:rFonts w:ascii="仿宋_GB2312" w:eastAsia="仿宋_GB2312"/>
          <w:sz w:val="32"/>
          <w:szCs w:val="32"/>
        </w:rPr>
        <w:t>22</w:t>
      </w:r>
      <w:r>
        <w:rPr>
          <w:rFonts w:hint="eastAsia" w:ascii="仿宋_GB2312" w:eastAsia="仿宋_GB2312"/>
          <w:sz w:val="32"/>
          <w:szCs w:val="32"/>
        </w:rPr>
        <w:t xml:space="preserve"> 日</w:t>
      </w:r>
    </w:p>
    <w:p/>
    <w:p/>
    <w:p/>
    <w:p/>
    <w:p/>
    <w:p/>
    <w:p/>
    <w:p/>
    <w:p/>
    <w:p>
      <w:pPr>
        <w:widowControl/>
        <w:spacing w:line="315" w:lineRule="atLeast"/>
        <w:rPr>
          <w:rFonts w:ascii="宋体" w:hAnsi="宋体"/>
        </w:rPr>
      </w:pPr>
    </w:p>
    <w:p>
      <w:pPr>
        <w:widowControl/>
        <w:spacing w:line="540" w:lineRule="atLeast"/>
        <w:jc w:val="center"/>
        <w:rPr>
          <w:rFonts w:ascii="仿宋" w:hAnsi="仿宋" w:eastAsia="仿宋" w:cs="仿宋"/>
          <w:b/>
          <w:bCs/>
          <w:sz w:val="36"/>
          <w:szCs w:val="36"/>
        </w:rPr>
      </w:pPr>
      <w:r>
        <w:rPr>
          <w:rFonts w:hint="eastAsia" w:ascii="仿宋" w:hAnsi="仿宋" w:eastAsia="仿宋" w:cs="仿宋"/>
          <w:b/>
          <w:bCs/>
          <w:color w:val="000000"/>
          <w:kern w:val="0"/>
          <w:sz w:val="36"/>
          <w:szCs w:val="36"/>
        </w:rPr>
        <w:t>洪山镇2021年部门整体支出绩效自评报告</w:t>
      </w:r>
    </w:p>
    <w:p>
      <w:pPr>
        <w:ind w:firstLine="560" w:firstLineChars="200"/>
        <w:jc w:val="left"/>
        <w:rPr>
          <w:rFonts w:ascii="仿宋" w:hAnsi="仿宋" w:eastAsia="仿宋" w:cs="仿宋"/>
          <w:color w:val="333333"/>
          <w:spacing w:val="-2"/>
          <w:sz w:val="32"/>
          <w:szCs w:val="32"/>
        </w:rPr>
      </w:pPr>
      <w:r>
        <w:rPr>
          <w:rFonts w:hint="eastAsia" w:ascii="仿宋" w:hAnsi="仿宋" w:eastAsia="仿宋" w:cs="仿宋"/>
          <w:color w:val="000000"/>
          <w:kern w:val="0"/>
          <w:sz w:val="28"/>
          <w:szCs w:val="28"/>
        </w:rPr>
        <w:t> </w:t>
      </w:r>
      <w:r>
        <w:rPr>
          <w:rFonts w:hint="eastAsia" w:ascii="仿宋" w:hAnsi="仿宋" w:eastAsia="仿宋" w:cs="仿宋"/>
          <w:color w:val="333333"/>
          <w:spacing w:val="-2"/>
          <w:sz w:val="32"/>
          <w:szCs w:val="32"/>
        </w:rPr>
        <w:t>为加强财政预算资金管理，进一步规范预算资金使用，提高财政资金使用效益，根据《衡南县财政局关于开展2021年度财政资金绩效自评工作的通知》（</w:t>
      </w:r>
      <w:r>
        <w:rPr>
          <w:rFonts w:hint="eastAsia" w:ascii="仿宋_GB2312" w:hAnsi="黑体" w:eastAsia="仿宋_GB2312" w:cs="仿宋_GB2312"/>
          <w:bCs/>
          <w:sz w:val="32"/>
          <w:szCs w:val="32"/>
        </w:rPr>
        <w:t>清财绩[2022]32号</w:t>
      </w:r>
      <w:r>
        <w:rPr>
          <w:rFonts w:hint="eastAsia" w:ascii="仿宋_GB2312" w:hAnsi="黑体" w:eastAsia="仿宋_GB2312" w:cs="仿宋_GB2312"/>
          <w:bCs/>
          <w:sz w:val="36"/>
          <w:szCs w:val="36"/>
        </w:rPr>
        <w:t>）</w:t>
      </w:r>
      <w:r>
        <w:rPr>
          <w:rFonts w:hint="eastAsia" w:ascii="仿宋" w:hAnsi="仿宋" w:eastAsia="仿宋" w:cs="仿宋"/>
          <w:color w:val="333333"/>
          <w:spacing w:val="-2"/>
          <w:sz w:val="32"/>
          <w:szCs w:val="32"/>
        </w:rPr>
        <w:t>要求，我镇对2021年度本单位财政性资金整体使用情况进行了绩效自评，现将具体绩效评价情况报告如下：</w:t>
      </w:r>
    </w:p>
    <w:p>
      <w:pPr>
        <w:numPr>
          <w:ilvl w:val="0"/>
          <w:numId w:val="1"/>
        </w:numPr>
        <w:spacing w:line="600" w:lineRule="exact"/>
        <w:rPr>
          <w:rFonts w:ascii="黑体" w:eastAsia="黑体"/>
          <w:sz w:val="32"/>
          <w:szCs w:val="32"/>
        </w:rPr>
      </w:pPr>
      <w:r>
        <w:rPr>
          <w:rFonts w:hint="eastAsia" w:ascii="黑体" w:eastAsia="黑体"/>
          <w:sz w:val="32"/>
          <w:szCs w:val="32"/>
        </w:rPr>
        <w:t>单位基本情况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洪山镇人民政府为全额财政拨款单位，纳入财政会计集中核算和国库集中支付体系，财务制度执行《预算法》、《行政单位会计制度》。</w:t>
      </w:r>
    </w:p>
    <w:p>
      <w:pPr>
        <w:numPr>
          <w:ilvl w:val="0"/>
          <w:numId w:val="2"/>
        </w:numPr>
        <w:spacing w:line="600" w:lineRule="exact"/>
        <w:ind w:left="638" w:leftChars="304"/>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、机构设置情况</w:t>
      </w:r>
    </w:p>
    <w:p>
      <w:pPr>
        <w:spacing w:line="600" w:lineRule="exact"/>
        <w:rPr>
          <w:rFonts w:hint="eastAsia" w:ascii="仿宋" w:hAnsi="仿宋" w:eastAsia="仿宋"/>
          <w:bCs/>
          <w:sz w:val="32"/>
          <w:shd w:val="clear" w:color="auto" w:fill="FFFFFF"/>
        </w:rPr>
      </w:pPr>
      <w:r>
        <w:rPr>
          <w:rFonts w:hint="eastAsia" w:ascii="仿宋" w:hAnsi="仿宋" w:eastAsia="仿宋"/>
          <w:b/>
          <w:color w:val="383838"/>
          <w:sz w:val="32"/>
          <w:shd w:val="clear" w:color="auto" w:fill="FFFFFF"/>
        </w:rPr>
        <w:t xml:space="preserve">  </w:t>
      </w:r>
      <w:r>
        <w:rPr>
          <w:rFonts w:hint="eastAsia" w:ascii="仿宋" w:hAnsi="仿宋" w:eastAsia="仿宋"/>
          <w:b/>
          <w:color w:val="383838"/>
          <w:sz w:val="32"/>
          <w:shd w:val="clear" w:color="auto" w:fill="FFFFFF"/>
          <w:lang w:val="en-US" w:eastAsia="zh-CN"/>
        </w:rPr>
        <w:t xml:space="preserve"> </w:t>
      </w:r>
      <w:r>
        <w:rPr>
          <w:rFonts w:hint="eastAsia" w:ascii="仿宋" w:hAnsi="仿宋" w:eastAsia="仿宋"/>
          <w:bCs/>
          <w:sz w:val="32"/>
          <w:shd w:val="clear" w:color="auto" w:fill="FFFFFF"/>
        </w:rPr>
        <w:t>截止2021年底全部实有人员共计</w:t>
      </w:r>
      <w:r>
        <w:rPr>
          <w:rFonts w:hint="eastAsia" w:ascii="仿宋" w:hAnsi="仿宋" w:eastAsia="仿宋"/>
          <w:bCs/>
          <w:sz w:val="32"/>
          <w:shd w:val="clear" w:color="auto" w:fill="FFFFFF"/>
          <w:lang w:val="en-US" w:eastAsia="zh-CN"/>
        </w:rPr>
        <w:t>113</w:t>
      </w:r>
      <w:r>
        <w:rPr>
          <w:rFonts w:hint="eastAsia" w:ascii="仿宋" w:hAnsi="仿宋" w:eastAsia="仿宋"/>
          <w:bCs/>
          <w:sz w:val="32"/>
          <w:shd w:val="clear" w:color="auto" w:fill="FFFFFF"/>
        </w:rPr>
        <w:t>人，其中政府在职</w:t>
      </w:r>
      <w:r>
        <w:rPr>
          <w:rFonts w:hint="eastAsia" w:ascii="仿宋" w:hAnsi="仿宋" w:eastAsia="仿宋"/>
          <w:bCs/>
          <w:sz w:val="32"/>
          <w:shd w:val="clear" w:color="auto" w:fill="FFFFFF"/>
          <w:lang w:eastAsia="zh-CN"/>
        </w:rPr>
        <w:t>编财政供养人员</w:t>
      </w:r>
      <w:r>
        <w:rPr>
          <w:rFonts w:hint="eastAsia" w:ascii="仿宋" w:hAnsi="仿宋" w:eastAsia="仿宋"/>
          <w:bCs/>
          <w:sz w:val="32"/>
          <w:shd w:val="clear" w:color="auto" w:fill="FFFFFF"/>
          <w:lang w:val="en-US" w:eastAsia="zh-CN"/>
        </w:rPr>
        <w:t>34</w:t>
      </w:r>
      <w:r>
        <w:rPr>
          <w:rFonts w:hint="eastAsia" w:ascii="仿宋" w:hAnsi="仿宋" w:eastAsia="仿宋"/>
          <w:bCs/>
          <w:sz w:val="32"/>
          <w:shd w:val="clear" w:color="auto" w:fill="FFFFFF"/>
          <w:lang w:eastAsia="zh-CN"/>
        </w:rPr>
        <w:t>人（</w:t>
      </w:r>
      <w:r>
        <w:rPr>
          <w:rFonts w:hint="eastAsia" w:ascii="仿宋" w:hAnsi="仿宋" w:eastAsia="仿宋"/>
          <w:bCs/>
          <w:sz w:val="32"/>
          <w:shd w:val="clear" w:color="auto" w:fill="FFFFFF"/>
          <w:lang w:val="en-US" w:eastAsia="zh-CN"/>
        </w:rPr>
        <w:t>含工勤人员8人）</w:t>
      </w:r>
      <w:r>
        <w:rPr>
          <w:rFonts w:hint="eastAsia" w:ascii="仿宋" w:hAnsi="仿宋" w:eastAsia="仿宋"/>
          <w:bCs/>
          <w:sz w:val="32"/>
          <w:shd w:val="clear" w:color="auto" w:fill="FFFFFF"/>
        </w:rPr>
        <w:t xml:space="preserve">。 </w:t>
      </w:r>
      <w:r>
        <w:rPr>
          <w:rFonts w:hint="eastAsia" w:ascii="仿宋" w:hAnsi="仿宋" w:eastAsia="仿宋"/>
          <w:bCs/>
          <w:sz w:val="32"/>
          <w:shd w:val="clear" w:color="auto" w:fill="FFFFFF"/>
          <w:lang w:val="en-US" w:eastAsia="zh-CN"/>
        </w:rPr>
        <w:t>三中心一站一队在编人数79人</w:t>
      </w:r>
      <w:r>
        <w:rPr>
          <w:rFonts w:hint="eastAsia" w:ascii="仿宋" w:hAnsi="仿宋" w:eastAsia="仿宋"/>
          <w:bCs/>
          <w:sz w:val="32"/>
          <w:shd w:val="clear" w:color="auto" w:fill="FFFFFF"/>
          <w:lang w:eastAsia="zh-CN"/>
        </w:rPr>
        <w:t>；享受遗嘱补助人员</w:t>
      </w:r>
      <w:r>
        <w:rPr>
          <w:rFonts w:hint="eastAsia" w:ascii="仿宋" w:hAnsi="仿宋" w:eastAsia="仿宋"/>
          <w:bCs/>
          <w:sz w:val="32"/>
          <w:shd w:val="clear" w:color="auto" w:fill="FFFFFF"/>
          <w:lang w:val="en-US" w:eastAsia="zh-CN"/>
        </w:rPr>
        <w:t>20</w:t>
      </w:r>
      <w:r>
        <w:rPr>
          <w:rFonts w:hint="eastAsia" w:ascii="仿宋" w:hAnsi="仿宋" w:eastAsia="仿宋"/>
          <w:bCs/>
          <w:sz w:val="32"/>
          <w:shd w:val="clear" w:color="auto" w:fill="FFFFFF"/>
          <w:lang w:eastAsia="zh-CN"/>
        </w:rPr>
        <w:t>人（</w:t>
      </w:r>
      <w:r>
        <w:rPr>
          <w:rFonts w:hint="eastAsia" w:ascii="仿宋" w:hAnsi="仿宋" w:eastAsia="仿宋"/>
          <w:bCs/>
          <w:sz w:val="32"/>
          <w:shd w:val="clear" w:color="auto" w:fill="FFFFFF"/>
          <w:lang w:val="en-US" w:eastAsia="zh-CN"/>
        </w:rPr>
        <w:t>镇本级6人，三中心一站一队14人）</w:t>
      </w:r>
      <w:r>
        <w:rPr>
          <w:rFonts w:hint="eastAsia" w:ascii="仿宋" w:hAnsi="仿宋" w:eastAsia="仿宋"/>
          <w:bCs/>
          <w:sz w:val="32"/>
          <w:shd w:val="clear" w:color="auto" w:fill="FFFFFF"/>
          <w:lang w:eastAsia="zh-CN"/>
        </w:rPr>
        <w:t>；</w:t>
      </w:r>
      <w:r>
        <w:rPr>
          <w:rFonts w:hint="eastAsia" w:ascii="仿宋" w:hAnsi="仿宋" w:eastAsia="仿宋"/>
          <w:bCs/>
          <w:sz w:val="32"/>
          <w:shd w:val="clear" w:color="auto" w:fill="FFFFFF"/>
          <w:lang w:val="en-US" w:eastAsia="zh-CN"/>
        </w:rPr>
        <w:t>退休</w:t>
      </w:r>
      <w:bookmarkStart w:id="0" w:name="_GoBack"/>
      <w:bookmarkEnd w:id="0"/>
      <w:r>
        <w:rPr>
          <w:rFonts w:hint="eastAsia" w:ascii="仿宋" w:hAnsi="仿宋" w:eastAsia="仿宋"/>
          <w:bCs/>
          <w:sz w:val="32"/>
          <w:shd w:val="clear" w:color="auto" w:fill="FFFFFF"/>
          <w:lang w:val="en-US" w:eastAsia="zh-CN"/>
        </w:rPr>
        <w:t>人员51人（镇本级19人，三中心一站一队32人）</w:t>
      </w:r>
      <w:r>
        <w:rPr>
          <w:rFonts w:hint="eastAsia" w:ascii="仿宋" w:hAnsi="仿宋" w:eastAsia="仿宋"/>
          <w:bCs/>
          <w:sz w:val="32"/>
          <w:shd w:val="clear" w:color="auto" w:fill="FFFFFF"/>
          <w:lang w:eastAsia="zh-CN"/>
        </w:rPr>
        <w:t>。</w:t>
      </w:r>
    </w:p>
    <w:p>
      <w:pPr>
        <w:spacing w:line="600" w:lineRule="exact"/>
        <w:ind w:left="638" w:leftChars="304"/>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（二）主要工作职责</w:t>
      </w:r>
    </w:p>
    <w:p>
      <w:pPr>
        <w:spacing w:line="600" w:lineRule="exact"/>
        <w:rPr>
          <w:rFonts w:ascii="仿宋" w:hAnsi="仿宋" w:eastAsia="仿宋"/>
          <w:b/>
          <w:color w:val="383838"/>
          <w:sz w:val="32"/>
          <w:shd w:val="clear" w:color="auto" w:fill="FFFFFF"/>
        </w:rPr>
      </w:pPr>
      <w:r>
        <w:rPr>
          <w:rFonts w:hint="eastAsia" w:ascii="仿宋" w:hAnsi="仿宋" w:eastAsia="仿宋"/>
          <w:bCs/>
          <w:color w:val="383838"/>
          <w:sz w:val="32"/>
          <w:shd w:val="clear" w:color="auto" w:fill="FFFFFF"/>
        </w:rPr>
        <w:t>（1）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w:t>
      </w:r>
      <w:r>
        <w:rPr>
          <w:rFonts w:hint="eastAsia" w:ascii="仿宋" w:hAnsi="仿宋" w:eastAsia="仿宋"/>
          <w:bCs/>
          <w:color w:val="383838"/>
          <w:sz w:val="32"/>
          <w:shd w:val="clear" w:color="auto" w:fill="FFFFFF"/>
        </w:rPr>
        <w:br w:type="textWrapping"/>
      </w:r>
      <w:r>
        <w:rPr>
          <w:rFonts w:hint="eastAsia" w:ascii="仿宋" w:hAnsi="仿宋" w:eastAsia="仿宋"/>
          <w:bCs/>
          <w:color w:val="383838"/>
          <w:sz w:val="32"/>
          <w:shd w:val="clear" w:color="auto" w:fill="FFFFFF"/>
        </w:rPr>
        <w:t>（2）制定并组织实施村镇建设规划，部署重点工程建设，地方道路建设及公共设施，水利设施的管理，负责土地、林木、水等自然资源和生态环境的保护，做好护林防火工作。</w:t>
      </w:r>
      <w:r>
        <w:rPr>
          <w:rFonts w:hint="eastAsia" w:ascii="仿宋" w:hAnsi="仿宋" w:eastAsia="仿宋"/>
          <w:bCs/>
          <w:color w:val="383838"/>
          <w:sz w:val="32"/>
          <w:shd w:val="clear" w:color="auto" w:fill="FFFFFF"/>
        </w:rPr>
        <w:br w:type="textWrapping"/>
      </w:r>
      <w:r>
        <w:rPr>
          <w:rFonts w:hint="eastAsia" w:ascii="仿宋" w:hAnsi="仿宋" w:eastAsia="仿宋"/>
          <w:bCs/>
          <w:color w:val="383838"/>
          <w:sz w:val="32"/>
          <w:shd w:val="clear" w:color="auto" w:fill="FFFFFF"/>
        </w:rPr>
        <w:t>（3）负责本行政区域内的党建、扶贫、民政、安全生产、教育、卫生、计划生育、文体等社会公益事业的综合性工作，维护一切经济单位和个人的正当经济权益，取缔非法经济活动，调解和处理民事纠纷，打击刑事犯罪，维护社会稳定。</w:t>
      </w:r>
      <w:r>
        <w:rPr>
          <w:rFonts w:hint="eastAsia" w:ascii="仿宋" w:hAnsi="仿宋" w:eastAsia="仿宋"/>
          <w:bCs/>
          <w:color w:val="383838"/>
          <w:sz w:val="32"/>
          <w:shd w:val="clear" w:color="auto" w:fill="FFFFFF"/>
        </w:rPr>
        <w:br w:type="textWrapping"/>
      </w:r>
      <w:r>
        <w:rPr>
          <w:rFonts w:hint="eastAsia" w:ascii="仿宋" w:hAnsi="仿宋" w:eastAsia="仿宋"/>
          <w:bCs/>
          <w:color w:val="383838"/>
          <w:sz w:val="32"/>
          <w:shd w:val="clear" w:color="auto" w:fill="FFFFFF"/>
        </w:rPr>
        <w:t>（4）按计划组织本级财政收入和地方税的征收，完成国家财政计划，不断培植税源，管好财政资金，增强财政实力。</w:t>
      </w:r>
      <w:r>
        <w:rPr>
          <w:rFonts w:hint="eastAsia" w:ascii="仿宋" w:hAnsi="仿宋" w:eastAsia="仿宋"/>
          <w:bCs/>
          <w:color w:val="383838"/>
          <w:sz w:val="32"/>
          <w:shd w:val="clear" w:color="auto" w:fill="FFFFFF"/>
        </w:rPr>
        <w:br w:type="textWrapping"/>
      </w:r>
      <w:r>
        <w:rPr>
          <w:rFonts w:hint="eastAsia" w:ascii="仿宋" w:hAnsi="仿宋" w:eastAsia="仿宋"/>
          <w:bCs/>
          <w:color w:val="383838"/>
          <w:sz w:val="32"/>
          <w:shd w:val="clear" w:color="auto" w:fill="FFFFFF"/>
        </w:rPr>
        <w:t>（5）抓好精神文明建设，丰富群众文化生活，提倡移风易俗，反对封建迷信，破除陈规陋习，树立社会主义新风尚。</w:t>
      </w:r>
      <w:r>
        <w:rPr>
          <w:rFonts w:hint="eastAsia" w:ascii="仿宋" w:hAnsi="仿宋" w:eastAsia="仿宋"/>
          <w:bCs/>
          <w:color w:val="383838"/>
          <w:sz w:val="32"/>
          <w:shd w:val="clear" w:color="auto" w:fill="FFFFFF"/>
        </w:rPr>
        <w:br w:type="textWrapping"/>
      </w:r>
      <w:r>
        <w:rPr>
          <w:rFonts w:hint="eastAsia" w:ascii="仿宋" w:hAnsi="仿宋" w:eastAsia="仿宋"/>
          <w:bCs/>
          <w:color w:val="383838"/>
          <w:sz w:val="32"/>
          <w:shd w:val="clear" w:color="auto" w:fill="FFFFFF"/>
        </w:rPr>
        <w:t>（6）完成上级政府交办的其它事项。</w:t>
      </w:r>
    </w:p>
    <w:p>
      <w:pPr>
        <w:spacing w:line="600" w:lineRule="exact"/>
        <w:ind w:left="638" w:leftChars="304"/>
        <w:rPr>
          <w:rFonts w:ascii="仿宋" w:hAnsi="仿宋" w:eastAsia="仿宋"/>
          <w:b/>
          <w:color w:val="383838"/>
          <w:sz w:val="32"/>
          <w:shd w:val="clear" w:color="auto" w:fill="FFFFFF"/>
        </w:rPr>
      </w:pPr>
    </w:p>
    <w:p>
      <w:pPr>
        <w:spacing w:line="600" w:lineRule="exact"/>
        <w:ind w:firstLine="640" w:firstLineChars="200"/>
        <w:rPr>
          <w:rFonts w:ascii="黑体" w:eastAsia="黑体"/>
          <w:sz w:val="32"/>
          <w:szCs w:val="32"/>
        </w:rPr>
      </w:pPr>
      <w:r>
        <w:rPr>
          <w:rFonts w:hint="eastAsia" w:ascii="黑体" w:eastAsia="黑体"/>
          <w:sz w:val="32"/>
          <w:szCs w:val="32"/>
        </w:rPr>
        <w:t>二、部门整体支出管理及使用情况</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（一）部门预算决算收支情况</w:t>
      </w:r>
    </w:p>
    <w:p>
      <w:pPr>
        <w:spacing w:line="600" w:lineRule="exact"/>
        <w:ind w:firstLine="640" w:firstLineChars="200"/>
        <w:rPr>
          <w:rFonts w:ascii="仿宋" w:hAnsi="仿宋" w:eastAsia="仿宋" w:cs="仿宋"/>
          <w:color w:val="FF0000"/>
          <w:sz w:val="32"/>
          <w:szCs w:val="32"/>
        </w:rPr>
      </w:pPr>
      <w:r>
        <w:rPr>
          <w:rFonts w:hint="eastAsia" w:ascii="仿宋" w:hAnsi="仿宋" w:eastAsia="仿宋" w:cs="Times New Roman"/>
          <w:bCs/>
          <w:sz w:val="32"/>
          <w:shd w:val="clear" w:color="auto" w:fill="FFFFFF"/>
        </w:rPr>
        <w:t>20</w:t>
      </w:r>
      <w:r>
        <w:rPr>
          <w:rFonts w:hint="eastAsia" w:ascii="仿宋" w:hAnsi="仿宋" w:eastAsia="仿宋" w:cs="仿宋"/>
          <w:spacing w:val="-2"/>
          <w:sz w:val="28"/>
          <w:szCs w:val="28"/>
        </w:rPr>
        <w:t>21</w:t>
      </w:r>
      <w:r>
        <w:rPr>
          <w:rFonts w:hint="eastAsia" w:ascii="仿宋" w:hAnsi="仿宋" w:eastAsia="仿宋" w:cs="Times New Roman"/>
          <w:bCs/>
          <w:sz w:val="32"/>
          <w:shd w:val="clear" w:color="auto" w:fill="FFFFFF"/>
        </w:rPr>
        <w:t>年年初预算收入</w:t>
      </w:r>
      <w:r>
        <w:rPr>
          <w:rFonts w:hint="eastAsia" w:ascii="仿宋" w:hAnsi="仿宋" w:eastAsia="仿宋" w:cs="仿宋"/>
          <w:sz w:val="32"/>
          <w:szCs w:val="32"/>
        </w:rPr>
        <w:t>1448.03</w:t>
      </w:r>
      <w:r>
        <w:rPr>
          <w:rFonts w:hint="eastAsia" w:ascii="仿宋" w:hAnsi="仿宋" w:eastAsia="仿宋" w:cs="Times New Roman"/>
          <w:bCs/>
          <w:sz w:val="32"/>
          <w:shd w:val="clear" w:color="auto" w:fill="FFFFFF"/>
        </w:rPr>
        <w:t>万元，</w:t>
      </w:r>
      <w:r>
        <w:rPr>
          <w:rFonts w:hint="eastAsia" w:ascii="仿宋" w:hAnsi="仿宋" w:eastAsia="仿宋" w:cs="仿宋"/>
          <w:sz w:val="32"/>
          <w:szCs w:val="32"/>
        </w:rPr>
        <w:t>其中：工资福利支出873.46万元，一般商品和服务支出129.2万元，对个人和家庭的补助21.37万元</w:t>
      </w:r>
      <w:r>
        <w:rPr>
          <w:rFonts w:hint="eastAsia" w:ascii="仿宋" w:hAnsi="仿宋" w:eastAsia="仿宋" w:cs="仿宋"/>
          <w:color w:val="FF0000"/>
          <w:sz w:val="32"/>
          <w:szCs w:val="32"/>
        </w:rPr>
        <w:t>，</w:t>
      </w:r>
      <w:r>
        <w:rPr>
          <w:rFonts w:hint="eastAsia" w:ascii="仿宋" w:hAnsi="仿宋" w:eastAsia="仿宋" w:cs="仿宋"/>
          <w:sz w:val="32"/>
          <w:szCs w:val="32"/>
        </w:rPr>
        <w:t>项目支出424万元。</w:t>
      </w:r>
    </w:p>
    <w:p>
      <w:pPr>
        <w:shd w:val="solid" w:color="FFFFFF" w:fill="auto"/>
        <w:autoSpaceDN w:val="0"/>
        <w:ind w:firstLine="640" w:firstLineChars="200"/>
        <w:rPr>
          <w:rFonts w:ascii="仿宋" w:hAnsi="仿宋" w:eastAsia="仿宋" w:cs="Times New Roman"/>
          <w:bCs/>
          <w:color w:val="383838"/>
          <w:sz w:val="32"/>
          <w:highlight w:val="none"/>
          <w:shd w:val="clear" w:color="auto" w:fill="FFFFFF"/>
        </w:rPr>
      </w:pPr>
      <w:r>
        <w:rPr>
          <w:rFonts w:hint="eastAsia" w:ascii="仿宋" w:hAnsi="仿宋" w:eastAsia="仿宋" w:cs="Times New Roman"/>
          <w:bCs/>
          <w:color w:val="383838"/>
          <w:sz w:val="32"/>
          <w:shd w:val="clear" w:color="auto" w:fill="FFFFFF"/>
        </w:rPr>
        <w:t>20</w:t>
      </w:r>
      <w:r>
        <w:rPr>
          <w:rFonts w:hint="eastAsia" w:ascii="仿宋" w:hAnsi="仿宋" w:eastAsia="仿宋" w:cs="仿宋"/>
          <w:color w:val="333333"/>
          <w:spacing w:val="-2"/>
          <w:sz w:val="28"/>
          <w:szCs w:val="28"/>
        </w:rPr>
        <w:t>21</w:t>
      </w:r>
      <w:r>
        <w:rPr>
          <w:rFonts w:hint="eastAsia" w:ascii="仿宋" w:hAnsi="仿宋" w:eastAsia="仿宋" w:cs="Times New Roman"/>
          <w:bCs/>
          <w:color w:val="383838"/>
          <w:sz w:val="32"/>
          <w:shd w:val="clear" w:color="auto" w:fill="FFFFFF"/>
        </w:rPr>
        <w:t>年</w:t>
      </w:r>
      <w:r>
        <w:rPr>
          <w:rFonts w:hint="eastAsia" w:ascii="仿宋" w:hAnsi="仿宋" w:eastAsia="仿宋" w:cs="Times New Roman"/>
          <w:bCs/>
          <w:color w:val="383838"/>
          <w:sz w:val="32"/>
          <w:highlight w:val="none"/>
          <w:shd w:val="clear" w:color="auto" w:fill="FFFFFF"/>
        </w:rPr>
        <w:t>决算</w:t>
      </w:r>
      <w:r>
        <w:rPr>
          <w:rFonts w:hint="eastAsia" w:ascii="仿宋" w:hAnsi="仿宋" w:eastAsia="仿宋" w:cs="Times New Roman"/>
          <w:bCs/>
          <w:color w:val="383838"/>
          <w:sz w:val="32"/>
          <w:shd w:val="clear" w:color="auto" w:fill="FFFFFF"/>
        </w:rPr>
        <w:t>收入</w:t>
      </w:r>
      <w:r>
        <w:rPr>
          <w:rFonts w:hint="eastAsia" w:ascii="仿宋" w:hAnsi="仿宋" w:eastAsia="仿宋" w:cs="仿宋"/>
          <w:sz w:val="32"/>
          <w:szCs w:val="32"/>
          <w:lang w:val="en-US" w:eastAsia="zh-CN"/>
        </w:rPr>
        <w:t>1624.16</w:t>
      </w:r>
      <w:r>
        <w:rPr>
          <w:rFonts w:hint="eastAsia" w:ascii="仿宋" w:hAnsi="仿宋" w:eastAsia="仿宋" w:cs="Times New Roman"/>
          <w:bCs/>
          <w:color w:val="383838"/>
          <w:sz w:val="32"/>
          <w:shd w:val="clear" w:color="auto" w:fill="FFFFFF"/>
        </w:rPr>
        <w:t>万元。本年度总支出</w:t>
      </w:r>
      <w:r>
        <w:rPr>
          <w:rFonts w:hint="eastAsia" w:ascii="仿宋" w:hAnsi="仿宋" w:eastAsia="仿宋" w:cs="仿宋"/>
          <w:sz w:val="32"/>
          <w:szCs w:val="32"/>
          <w:lang w:val="en-US" w:eastAsia="zh-CN"/>
        </w:rPr>
        <w:t>1624.16</w:t>
      </w:r>
      <w:r>
        <w:rPr>
          <w:rFonts w:hint="eastAsia" w:ascii="仿宋" w:hAnsi="仿宋" w:eastAsia="仿宋" w:cs="Times New Roman"/>
          <w:bCs/>
          <w:color w:val="383838"/>
          <w:sz w:val="32"/>
          <w:shd w:val="clear" w:color="auto" w:fill="FFFFFF"/>
        </w:rPr>
        <w:t>万元，其中</w:t>
      </w:r>
      <w:r>
        <w:rPr>
          <w:rFonts w:hint="eastAsia" w:ascii="仿宋" w:hAnsi="仿宋" w:eastAsia="仿宋" w:cs="Times New Roman"/>
          <w:bCs/>
          <w:color w:val="383838"/>
          <w:sz w:val="32"/>
          <w:highlight w:val="none"/>
          <w:shd w:val="clear" w:color="auto" w:fill="FFFFFF"/>
        </w:rPr>
        <w:t>：</w:t>
      </w:r>
      <w:r>
        <w:rPr>
          <w:rFonts w:hint="eastAsia" w:ascii="仿宋" w:hAnsi="仿宋" w:eastAsia="仿宋" w:cs="仿宋"/>
          <w:color w:val="333333"/>
          <w:sz w:val="32"/>
          <w:szCs w:val="32"/>
          <w:highlight w:val="none"/>
        </w:rPr>
        <w:t>工资福利支出</w:t>
      </w:r>
      <w:r>
        <w:rPr>
          <w:rFonts w:hint="eastAsia" w:ascii="仿宋" w:hAnsi="仿宋" w:eastAsia="仿宋" w:cs="仿宋"/>
          <w:color w:val="333333"/>
          <w:sz w:val="32"/>
          <w:szCs w:val="32"/>
          <w:highlight w:val="none"/>
          <w:lang w:val="en-US" w:eastAsia="zh-CN"/>
        </w:rPr>
        <w:t>570.93</w:t>
      </w:r>
      <w:r>
        <w:rPr>
          <w:rFonts w:hint="eastAsia" w:ascii="仿宋" w:hAnsi="仿宋" w:eastAsia="仿宋" w:cs="仿宋"/>
          <w:color w:val="333333"/>
          <w:sz w:val="32"/>
          <w:szCs w:val="32"/>
          <w:highlight w:val="none"/>
        </w:rPr>
        <w:t>万元，一般商品和服务支出</w:t>
      </w:r>
      <w:r>
        <w:rPr>
          <w:rFonts w:hint="eastAsia" w:ascii="仿宋" w:hAnsi="仿宋" w:eastAsia="仿宋" w:cs="仿宋"/>
          <w:color w:val="333333"/>
          <w:sz w:val="32"/>
          <w:szCs w:val="32"/>
          <w:highlight w:val="none"/>
          <w:lang w:val="en-US" w:eastAsia="zh-CN"/>
        </w:rPr>
        <w:t>273.47</w:t>
      </w:r>
      <w:r>
        <w:rPr>
          <w:rFonts w:hint="eastAsia" w:ascii="仿宋" w:hAnsi="仿宋" w:eastAsia="仿宋" w:cs="仿宋"/>
          <w:color w:val="333333"/>
          <w:sz w:val="32"/>
          <w:szCs w:val="32"/>
          <w:highlight w:val="none"/>
        </w:rPr>
        <w:t>万元，对个人和家庭的补助</w:t>
      </w:r>
      <w:r>
        <w:rPr>
          <w:rFonts w:hint="eastAsia" w:ascii="仿宋" w:hAnsi="仿宋" w:eastAsia="仿宋" w:cs="仿宋"/>
          <w:color w:val="333333"/>
          <w:sz w:val="32"/>
          <w:szCs w:val="32"/>
          <w:highlight w:val="none"/>
          <w:lang w:val="en-US" w:eastAsia="zh-CN"/>
        </w:rPr>
        <w:t>42</w:t>
      </w:r>
      <w:r>
        <w:rPr>
          <w:rFonts w:hint="eastAsia" w:ascii="仿宋" w:hAnsi="仿宋" w:eastAsia="仿宋" w:cs="仿宋"/>
          <w:color w:val="333333"/>
          <w:sz w:val="32"/>
          <w:szCs w:val="32"/>
          <w:highlight w:val="none"/>
        </w:rPr>
        <w:t>元，；项目支出</w:t>
      </w:r>
      <w:r>
        <w:rPr>
          <w:rFonts w:hint="eastAsia" w:ascii="仿宋" w:hAnsi="仿宋" w:eastAsia="仿宋" w:cs="仿宋"/>
          <w:color w:val="333333"/>
          <w:sz w:val="32"/>
          <w:szCs w:val="32"/>
          <w:highlight w:val="none"/>
          <w:lang w:val="en-US" w:eastAsia="zh-CN"/>
        </w:rPr>
        <w:t>737.76</w:t>
      </w:r>
      <w:r>
        <w:rPr>
          <w:rFonts w:hint="eastAsia" w:ascii="仿宋" w:hAnsi="仿宋" w:eastAsia="仿宋" w:cs="仿宋"/>
          <w:color w:val="333333"/>
          <w:sz w:val="32"/>
          <w:szCs w:val="32"/>
          <w:highlight w:val="none"/>
        </w:rPr>
        <w:t>万元</w:t>
      </w:r>
      <w:r>
        <w:rPr>
          <w:rFonts w:hint="eastAsia" w:ascii="仿宋" w:hAnsi="仿宋" w:eastAsia="仿宋" w:cs="Times New Roman"/>
          <w:bCs/>
          <w:color w:val="383838"/>
          <w:sz w:val="32"/>
          <w:highlight w:val="none"/>
          <w:shd w:val="clear" w:color="auto" w:fill="FFFFFF"/>
        </w:rPr>
        <w:t>。</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（二）支出分类情况。</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1.基本支出</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基本支出为保障单位机构正常运转、完成日常工作任务而发生的各项支出，包括用于基本工资、津贴补贴等人员经费以及办公费、印刷费、水电费等日常公用经费。</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sz w:val="32"/>
          <w:shd w:val="clear" w:color="auto" w:fill="FFFFFF"/>
        </w:rPr>
        <w:t>2021年年初预算批复的基本支出为1024.03万元</w:t>
      </w:r>
      <w:r>
        <w:rPr>
          <w:rFonts w:hint="eastAsia" w:ascii="仿宋" w:hAnsi="仿宋" w:eastAsia="仿宋" w:cs="Times New Roman"/>
          <w:bCs/>
          <w:color w:val="383838"/>
          <w:sz w:val="32"/>
          <w:shd w:val="clear" w:color="auto" w:fill="FFFFFF"/>
        </w:rPr>
        <w:t>，2021年决算基本支出</w:t>
      </w:r>
      <w:r>
        <w:rPr>
          <w:rFonts w:ascii="仿宋" w:hAnsi="仿宋" w:eastAsia="仿宋" w:cs="Times New Roman"/>
          <w:bCs/>
          <w:color w:val="383838"/>
          <w:sz w:val="32"/>
          <w:highlight w:val="none"/>
          <w:shd w:val="clear" w:color="auto" w:fill="FFFFFF"/>
        </w:rPr>
        <w:t>1024.03</w:t>
      </w:r>
      <w:r>
        <w:rPr>
          <w:rFonts w:hint="eastAsia" w:ascii="仿宋" w:hAnsi="仿宋" w:eastAsia="仿宋" w:cs="Times New Roman"/>
          <w:bCs/>
          <w:color w:val="383838"/>
          <w:sz w:val="32"/>
          <w:highlight w:val="none"/>
          <w:shd w:val="clear" w:color="auto" w:fill="FFFFFF"/>
        </w:rPr>
        <w:t>万元，其中：</w:t>
      </w:r>
      <w:r>
        <w:rPr>
          <w:rFonts w:hint="eastAsia" w:ascii="仿宋" w:hAnsi="仿宋" w:eastAsia="仿宋" w:cs="仿宋"/>
          <w:color w:val="333333"/>
          <w:sz w:val="32"/>
          <w:szCs w:val="32"/>
          <w:highlight w:val="none"/>
        </w:rPr>
        <w:t>工资福利支出</w:t>
      </w:r>
      <w:r>
        <w:rPr>
          <w:rFonts w:ascii="仿宋" w:hAnsi="仿宋" w:eastAsia="仿宋" w:cs="仿宋"/>
          <w:color w:val="333333"/>
          <w:sz w:val="32"/>
          <w:szCs w:val="32"/>
          <w:highlight w:val="none"/>
        </w:rPr>
        <w:t>873.46</w:t>
      </w:r>
      <w:r>
        <w:rPr>
          <w:rFonts w:hint="eastAsia" w:ascii="仿宋" w:hAnsi="仿宋" w:eastAsia="仿宋" w:cs="仿宋"/>
          <w:color w:val="333333"/>
          <w:sz w:val="32"/>
          <w:szCs w:val="32"/>
          <w:highlight w:val="none"/>
        </w:rPr>
        <w:t>万元，一般商品和服务支出</w:t>
      </w:r>
      <w:r>
        <w:rPr>
          <w:rFonts w:ascii="仿宋" w:hAnsi="仿宋" w:eastAsia="仿宋" w:cs="仿宋"/>
          <w:color w:val="333333"/>
          <w:sz w:val="32"/>
          <w:szCs w:val="32"/>
          <w:highlight w:val="none"/>
        </w:rPr>
        <w:t>129.2</w:t>
      </w:r>
      <w:r>
        <w:rPr>
          <w:rFonts w:hint="eastAsia" w:ascii="仿宋" w:hAnsi="仿宋" w:eastAsia="仿宋" w:cs="仿宋"/>
          <w:color w:val="333333"/>
          <w:sz w:val="32"/>
          <w:szCs w:val="32"/>
          <w:highlight w:val="none"/>
        </w:rPr>
        <w:t>万元，对个人和家庭的补助</w:t>
      </w:r>
      <w:r>
        <w:rPr>
          <w:rFonts w:ascii="仿宋" w:hAnsi="仿宋" w:eastAsia="仿宋" w:cs="仿宋"/>
          <w:color w:val="333333"/>
          <w:sz w:val="32"/>
          <w:szCs w:val="32"/>
          <w:highlight w:val="none"/>
        </w:rPr>
        <w:t>21.37</w:t>
      </w:r>
      <w:r>
        <w:rPr>
          <w:rFonts w:hint="eastAsia" w:ascii="仿宋" w:hAnsi="仿宋" w:eastAsia="仿宋" w:cs="仿宋"/>
          <w:color w:val="333333"/>
          <w:sz w:val="32"/>
          <w:szCs w:val="32"/>
          <w:highlight w:val="none"/>
        </w:rPr>
        <w:t>万元</w:t>
      </w:r>
      <w:r>
        <w:rPr>
          <w:rFonts w:hint="eastAsia" w:ascii="仿宋" w:hAnsi="仿宋" w:eastAsia="仿宋" w:cs="Times New Roman"/>
          <w:bCs/>
          <w:color w:val="383838"/>
          <w:sz w:val="32"/>
          <w:highlight w:val="none"/>
          <w:shd w:val="clear" w:color="auto" w:fill="FFFFFF"/>
        </w:rPr>
        <w:t>。</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2.“三公”经费情况</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w:t>
      </w:r>
      <w:r>
        <w:rPr>
          <w:rFonts w:hint="eastAsia" w:ascii="仿宋" w:hAnsi="仿宋" w:eastAsia="仿宋" w:cs="仿宋"/>
          <w:color w:val="333333"/>
          <w:spacing w:val="-2"/>
          <w:sz w:val="28"/>
          <w:szCs w:val="28"/>
        </w:rPr>
        <w:t>2</w:t>
      </w:r>
      <w:r>
        <w:rPr>
          <w:rFonts w:ascii="仿宋" w:hAnsi="仿宋" w:eastAsia="仿宋" w:cs="仿宋"/>
          <w:color w:val="333333"/>
          <w:spacing w:val="-2"/>
          <w:sz w:val="28"/>
          <w:szCs w:val="28"/>
        </w:rPr>
        <w:t>1</w:t>
      </w:r>
      <w:r>
        <w:rPr>
          <w:rFonts w:hint="eastAsia" w:ascii="仿宋" w:hAnsi="仿宋" w:eastAsia="仿宋" w:cs="Times New Roman"/>
          <w:bCs/>
          <w:color w:val="383838"/>
          <w:sz w:val="32"/>
          <w:shd w:val="clear" w:color="auto" w:fill="FFFFFF"/>
        </w:rPr>
        <w:t>年“三公”经费实际支出</w:t>
      </w:r>
      <w:r>
        <w:rPr>
          <w:rFonts w:ascii="仿宋" w:hAnsi="仿宋" w:eastAsia="仿宋" w:cs="Times New Roman"/>
          <w:bCs/>
          <w:color w:val="383838"/>
          <w:sz w:val="32"/>
          <w:shd w:val="clear" w:color="auto" w:fill="FFFFFF"/>
        </w:rPr>
        <w:t>24.4</w:t>
      </w:r>
      <w:r>
        <w:rPr>
          <w:rFonts w:hint="eastAsia" w:ascii="仿宋" w:hAnsi="仿宋" w:eastAsia="仿宋" w:cs="Times New Roman"/>
          <w:bCs/>
          <w:color w:val="383838"/>
          <w:sz w:val="32"/>
          <w:shd w:val="clear" w:color="auto" w:fill="FFFFFF"/>
        </w:rPr>
        <w:t>万元，其中公务接待</w:t>
      </w:r>
      <w:r>
        <w:rPr>
          <w:rFonts w:ascii="仿宋" w:hAnsi="仿宋" w:eastAsia="仿宋" w:cs="Times New Roman"/>
          <w:bCs/>
          <w:color w:val="383838"/>
          <w:sz w:val="32"/>
          <w:shd w:val="clear" w:color="auto" w:fill="FFFFFF"/>
        </w:rPr>
        <w:t>15</w:t>
      </w:r>
      <w:r>
        <w:rPr>
          <w:rFonts w:hint="eastAsia" w:ascii="仿宋" w:hAnsi="仿宋" w:eastAsia="仿宋" w:cs="Times New Roman"/>
          <w:bCs/>
          <w:color w:val="383838"/>
          <w:sz w:val="32"/>
          <w:shd w:val="clear" w:color="auto" w:fill="FFFFFF"/>
        </w:rPr>
        <w:t>万元，公务用车</w:t>
      </w:r>
      <w:r>
        <w:rPr>
          <w:rFonts w:ascii="仿宋" w:hAnsi="仿宋" w:eastAsia="仿宋" w:cs="Times New Roman"/>
          <w:bCs/>
          <w:color w:val="383838"/>
          <w:sz w:val="32"/>
          <w:shd w:val="clear" w:color="auto" w:fill="FFFFFF"/>
        </w:rPr>
        <w:t>9.4</w:t>
      </w:r>
      <w:r>
        <w:rPr>
          <w:rFonts w:hint="eastAsia" w:ascii="仿宋" w:hAnsi="仿宋" w:eastAsia="仿宋" w:cs="Times New Roman"/>
          <w:bCs/>
          <w:color w:val="383838"/>
          <w:sz w:val="32"/>
          <w:shd w:val="clear" w:color="auto" w:fill="FFFFFF"/>
        </w:rPr>
        <w:t>万元，2020年“三公”经费比上年减少1.</w:t>
      </w:r>
      <w:r>
        <w:rPr>
          <w:rFonts w:ascii="仿宋" w:hAnsi="仿宋" w:eastAsia="仿宋" w:cs="Times New Roman"/>
          <w:bCs/>
          <w:color w:val="383838"/>
          <w:sz w:val="32"/>
          <w:shd w:val="clear" w:color="auto" w:fill="FFFFFF"/>
        </w:rPr>
        <w:t>2</w:t>
      </w:r>
      <w:r>
        <w:rPr>
          <w:rFonts w:hint="eastAsia" w:ascii="仿宋" w:hAnsi="仿宋" w:eastAsia="仿宋" w:cs="Times New Roman"/>
          <w:bCs/>
          <w:color w:val="383838"/>
          <w:sz w:val="32"/>
          <w:shd w:val="clear" w:color="auto" w:fill="FFFFFF"/>
        </w:rPr>
        <w:t>万元。</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spacing w:line="600" w:lineRule="exact"/>
        <w:ind w:firstLine="640" w:firstLineChars="200"/>
        <w:rPr>
          <w:rFonts w:ascii="仿宋_GB2312" w:hAnsi="仿宋_GB2312" w:eastAsia="仿宋_GB2312" w:cs="仿宋_GB2312"/>
          <w:sz w:val="32"/>
          <w:szCs w:val="32"/>
        </w:rPr>
      </w:pPr>
    </w:p>
    <w:p>
      <w:pPr>
        <w:spacing w:line="600" w:lineRule="exact"/>
        <w:ind w:firstLine="640" w:firstLineChars="200"/>
        <w:rPr>
          <w:rFonts w:ascii="黑体" w:eastAsia="黑体"/>
          <w:sz w:val="32"/>
          <w:szCs w:val="32"/>
        </w:rPr>
      </w:pPr>
      <w:r>
        <w:rPr>
          <w:rFonts w:hint="eastAsia" w:ascii="黑体" w:eastAsia="黑体"/>
          <w:sz w:val="32"/>
          <w:szCs w:val="32"/>
        </w:rPr>
        <w:t>三、绩效评价工作情况</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（一）评价目的</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2021年各项工作的开展。</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（二）评价方法</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根据衡南县财政局《衡南县预算绩效管理工作考核办法》（南财预[2015]174号）及县财政局会议精神，我镇成立了绩效评价工作组，于2022年</w:t>
      </w:r>
      <w:r>
        <w:rPr>
          <w:rFonts w:hint="eastAsia" w:ascii="仿宋" w:hAnsi="仿宋" w:eastAsia="仿宋" w:cs="Times New Roman"/>
          <w:bCs/>
          <w:color w:val="383838"/>
          <w:sz w:val="32"/>
          <w:shd w:val="clear" w:color="auto" w:fill="FFFFFF"/>
          <w:lang w:val="en-US" w:eastAsia="zh-CN"/>
        </w:rPr>
        <w:t>3</w:t>
      </w:r>
      <w:r>
        <w:rPr>
          <w:rFonts w:hint="eastAsia" w:ascii="仿宋" w:hAnsi="仿宋" w:eastAsia="仿宋" w:cs="Times New Roman"/>
          <w:bCs/>
          <w:color w:val="383838"/>
          <w:sz w:val="32"/>
          <w:shd w:val="clear" w:color="auto" w:fill="FFFFFF"/>
        </w:rPr>
        <w:t>月中旬起开展了部门整体支出绩效评价工作，具体工作方法包括：</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1、查阅资料。查阅2021年度预算安排、预算追加、经费支出、资金管理、资产管理等相关文件资料和财务凭证。</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2、核实数据。对2021年度部门整体支出数据的准确性、真实性进行核实，将2021年度部门整体支出情况与2021年度预算情况、2021年度部门整体支出情况进行比较分析。</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3、实地查看。现场查看各类实物资产。</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4、汇总归纳。根据取得的各项数据及文件资料，结合现场评价情况进行综合分析、归纳汇总，填写基础数据表、评价指标评分表。</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5、形成绩效评价报告。</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黑体" w:eastAsia="黑体"/>
          <w:sz w:val="32"/>
          <w:szCs w:val="32"/>
        </w:rPr>
        <w:t>四、部门总体支出绩效评价</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2021年我镇根据年初工作规划及财政预算计划，积极履职、强化管理，较好的完成了年度工作目标。通过加强预算收支管理、不断建立健全内部管理制度、梳理内部管理流程，部门整体支出管理情况得到提升。我镇2021年度部门整体支出绩效评价自评得分为</w:t>
      </w:r>
      <w:r>
        <w:rPr>
          <w:rFonts w:hint="eastAsia" w:ascii="仿宋" w:hAnsi="仿宋" w:eastAsia="仿宋" w:cs="Times New Roman"/>
          <w:bCs/>
          <w:sz w:val="32"/>
          <w:shd w:val="clear" w:color="auto" w:fill="FFFFFF"/>
        </w:rPr>
        <w:t>94</w:t>
      </w:r>
      <w:r>
        <w:rPr>
          <w:rFonts w:hint="eastAsia" w:ascii="仿宋" w:hAnsi="仿宋" w:eastAsia="仿宋" w:cs="Times New Roman"/>
          <w:bCs/>
          <w:color w:val="383838"/>
          <w:sz w:val="32"/>
          <w:shd w:val="clear" w:color="auto" w:fill="FFFFFF"/>
        </w:rPr>
        <w:t>分。具体工作主要体现在以下几个方面：</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二是加强资产管理。建立了资产管理制度，固定资产利用率高于90%，定期进行了资产盘点和资产清理，总体执行情况良好。</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三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四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2021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spacing w:line="600" w:lineRule="exact"/>
        <w:ind w:firstLine="640" w:firstLineChars="200"/>
        <w:rPr>
          <w:rFonts w:ascii="黑体" w:eastAsia="黑体"/>
          <w:sz w:val="32"/>
          <w:szCs w:val="32"/>
        </w:rPr>
      </w:pPr>
      <w:r>
        <w:rPr>
          <w:rFonts w:hint="eastAsia" w:ascii="黑体" w:eastAsia="黑体"/>
          <w:sz w:val="32"/>
          <w:szCs w:val="32"/>
        </w:rPr>
        <w:t>五、存在的主要问题</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年初编制的预算只能在县级已出台的政策框架之内，不能预测，编制也就无法精确，导致年内预算追加较大，预算控制率较低；编制年初预算时较为精细，按照费用支出的使用范围和内容，进行了基本支出、项目支出的严格区分，并按照预算的最末级明细进行预算支出管理，专款专用。但对于追加的资金，就没有进行明细分解，造成基本与项目支出混用。</w:t>
      </w:r>
    </w:p>
    <w:p>
      <w:pPr>
        <w:spacing w:line="600" w:lineRule="exact"/>
        <w:ind w:firstLine="640" w:firstLineChars="200"/>
        <w:rPr>
          <w:rFonts w:ascii="黑体" w:eastAsia="黑体"/>
          <w:sz w:val="32"/>
          <w:szCs w:val="32"/>
        </w:rPr>
      </w:pPr>
      <w:r>
        <w:rPr>
          <w:rFonts w:hint="eastAsia" w:ascii="黑体" w:eastAsia="黑体"/>
          <w:sz w:val="32"/>
          <w:szCs w:val="32"/>
        </w:rPr>
        <w:t>六、改进措施及建议</w:t>
      </w: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1、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2、建议细化预算指标，提高预算科学性。预算编制前根据年度内单位可预见的工作任务，确定单位年度预算目标，细化预算指标，科学合理编制部门预算，推进预算编制科学化、准确化。         </w:t>
      </w: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p>
    <w:p>
      <w:pPr>
        <w:pStyle w:val="3"/>
        <w:widowControl/>
        <w:spacing w:line="33" w:lineRule="atLeast"/>
        <w:ind w:firstLine="420"/>
        <w:jc w:val="both"/>
        <w:rPr>
          <w:rFonts w:ascii="仿宋" w:hAnsi="仿宋" w:eastAsia="仿宋" w:cs="Times New Roman"/>
          <w:bCs/>
          <w:color w:val="383838"/>
          <w:kern w:val="2"/>
          <w:sz w:val="32"/>
          <w:szCs w:val="24"/>
          <w:shd w:val="clear" w:color="auto" w:fill="FFFFFF"/>
        </w:rPr>
      </w:pPr>
    </w:p>
    <w:p>
      <w:pPr>
        <w:pStyle w:val="3"/>
        <w:widowControl/>
        <w:spacing w:line="33" w:lineRule="atLeast"/>
        <w:ind w:firstLine="420"/>
        <w:jc w:val="right"/>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 xml:space="preserve"> 衡南县洪山镇人民政府</w:t>
      </w:r>
    </w:p>
    <w:p>
      <w:pPr>
        <w:pStyle w:val="3"/>
        <w:widowControl/>
        <w:wordWrap w:val="0"/>
        <w:spacing w:line="33" w:lineRule="atLeast"/>
        <w:ind w:firstLine="420"/>
        <w:jc w:val="right"/>
        <w:rPr>
          <w:rFonts w:ascii="仿宋" w:hAnsi="仿宋" w:eastAsia="仿宋" w:cs="Times New Roman"/>
          <w:bCs/>
          <w:color w:val="383838"/>
          <w:kern w:val="2"/>
          <w:sz w:val="32"/>
          <w:szCs w:val="24"/>
          <w:shd w:val="clear" w:color="auto" w:fill="FFFFFF"/>
        </w:rPr>
      </w:pPr>
      <w:r>
        <w:rPr>
          <w:rFonts w:hint="eastAsia" w:ascii="仿宋" w:hAnsi="仿宋" w:eastAsia="仿宋" w:cs="Times New Roman"/>
          <w:bCs/>
          <w:color w:val="383838"/>
          <w:kern w:val="2"/>
          <w:sz w:val="32"/>
          <w:szCs w:val="24"/>
          <w:shd w:val="clear" w:color="auto" w:fill="FFFFFF"/>
        </w:rPr>
        <w:t xml:space="preserve">2022年4月22日 </w:t>
      </w:r>
    </w:p>
    <w:p/>
    <w:p/>
    <w:sectPr>
      <w:pgSz w:w="11906" w:h="16838"/>
      <w:pgMar w:top="1440" w:right="1800" w:bottom="173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singleLevel"/>
    <w:tmpl w:val="0053208E"/>
    <w:lvl w:ilvl="0" w:tentative="0">
      <w:start w:val="1"/>
      <w:numFmt w:val="chineseCounting"/>
      <w:suff w:val="nothing"/>
      <w:lvlText w:val="%1、"/>
      <w:lvlJc w:val="left"/>
      <w:pPr>
        <w:ind w:left="1050" w:firstLine="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4C27C1"/>
    <w:rsid w:val="002D396A"/>
    <w:rsid w:val="007D4B3D"/>
    <w:rsid w:val="00EB410F"/>
    <w:rsid w:val="21623CDA"/>
    <w:rsid w:val="514C27C1"/>
    <w:rsid w:val="5BA3039B"/>
    <w:rsid w:val="76DA4B0E"/>
    <w:rsid w:val="78974AB3"/>
    <w:rsid w:val="7D7B72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pPr>
    <w:rPr>
      <w:rFonts w:ascii="Times New Roman" w:hAnsi="Times New Roman" w:eastAsia="宋体" w:cs="Times New Roman"/>
      <w:kern w:val="2"/>
      <w:sz w:val="18"/>
      <w:lang w:val="en-US" w:eastAsia="zh-CN" w:bidi="ar-SA"/>
    </w:rPr>
  </w:style>
  <w:style w:type="paragraph" w:styleId="3">
    <w:name w:val="Normal (Web)"/>
    <w:basedOn w:val="1"/>
    <w:qFormat/>
    <w:uiPriority w:val="0"/>
    <w:pPr>
      <w:jc w:val="left"/>
    </w:pPr>
    <w:rPr>
      <w:kern w:val="0"/>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MS</Company>
  <Pages>8</Pages>
  <Words>3136</Words>
  <Characters>3326</Characters>
  <Lines>28</Lines>
  <Paragraphs>7</Paragraphs>
  <TotalTime>35</TotalTime>
  <ScaleCrop>false</ScaleCrop>
  <LinksUpToDate>false</LinksUpToDate>
  <CharactersWithSpaces>3935</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2022-04-19T02:39:00Z</dcterms:created>
  <dc:creator>人生如戏</dc:creator>
  <cp:lastModifiedBy>lenovo</cp:lastModifiedBy>
  <dcterms:modified xsi:type="dcterms:W3CDTF">2022-04-27T08:04:18Z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B92523056E4340ACBA79B55F4723CBC1</vt:lpwstr>
  </property>
  <property fmtid="{D5CDD505-2E9C-101B-9397-08002B2CF9AE}" pid="4" name="commondata">
    <vt:lpwstr>eyJoZGlkIjoiMzg4YWJhM2M3NDdjMGZiZGJiNTJkYzljNWE5ODE4MTIifQ==</vt:lpwstr>
  </property>
</Properties>
</file>