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before="100" w:beforeAutospacing="1" w:after="100" w:afterAutospacing="1" w:line="390" w:lineRule="atLeast"/>
        <w:jc w:val="center"/>
        <w:rPr>
          <w:rFonts w:hint="default" w:ascii="仿宋_GB2312" w:hAnsi="仿宋_GB2312" w:eastAsia="仿宋_GB2312" w:cs="仿宋_GB2312"/>
          <w:b/>
          <w:bCs/>
          <w:color w:val="000000"/>
          <w:kern w:val="0"/>
          <w:sz w:val="36"/>
          <w:szCs w:val="36"/>
          <w:lang w:val="en-US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br w:type="textWrapping"/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　</w:t>
      </w:r>
      <w:r>
        <w:rPr>
          <w:rFonts w:hint="eastAsia" w:ascii="仿宋_GB2312" w:hAnsi="仿宋_GB2312" w:eastAsia="仿宋_GB2312" w:cs="仿宋_GB2312"/>
          <w:color w:val="000000"/>
          <w:kern w:val="0"/>
          <w:sz w:val="36"/>
          <w:szCs w:val="36"/>
        </w:rPr>
        <w:t>　</w:t>
      </w:r>
      <w:r>
        <w:rPr>
          <w:rFonts w:hint="eastAsia" w:ascii="仿宋_GB2312" w:hAnsi="仿宋_GB2312" w:eastAsia="仿宋_GB2312" w:cs="仿宋_GB2312"/>
          <w:color w:val="000000"/>
          <w:kern w:val="0"/>
          <w:sz w:val="36"/>
          <w:szCs w:val="36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0"/>
          <w:sz w:val="36"/>
          <w:szCs w:val="36"/>
          <w:lang w:eastAsia="zh-CN"/>
        </w:rPr>
        <w:t>衡南县粮食和物资储备中心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0"/>
          <w:sz w:val="36"/>
          <w:szCs w:val="36"/>
          <w:lang w:val="en-US" w:eastAsia="zh-CN"/>
        </w:rPr>
        <w:t>整体绩效自评报告</w:t>
      </w:r>
    </w:p>
    <w:p>
      <w:pPr>
        <w:widowControl/>
        <w:shd w:val="clear" w:color="auto" w:fill="FFFFFF"/>
        <w:spacing w:before="100" w:beforeAutospacing="1" w:after="100" w:afterAutospacing="1" w:line="390" w:lineRule="atLeast"/>
        <w:ind w:firstLine="640" w:firstLineChars="200"/>
        <w:jc w:val="left"/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eastAsia="zh-CN"/>
        </w:rPr>
        <w:t>根据市委编办《关于衡南县机构改革涉改科级事业单位调整的批复》（衡编办复字[</w:t>
      </w:r>
      <w:r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/>
        </w:rPr>
        <w:t>2019</w:t>
      </w:r>
      <w:r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eastAsia="zh-CN"/>
        </w:rPr>
        <w:t>]</w:t>
      </w:r>
      <w:r>
        <w:rPr>
          <w:rFonts w:hint="eastAsia"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/>
        </w:rPr>
        <w:t>1号精神，组建衡南县粮食和物资储备中心，为衡南县商务和粮食局所属副科级公益一类事业单位，主要负责全县地方储备粮油实物管理、战略、救灾物资储备管理和粮食质量检验监测工作。</w:t>
      </w:r>
    </w:p>
    <w:p>
      <w:pPr>
        <w:numPr>
          <w:ilvl w:val="0"/>
          <w:numId w:val="1"/>
        </w:numPr>
        <w:rPr>
          <w:rFonts w:hint="eastAsia" w:ascii="仿宋_GB2312" w:hAnsi="仿宋_GB2312" w:eastAsia="仿宋_GB2312" w:cs="仿宋_GB2312"/>
          <w:b/>
          <w:bCs/>
          <w:color w:val="000000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0"/>
          <w:sz w:val="32"/>
          <w:szCs w:val="32"/>
        </w:rPr>
        <w:t>部门基本情况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  <w:t>（一）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部门职能职责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800" w:firstLineChars="250"/>
        <w:textAlignment w:val="auto"/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</w:rPr>
        <w:t>1、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>贯彻落实国家战略和救灾物资储备的仓储管理政策和制度；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800" w:firstLineChars="250"/>
        <w:textAlignment w:val="auto"/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</w:rPr>
        <w:t>2、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>按照权限组织实施全县粮油储备、各类战略物资和救灾物资的收储、轮换和日常管理工作；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800" w:firstLineChars="250"/>
        <w:textAlignment w:val="auto"/>
        <w:rPr>
          <w:rFonts w:hint="default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3、落实全县战略物资和救灾物资储备管理工作；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800" w:firstLineChars="250"/>
        <w:textAlignment w:val="auto"/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4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</w:rPr>
        <w:t>、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>承担全县粮食质量检验监测及原粮卫生安全监测、收获粮食质量调查和品质测报；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800" w:firstLineChars="250"/>
        <w:textAlignment w:val="auto"/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</w:rPr>
        <w:t>5、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>承担全县粮食和物资储备仓库的实物、资产的管理。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750" w:firstLineChars="250"/>
        <w:textAlignment w:val="auto"/>
        <w:rPr>
          <w:rFonts w:hint="eastAsia" w:ascii="仿宋" w:hAnsi="仿宋" w:eastAsia="仿宋" w:cs="仿宋"/>
          <w:b w:val="0"/>
          <w:bCs w:val="0"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sz w:val="30"/>
          <w:szCs w:val="30"/>
          <w:lang w:eastAsia="zh-CN"/>
        </w:rPr>
        <w:t>（二）机构设置</w:t>
      </w:r>
    </w:p>
    <w:p>
      <w:pPr>
        <w:ind w:left="638" w:leftChars="304" w:firstLine="640" w:firstLineChars="200"/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highlight w:val="none"/>
          <w:lang w:eastAsia="zh-CN"/>
        </w:rPr>
        <w:t>衡南县粮食和物资储备中心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</w:rPr>
        <w:t>内设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  <w:lang w:val="en-US" w:eastAsia="zh-CN"/>
        </w:rPr>
        <w:t>4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</w:rPr>
        <w:t>个机构：办公室、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  <w:lang w:eastAsia="zh-CN"/>
        </w:rPr>
        <w:t>储备储藏股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</w:rPr>
        <w:t>、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  <w:lang w:eastAsia="zh-CN"/>
        </w:rPr>
        <w:t>质量检验监测股、物资储备股。</w:t>
      </w:r>
    </w:p>
    <w:p>
      <w:pPr>
        <w:numPr>
          <w:ilvl w:val="0"/>
          <w:numId w:val="2"/>
        </w:numPr>
        <w:ind w:firstLine="640" w:firstLineChars="200"/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  <w:lang w:eastAsia="zh-CN"/>
        </w:rPr>
        <w:t>人员编制</w:t>
      </w:r>
    </w:p>
    <w:p>
      <w:pPr>
        <w:numPr>
          <w:ilvl w:val="0"/>
          <w:numId w:val="0"/>
        </w:numPr>
        <w:rPr>
          <w:rFonts w:hint="default" w:ascii="仿宋" w:hAnsi="仿宋" w:eastAsia="仿宋" w:cs="仿宋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  <w:lang w:val="en-US" w:eastAsia="zh-CN"/>
        </w:rPr>
        <w:t xml:space="preserve">      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highlight w:val="none"/>
          <w:lang w:eastAsia="zh-CN"/>
        </w:rPr>
        <w:t>衡南县粮食和物资储备中心全额拨款事业编制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highlight w:val="none"/>
          <w:lang w:val="en-US" w:eastAsia="zh-CN"/>
        </w:rPr>
        <w:t>21名。</w:t>
      </w:r>
    </w:p>
    <w:p>
      <w:pPr>
        <w:ind w:left="640" w:hanging="640" w:hangingChars="200"/>
        <w:rPr>
          <w:rFonts w:hint="eastAsia" w:ascii="仿宋" w:hAnsi="仿宋" w:eastAsia="仿宋" w:cs="仿宋"/>
          <w:b w:val="0"/>
          <w:bCs w:val="0"/>
          <w:sz w:val="32"/>
          <w:szCs w:val="32"/>
          <w:highlight w:val="lightGray"/>
          <w:lang w:eastAsia="zh-CN"/>
        </w:rPr>
      </w:pPr>
    </w:p>
    <w:p>
      <w:pPr>
        <w:ind w:left="640" w:hanging="643" w:hangingChars="200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0"/>
          <w:sz w:val="32"/>
          <w:szCs w:val="32"/>
        </w:rPr>
        <w:t>二、部门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0"/>
          <w:sz w:val="32"/>
          <w:szCs w:val="32"/>
          <w:lang w:eastAsia="zh-CN"/>
        </w:rPr>
        <w:t>决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0"/>
          <w:sz w:val="32"/>
          <w:szCs w:val="32"/>
        </w:rPr>
        <w:t>算单位构成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0"/>
          <w:sz w:val="32"/>
          <w:szCs w:val="32"/>
        </w:rPr>
        <w:br w:type="textWrapping"/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highlight w:val="none"/>
          <w:lang w:eastAsia="zh-CN"/>
        </w:rPr>
        <w:t>衡南县粮食和物资储备中心本级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  <w:t>。</w:t>
      </w:r>
    </w:p>
    <w:p>
      <w:pPr>
        <w:widowControl/>
        <w:shd w:val="clear" w:color="auto" w:fill="FFFFFF"/>
        <w:jc w:val="left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widowControl/>
        <w:numPr>
          <w:ilvl w:val="0"/>
          <w:numId w:val="0"/>
        </w:numPr>
        <w:shd w:val="clear" w:color="auto" w:fill="FFFFFF"/>
        <w:ind w:leftChars="0"/>
        <w:jc w:val="left"/>
        <w:rPr>
          <w:rFonts w:hint="eastAsia" w:ascii="仿宋_GB2312" w:hAnsi="仿宋_GB2312" w:eastAsia="仿宋_GB2312" w:cs="仿宋_GB2312"/>
          <w:b w:val="0"/>
          <w:bCs w:val="0"/>
          <w:color w:val="000000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0"/>
          <w:sz w:val="32"/>
          <w:szCs w:val="32"/>
          <w:lang w:eastAsia="zh-CN"/>
        </w:rPr>
        <w:t>三、收入支出预算执行情况分析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0"/>
          <w:sz w:val="32"/>
          <w:szCs w:val="32"/>
        </w:rPr>
        <w:br w:type="textWrapping"/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kern w:val="0"/>
          <w:sz w:val="32"/>
          <w:szCs w:val="32"/>
          <w:lang w:eastAsia="zh-CN"/>
        </w:rPr>
        <w:t>（一）收入支出预算安排情况</w:t>
      </w:r>
    </w:p>
    <w:p>
      <w:pPr>
        <w:widowControl/>
        <w:numPr>
          <w:ilvl w:val="0"/>
          <w:numId w:val="0"/>
        </w:numPr>
        <w:shd w:val="clear" w:color="auto" w:fill="FFFFFF"/>
        <w:ind w:leftChars="0" w:firstLine="640" w:firstLineChars="200"/>
        <w:jc w:val="left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/>
        </w:rPr>
        <w:t>1、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收入预算：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/>
        </w:rPr>
        <w:t>2021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年年初预算数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/>
        </w:rPr>
        <w:t>167.02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万元，其中经费拨款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/>
        </w:rPr>
        <w:t>167.02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万元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  <w:t>；年末调整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一般公共预算拨款收入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/>
        </w:rPr>
        <w:t>191.27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万元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  <w:t>。</w:t>
      </w:r>
    </w:p>
    <w:p>
      <w:pPr>
        <w:widowControl/>
        <w:shd w:val="clear" w:color="auto" w:fill="FFFFFF"/>
        <w:ind w:firstLine="640" w:firstLineChars="200"/>
        <w:jc w:val="left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/>
        </w:rPr>
        <w:t>2、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支出预算：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/>
        </w:rPr>
        <w:t>2021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年年初预算数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/>
        </w:rPr>
        <w:t>167.02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万元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其中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  <w:t>人员经费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/>
        </w:rPr>
        <w:t>171.01万元、公用经费20.26万元；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  <w:t>年末调整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一般公共预算拨款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  <w:t>支出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/>
        </w:rPr>
        <w:t>191.27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万元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  <w:t>。</w:t>
      </w: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</w:pPr>
    </w:p>
    <w:p>
      <w:pPr>
        <w:numPr>
          <w:ilvl w:val="0"/>
          <w:numId w:val="3"/>
        </w:numP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  <w:t>收入支出预算执行情况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本年末决算总收入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191.27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万元，决算总支出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191.27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万元，本年收支结余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零</w:t>
      </w:r>
      <w:r>
        <w:rPr>
          <w:rFonts w:hint="eastAsia" w:ascii="仿宋_GB2312" w:hAnsi="仿宋_GB2312" w:eastAsia="仿宋_GB2312" w:cs="仿宋_GB2312"/>
          <w:sz w:val="32"/>
          <w:szCs w:val="32"/>
        </w:rPr>
        <w:t>元。</w:t>
      </w:r>
    </w:p>
    <w:p>
      <w:pPr>
        <w:widowControl/>
        <w:shd w:val="clear" w:color="auto" w:fill="FFFFFF"/>
        <w:ind w:firstLine="640" w:firstLineChars="200"/>
        <w:jc w:val="left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  <w:t>本年度一般公共预算收入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/>
        </w:rPr>
        <w:t>191.27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  <w:t>万元，预算支出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/>
        </w:rPr>
        <w:t>191.27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  <w:t>万元，与20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/>
        </w:rPr>
        <w:t>20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  <w:t>年相比，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/>
        </w:rPr>
        <w:t>减少12.33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  <w:t>万元，主要是因为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/>
        </w:rPr>
        <w:t>有1位同志退休。</w:t>
      </w:r>
    </w:p>
    <w:p>
      <w:pPr>
        <w:widowControl/>
        <w:shd w:val="clear" w:color="auto" w:fill="FFFFFF"/>
        <w:jc w:val="left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  <w:t>１、收入决算情况说明</w:t>
      </w:r>
    </w:p>
    <w:p>
      <w:pPr>
        <w:widowControl/>
        <w:shd w:val="clear" w:color="auto" w:fill="FFFFFF"/>
        <w:ind w:firstLine="640" w:firstLineChars="200"/>
        <w:jc w:val="left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  <w:t>本年收入合计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/>
        </w:rPr>
        <w:t>191.27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  <w:t>万元，其中：财政拨款收入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/>
        </w:rPr>
        <w:t>191.27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  <w:t>万元，占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/>
        </w:rPr>
        <w:t>100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  <w:t>%。</w:t>
      </w:r>
    </w:p>
    <w:p>
      <w:pPr>
        <w:widowControl/>
        <w:shd w:val="clear" w:color="auto" w:fill="FFFFFF"/>
        <w:jc w:val="left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  <w:t>２、支出决算情况说明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  <w:t>本年支出合计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/>
        </w:rPr>
        <w:t>191.27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  <w:t>万元，其中：基本支出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/>
        </w:rPr>
        <w:t>191.27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  <w:t>万元，占100%。</w:t>
      </w:r>
    </w:p>
    <w:p>
      <w:pPr>
        <w:numPr>
          <w:ilvl w:val="0"/>
          <w:numId w:val="0"/>
        </w:numPr>
        <w:ind w:firstLine="640" w:firstLineChars="200"/>
        <w:rPr>
          <w:rFonts w:hint="default" w:ascii="仿宋_GB2312" w:hAnsi="仿宋_GB2312" w:eastAsia="仿宋_GB2312" w:cs="仿宋_GB2312"/>
          <w:color w:val="000000"/>
          <w:kern w:val="0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基本支出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  <w:t>按经济分类明细包括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/>
        </w:rPr>
        <w:t>工资福利支出１７0.5万元，占总支出比重８9％；商品及服务支出18.5万元，占总支出比重9.6％；对个人及家庭的补助０．48万元，占总支出比重０．2％；资本性支出１．8万元，占总支出比重０．94％。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　　</w:t>
      </w:r>
    </w:p>
    <w:p>
      <w:pPr>
        <w:widowControl/>
        <w:shd w:val="clear" w:color="auto" w:fill="FFFFFF"/>
        <w:jc w:val="left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</w:pPr>
    </w:p>
    <w:p>
      <w:pPr>
        <w:numPr>
          <w:ilvl w:val="0"/>
          <w:numId w:val="4"/>
        </w:numP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0"/>
          <w:sz w:val="32"/>
          <w:szCs w:val="32"/>
        </w:rPr>
        <w:t>其他重要事项的情况说明</w:t>
      </w: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/>
        </w:rPr>
        <w:t>1、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“三公”经费预算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br w:type="textWrapping"/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　　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/>
        </w:rPr>
        <w:t>2021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年“三公”经费预算数为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万元，其中，公务接待费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/>
        </w:rPr>
        <w:t>0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万元，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  <w:t>无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公务用车购置及运行费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  <w:t>，办公经费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/>
        </w:rPr>
        <w:t>0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  <w:t>万元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/>
        </w:rPr>
        <w:t>2021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年“三公”经费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  <w:t>实际支出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/>
        </w:rPr>
        <w:t>0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  <w:t>万元，严控三公经费支出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highlight w:val="none"/>
          <w:lang w:eastAsia="zh-CN"/>
        </w:rPr>
        <w:t>。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highlight w:val="lightGray"/>
        </w:rPr>
        <w:br w:type="textWrapping"/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/>
        </w:rPr>
        <w:t>2、</w:t>
      </w:r>
      <w:r>
        <w:rPr>
          <w:rFonts w:hint="eastAsia" w:ascii="仿宋_GB2312" w:hAnsi="仿宋_GB2312" w:eastAsia="仿宋_GB2312" w:cs="仿宋_GB2312"/>
          <w:sz w:val="32"/>
          <w:szCs w:val="32"/>
        </w:rPr>
        <w:t>年末结转和结余情况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上年末结转和结余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0</w:t>
      </w:r>
      <w:r>
        <w:rPr>
          <w:rFonts w:hint="eastAsia" w:ascii="仿宋_GB2312" w:hAnsi="仿宋_GB2312" w:eastAsia="仿宋_GB2312" w:cs="仿宋_GB2312"/>
          <w:sz w:val="32"/>
          <w:szCs w:val="32"/>
        </w:rPr>
        <w:t>元。本年基本支出结转结余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零</w:t>
      </w:r>
      <w:r>
        <w:rPr>
          <w:rFonts w:hint="eastAsia" w:ascii="仿宋_GB2312" w:hAnsi="仿宋_GB2312" w:eastAsia="仿宋_GB2312" w:cs="仿宋_GB2312"/>
          <w:sz w:val="32"/>
          <w:szCs w:val="32"/>
        </w:rPr>
        <w:t>，本年末结转和结余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0</w:t>
      </w:r>
      <w:r>
        <w:rPr>
          <w:rFonts w:hint="eastAsia" w:ascii="仿宋_GB2312" w:hAnsi="仿宋_GB2312" w:eastAsia="仿宋_GB2312" w:cs="仿宋_GB2312"/>
          <w:sz w:val="32"/>
          <w:szCs w:val="32"/>
        </w:rPr>
        <w:t>元。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numPr>
          <w:ilvl w:val="0"/>
          <w:numId w:val="4"/>
        </w:numPr>
        <w:ind w:left="0" w:leftChars="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存在的问题</w:t>
      </w:r>
    </w:p>
    <w:p>
      <w:pPr>
        <w:numPr>
          <w:numId w:val="0"/>
        </w:numPr>
        <w:ind w:leftChars="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财源收入结构单一，收入来源主要靠上级补助收入，无项目、产业收入。支出结构有待调整优化，预算工作需进一步的精细化，预算绩效管理质量有待提高。</w:t>
      </w:r>
    </w:p>
    <w:p>
      <w:pPr>
        <w:numPr>
          <w:ilvl w:val="0"/>
          <w:numId w:val="4"/>
        </w:numPr>
        <w:ind w:left="0" w:leftChars="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改进措施</w:t>
      </w:r>
    </w:p>
    <w:p>
      <w:pPr>
        <w:numPr>
          <w:numId w:val="0"/>
        </w:numPr>
        <w:ind w:left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细化预算编制工作，进一步提高预算编制的科学性、严谨性和可控性，加强财务管理，严格财务审核，对相关人员加强培训，切实提高财务人员业务水平。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6C073F0"/>
    <w:multiLevelType w:val="singleLevel"/>
    <w:tmpl w:val="16C073F0"/>
    <w:lvl w:ilvl="0" w:tentative="0">
      <w:start w:val="2"/>
      <w:numFmt w:val="chineseCounting"/>
      <w:suff w:val="nothing"/>
      <w:lvlText w:val="（%1）　"/>
      <w:lvlJc w:val="left"/>
      <w:rPr>
        <w:rFonts w:hint="eastAsia"/>
      </w:rPr>
    </w:lvl>
  </w:abstractNum>
  <w:abstractNum w:abstractNumId="1">
    <w:nsid w:val="186BE858"/>
    <w:multiLevelType w:val="singleLevel"/>
    <w:tmpl w:val="186BE858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45027ACC"/>
    <w:multiLevelType w:val="singleLevel"/>
    <w:tmpl w:val="45027ACC"/>
    <w:lvl w:ilvl="0" w:tentative="0">
      <w:start w:val="3"/>
      <w:numFmt w:val="chineseCounting"/>
      <w:suff w:val="nothing"/>
      <w:lvlText w:val="（%1）"/>
      <w:lvlJc w:val="left"/>
      <w:rPr>
        <w:rFonts w:hint="eastAsia"/>
      </w:rPr>
    </w:lvl>
  </w:abstractNum>
  <w:abstractNum w:abstractNumId="3">
    <w:nsid w:val="680D4912"/>
    <w:multiLevelType w:val="singleLevel"/>
    <w:tmpl w:val="680D4912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JiNGJhNjA2NjYzNDljODM1ZTlhODQyYmNlZjc3MWIifQ=="/>
  </w:docVars>
  <w:rsids>
    <w:rsidRoot w:val="0175358E"/>
    <w:rsid w:val="0054479A"/>
    <w:rsid w:val="0175358E"/>
    <w:rsid w:val="03D22E8D"/>
    <w:rsid w:val="05091295"/>
    <w:rsid w:val="067C6343"/>
    <w:rsid w:val="07B76144"/>
    <w:rsid w:val="0E1166AF"/>
    <w:rsid w:val="0E2E3029"/>
    <w:rsid w:val="124B0BE3"/>
    <w:rsid w:val="12C168CB"/>
    <w:rsid w:val="130F42B8"/>
    <w:rsid w:val="131A10F8"/>
    <w:rsid w:val="13941628"/>
    <w:rsid w:val="14793AE6"/>
    <w:rsid w:val="14B73237"/>
    <w:rsid w:val="15B84227"/>
    <w:rsid w:val="1796057D"/>
    <w:rsid w:val="19E54CF5"/>
    <w:rsid w:val="1ABF78ED"/>
    <w:rsid w:val="1D4430FE"/>
    <w:rsid w:val="203C05CE"/>
    <w:rsid w:val="204877AA"/>
    <w:rsid w:val="24AA5F36"/>
    <w:rsid w:val="24CD12BC"/>
    <w:rsid w:val="2C9A2AD4"/>
    <w:rsid w:val="2D5B31EC"/>
    <w:rsid w:val="2E432414"/>
    <w:rsid w:val="2F5129C9"/>
    <w:rsid w:val="2FB05ED0"/>
    <w:rsid w:val="2FC173FA"/>
    <w:rsid w:val="31081E72"/>
    <w:rsid w:val="328E40F0"/>
    <w:rsid w:val="330D5AA7"/>
    <w:rsid w:val="3416740F"/>
    <w:rsid w:val="363A0253"/>
    <w:rsid w:val="370B3DCF"/>
    <w:rsid w:val="372F0C0C"/>
    <w:rsid w:val="3740796D"/>
    <w:rsid w:val="384F213A"/>
    <w:rsid w:val="3B1A3C77"/>
    <w:rsid w:val="3B71423A"/>
    <w:rsid w:val="3ED70E36"/>
    <w:rsid w:val="40D91D25"/>
    <w:rsid w:val="42880EF2"/>
    <w:rsid w:val="431B4482"/>
    <w:rsid w:val="43764343"/>
    <w:rsid w:val="44C205EC"/>
    <w:rsid w:val="46437FFA"/>
    <w:rsid w:val="46AD344D"/>
    <w:rsid w:val="46BA7F8D"/>
    <w:rsid w:val="475E217C"/>
    <w:rsid w:val="4780534D"/>
    <w:rsid w:val="4E495EF0"/>
    <w:rsid w:val="4FAC25C0"/>
    <w:rsid w:val="50902C3F"/>
    <w:rsid w:val="50F266CF"/>
    <w:rsid w:val="517C5C2C"/>
    <w:rsid w:val="52CA240F"/>
    <w:rsid w:val="52FB2836"/>
    <w:rsid w:val="53907C6C"/>
    <w:rsid w:val="55CE6B89"/>
    <w:rsid w:val="56693E1B"/>
    <w:rsid w:val="582B6D74"/>
    <w:rsid w:val="586926A4"/>
    <w:rsid w:val="5BB9375E"/>
    <w:rsid w:val="5D9418F1"/>
    <w:rsid w:val="5DF90375"/>
    <w:rsid w:val="5DFB2CB9"/>
    <w:rsid w:val="5F7A346A"/>
    <w:rsid w:val="61AC7509"/>
    <w:rsid w:val="62596467"/>
    <w:rsid w:val="63B92879"/>
    <w:rsid w:val="63FE1F09"/>
    <w:rsid w:val="6414773F"/>
    <w:rsid w:val="64244A1B"/>
    <w:rsid w:val="655C2E65"/>
    <w:rsid w:val="65682CE7"/>
    <w:rsid w:val="657E37B2"/>
    <w:rsid w:val="66D45E94"/>
    <w:rsid w:val="66EF4FC7"/>
    <w:rsid w:val="674C749E"/>
    <w:rsid w:val="67CD7654"/>
    <w:rsid w:val="6A7D7596"/>
    <w:rsid w:val="6DE3415D"/>
    <w:rsid w:val="6E86293D"/>
    <w:rsid w:val="700B6FC6"/>
    <w:rsid w:val="702E0092"/>
    <w:rsid w:val="706634BE"/>
    <w:rsid w:val="71652025"/>
    <w:rsid w:val="724673D1"/>
    <w:rsid w:val="729D6FC1"/>
    <w:rsid w:val="76AE4CB6"/>
    <w:rsid w:val="785A511F"/>
    <w:rsid w:val="78B346F9"/>
    <w:rsid w:val="79B27475"/>
    <w:rsid w:val="79D00705"/>
    <w:rsid w:val="7A614774"/>
    <w:rsid w:val="7B2B554D"/>
    <w:rsid w:val="7C534B26"/>
    <w:rsid w:val="7D5C7663"/>
    <w:rsid w:val="7EC30A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1393</Words>
  <Characters>1590</Characters>
  <Lines>0</Lines>
  <Paragraphs>0</Paragraphs>
  <TotalTime>50</TotalTime>
  <ScaleCrop>false</ScaleCrop>
  <LinksUpToDate>false</LinksUpToDate>
  <CharactersWithSpaces>1608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2021-01-15T09:28:00Z</dcterms:created>
  <dc:creator>周周</dc:creator>
  <cp:lastModifiedBy>Aimee</cp:lastModifiedBy>
  <dcterms:modified xsi:type="dcterms:W3CDTF">2022-11-22T02:31:11Z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70B7F36301974F99BC4113B51B8095D3</vt:lpwstr>
  </property>
</Properties>
</file>