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15" w:lineRule="atLeast"/>
        <w:rPr>
          <w:rFonts w:ascii="宋体" w:cs="宋体"/>
        </w:rPr>
      </w:pPr>
    </w:p>
    <w:p>
      <w:pPr>
        <w:widowControl/>
        <w:spacing w:line="540" w:lineRule="atLeast"/>
        <w:jc w:val="center"/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6"/>
          <w:szCs w:val="36"/>
          <w:lang w:eastAsia="zh-CN"/>
        </w:rPr>
        <w:t>衡南工业集中区管理委员会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6"/>
          <w:szCs w:val="36"/>
          <w:lang w:val="en-US" w:eastAsia="zh-CN"/>
        </w:rPr>
        <w:t>2021</w:t>
      </w:r>
    </w:p>
    <w:p>
      <w:pPr>
        <w:widowControl/>
        <w:spacing w:line="540" w:lineRule="atLeast"/>
        <w:jc w:val="center"/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6"/>
          <w:szCs w:val="36"/>
        </w:rPr>
        <w:t>年部门整体支出绩效自评报告</w:t>
      </w:r>
    </w:p>
    <w:p>
      <w:pPr>
        <w:widowControl/>
        <w:spacing w:line="540" w:lineRule="atLeast"/>
        <w:jc w:val="center"/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6"/>
          <w:szCs w:val="36"/>
        </w:rPr>
      </w:pPr>
    </w:p>
    <w:p>
      <w:pPr>
        <w:widowControl/>
        <w:spacing w:line="540" w:lineRule="atLeast"/>
        <w:ind w:firstLine="552" w:firstLineChars="20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33333"/>
          <w:spacing w:val="-2"/>
          <w:sz w:val="28"/>
          <w:szCs w:val="28"/>
        </w:rPr>
        <w:t>为加强预算资金管理，进一步规范预算资金使用，提高财政资金使用效益，</w:t>
      </w:r>
      <w:r>
        <w:rPr>
          <w:rFonts w:hint="eastAsia" w:ascii="宋体" w:hAnsi="宋体" w:eastAsia="宋体" w:cs="宋体"/>
          <w:sz w:val="28"/>
          <w:szCs w:val="28"/>
        </w:rPr>
        <w:t>根据《衡南县财政局关于开展20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21</w:t>
      </w:r>
      <w:r>
        <w:rPr>
          <w:rFonts w:hint="eastAsia" w:ascii="宋体" w:hAnsi="宋体" w:eastAsia="宋体" w:cs="宋体"/>
          <w:sz w:val="28"/>
          <w:szCs w:val="28"/>
        </w:rPr>
        <w:t>年度县级财政资金绩效自评工作的通知》要求</w:t>
      </w:r>
      <w:r>
        <w:rPr>
          <w:rFonts w:hint="eastAsia" w:ascii="宋体" w:hAnsi="宋体" w:eastAsia="宋体" w:cs="宋体"/>
          <w:sz w:val="32"/>
          <w:szCs w:val="32"/>
        </w:rPr>
        <w:t>，</w:t>
      </w:r>
      <w:r>
        <w:rPr>
          <w:rFonts w:hint="eastAsia" w:asciiTheme="minorEastAsia" w:hAnsiTheme="minorEastAsia" w:eastAsiaTheme="minorEastAsia" w:cstheme="minorEastAsia"/>
          <w:color w:val="333333"/>
          <w:spacing w:val="-2"/>
          <w:sz w:val="28"/>
          <w:szCs w:val="28"/>
        </w:rPr>
        <w:t>我</w:t>
      </w:r>
      <w:r>
        <w:rPr>
          <w:rFonts w:hint="eastAsia" w:asciiTheme="minorEastAsia" w:hAnsiTheme="minorEastAsia" w:eastAsiaTheme="minorEastAsia" w:cstheme="minorEastAsia"/>
          <w:color w:val="333333"/>
          <w:spacing w:val="-2"/>
          <w:sz w:val="28"/>
          <w:szCs w:val="28"/>
          <w:lang w:eastAsia="zh-CN"/>
        </w:rPr>
        <w:t>单位</w:t>
      </w:r>
      <w:r>
        <w:rPr>
          <w:rFonts w:hint="eastAsia" w:asciiTheme="minorEastAsia" w:hAnsiTheme="minorEastAsia" w:eastAsiaTheme="minorEastAsia" w:cstheme="minorEastAsia"/>
          <w:color w:val="333333"/>
          <w:spacing w:val="-2"/>
          <w:sz w:val="28"/>
          <w:szCs w:val="28"/>
        </w:rPr>
        <w:t>积极组织，对20</w:t>
      </w:r>
      <w:r>
        <w:rPr>
          <w:rFonts w:hint="eastAsia" w:asciiTheme="minorEastAsia" w:hAnsiTheme="minorEastAsia" w:eastAsiaTheme="minorEastAsia" w:cstheme="minorEastAsia"/>
          <w:color w:val="333333"/>
          <w:spacing w:val="-2"/>
          <w:sz w:val="28"/>
          <w:szCs w:val="28"/>
          <w:lang w:val="en-US" w:eastAsia="zh-CN"/>
        </w:rPr>
        <w:t>21</w:t>
      </w:r>
      <w:r>
        <w:rPr>
          <w:rFonts w:hint="eastAsia" w:asciiTheme="minorEastAsia" w:hAnsiTheme="minorEastAsia" w:eastAsiaTheme="minorEastAsia" w:cstheme="minorEastAsia"/>
          <w:color w:val="333333"/>
          <w:spacing w:val="-2"/>
          <w:sz w:val="28"/>
          <w:szCs w:val="28"/>
        </w:rPr>
        <w:t>年度本单位整体支出进行了绩效自评，现将具体绩效评价情况报告如下：</w:t>
      </w:r>
    </w:p>
    <w:p>
      <w:pPr>
        <w:pStyle w:val="2"/>
        <w:widowControl/>
        <w:ind w:left="241" w:firstLine="562" w:firstLineChars="200"/>
        <w:rPr>
          <w:rFonts w:hint="eastAsia" w:asciiTheme="minorEastAsia" w:hAnsiTheme="minorEastAsia" w:eastAsiaTheme="minorEastAsia" w:cstheme="minorEastAsia"/>
          <w:b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28"/>
          <w:szCs w:val="28"/>
        </w:rPr>
        <w:t>一、部门基本情况</w:t>
      </w:r>
    </w:p>
    <w:p>
      <w:pPr>
        <w:widowControl/>
        <w:spacing w:line="540" w:lineRule="atLeast"/>
        <w:ind w:firstLine="56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（一）部门职责。</w:t>
      </w:r>
    </w:p>
    <w:p>
      <w:pPr>
        <w:widowControl/>
        <w:spacing w:line="540" w:lineRule="atLeast"/>
        <w:ind w:firstLine="552" w:firstLineChars="200"/>
        <w:jc w:val="left"/>
        <w:rPr>
          <w:rFonts w:hint="eastAsia" w:asciiTheme="minorEastAsia" w:hAnsiTheme="minorEastAsia" w:eastAsiaTheme="minorEastAsia" w:cstheme="minorEastAsia"/>
          <w:color w:val="333333"/>
          <w:spacing w:val="-2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33333"/>
          <w:spacing w:val="-2"/>
          <w:sz w:val="28"/>
          <w:szCs w:val="28"/>
        </w:rPr>
        <w:t>衡南工业集中区负责工业集中区内总体规划和控制性详细规划、拟订发展规划；负责区内招商引资、各类企业的服务、指导和协调；负责工业集中区财务管理、资金管理；负责区内社会治安综合管理和信访维稳工作；负责区内统计和安全生产监督管理；协助国土资源及规划部门开展区内土地的规划、征转、开发及征地拆迁和安置工作；协助环保部门开展区内环境保护工作；承办县委、县人民政府交办的其他事项。</w:t>
      </w:r>
    </w:p>
    <w:p>
      <w:pPr>
        <w:widowControl/>
        <w:spacing w:line="540" w:lineRule="atLeast"/>
        <w:ind w:firstLine="560" w:firstLineChars="200"/>
        <w:jc w:val="left"/>
        <w:rPr>
          <w:rFonts w:hint="default" w:asciiTheme="minorEastAsia" w:hAnsiTheme="minorEastAsia" w:eastAsiaTheme="minorEastAsia" w:cstheme="minorEastAsia"/>
          <w:color w:val="333333"/>
          <w:spacing w:val="-2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（二）机构设置情况。</w:t>
      </w:r>
      <w:r>
        <w:rPr>
          <w:rFonts w:hint="eastAsia" w:asciiTheme="minorEastAsia" w:hAnsiTheme="minorEastAsia" w:eastAsiaTheme="minorEastAsia" w:cstheme="minorEastAsia"/>
          <w:color w:val="333333"/>
          <w:spacing w:val="-2"/>
          <w:sz w:val="28"/>
          <w:szCs w:val="28"/>
          <w:lang w:eastAsia="zh-CN"/>
        </w:rPr>
        <w:t>园区下设党政办、财政局（金融办）、建设规划局、产业发展局、社会事务局、项目报批报建服务中心和招商合作局</w:t>
      </w:r>
      <w:r>
        <w:rPr>
          <w:rFonts w:hint="eastAsia" w:asciiTheme="minorEastAsia" w:hAnsiTheme="minorEastAsia" w:eastAsiaTheme="minorEastAsia" w:cstheme="minorEastAsia"/>
          <w:color w:val="333333"/>
          <w:spacing w:val="-2"/>
          <w:sz w:val="28"/>
          <w:szCs w:val="28"/>
          <w:lang w:val="en-US" w:eastAsia="zh-CN"/>
        </w:rPr>
        <w:t>7个内设机构。</w:t>
      </w:r>
    </w:p>
    <w:p>
      <w:pPr>
        <w:widowControl/>
        <w:spacing w:line="540" w:lineRule="atLeast"/>
        <w:ind w:firstLine="560" w:firstLineChars="200"/>
        <w:jc w:val="left"/>
        <w:rPr>
          <w:rFonts w:hint="default" w:asciiTheme="minorEastAsia" w:hAnsiTheme="minorEastAsia" w:eastAsiaTheme="minorEastAsia" w:cstheme="minorEastAsia"/>
          <w:color w:val="333333"/>
          <w:spacing w:val="-2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（三）人员编制情况。</w:t>
      </w:r>
      <w:r>
        <w:rPr>
          <w:rFonts w:hint="eastAsia" w:asciiTheme="minorEastAsia" w:hAnsiTheme="minorEastAsia" w:eastAsiaTheme="minorEastAsia" w:cstheme="minorEastAsia"/>
          <w:color w:val="333333"/>
          <w:spacing w:val="-2"/>
          <w:sz w:val="28"/>
          <w:szCs w:val="28"/>
        </w:rPr>
        <w:t>园区现有在编人员3</w:t>
      </w:r>
      <w:r>
        <w:rPr>
          <w:rFonts w:hint="eastAsia" w:asciiTheme="minorEastAsia" w:hAnsiTheme="minorEastAsia" w:eastAsiaTheme="minorEastAsia" w:cstheme="minorEastAsia"/>
          <w:color w:val="333333"/>
          <w:spacing w:val="-2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color w:val="333333"/>
          <w:spacing w:val="-2"/>
          <w:sz w:val="28"/>
          <w:szCs w:val="28"/>
        </w:rPr>
        <w:t>人</w:t>
      </w:r>
      <w:r>
        <w:rPr>
          <w:rFonts w:hint="eastAsia" w:asciiTheme="minorEastAsia" w:hAnsiTheme="minorEastAsia" w:eastAsiaTheme="minorEastAsia" w:cstheme="minorEastAsia"/>
          <w:color w:val="333333"/>
          <w:spacing w:val="-2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333333"/>
          <w:spacing w:val="-2"/>
          <w:sz w:val="28"/>
          <w:szCs w:val="28"/>
        </w:rPr>
        <w:t>其中</w:t>
      </w:r>
      <w:r>
        <w:rPr>
          <w:rFonts w:hint="eastAsia" w:asciiTheme="minorEastAsia" w:hAnsiTheme="minorEastAsia" w:eastAsiaTheme="minorEastAsia" w:cstheme="minorEastAsia"/>
          <w:color w:val="333333"/>
          <w:spacing w:val="-2"/>
          <w:sz w:val="28"/>
          <w:szCs w:val="28"/>
          <w:lang w:eastAsia="zh-CN"/>
        </w:rPr>
        <w:t>书记</w:t>
      </w:r>
      <w:r>
        <w:rPr>
          <w:rFonts w:hint="eastAsia" w:asciiTheme="minorEastAsia" w:hAnsiTheme="minorEastAsia" w:eastAsiaTheme="minorEastAsia" w:cstheme="minorEastAsia"/>
          <w:color w:val="333333"/>
          <w:spacing w:val="-2"/>
          <w:sz w:val="28"/>
          <w:szCs w:val="28"/>
          <w:lang w:val="en-US" w:eastAsia="zh-CN"/>
        </w:rPr>
        <w:t>1名，</w:t>
      </w:r>
      <w:r>
        <w:rPr>
          <w:rFonts w:hint="eastAsia" w:asciiTheme="minorEastAsia" w:hAnsiTheme="minorEastAsia" w:eastAsiaTheme="minorEastAsia" w:cstheme="minorEastAsia"/>
          <w:color w:val="333333"/>
          <w:spacing w:val="-2"/>
          <w:sz w:val="28"/>
          <w:szCs w:val="28"/>
        </w:rPr>
        <w:t>主任1名，</w:t>
      </w:r>
      <w:r>
        <w:rPr>
          <w:rFonts w:hint="eastAsia" w:asciiTheme="minorEastAsia" w:hAnsiTheme="minorEastAsia" w:eastAsiaTheme="minorEastAsia" w:cstheme="minorEastAsia"/>
          <w:color w:val="333333"/>
          <w:spacing w:val="-2"/>
          <w:sz w:val="28"/>
          <w:szCs w:val="28"/>
          <w:lang w:eastAsia="zh-CN"/>
        </w:rPr>
        <w:t>副书记</w:t>
      </w:r>
      <w:r>
        <w:rPr>
          <w:rFonts w:hint="eastAsia" w:asciiTheme="minorEastAsia" w:hAnsiTheme="minorEastAsia" w:eastAsiaTheme="minorEastAsia" w:cstheme="minorEastAsia"/>
          <w:color w:val="333333"/>
          <w:spacing w:val="-2"/>
          <w:sz w:val="28"/>
          <w:szCs w:val="28"/>
          <w:lang w:val="en-US" w:eastAsia="zh-CN"/>
        </w:rPr>
        <w:t>1名，</w:t>
      </w:r>
      <w:r>
        <w:rPr>
          <w:rFonts w:hint="eastAsia" w:asciiTheme="minorEastAsia" w:hAnsiTheme="minorEastAsia" w:eastAsiaTheme="minorEastAsia" w:cstheme="minorEastAsia"/>
          <w:color w:val="333333"/>
          <w:spacing w:val="-2"/>
          <w:sz w:val="28"/>
          <w:szCs w:val="28"/>
          <w:lang w:eastAsia="zh-CN"/>
        </w:rPr>
        <w:t>纪委书记</w:t>
      </w:r>
      <w:r>
        <w:rPr>
          <w:rFonts w:hint="eastAsia" w:asciiTheme="minorEastAsia" w:hAnsiTheme="minorEastAsia" w:eastAsiaTheme="minorEastAsia" w:cstheme="minorEastAsia"/>
          <w:color w:val="333333"/>
          <w:spacing w:val="-2"/>
          <w:sz w:val="28"/>
          <w:szCs w:val="28"/>
          <w:lang w:val="en-US" w:eastAsia="zh-CN"/>
        </w:rPr>
        <w:t>1名，</w:t>
      </w:r>
      <w:r>
        <w:rPr>
          <w:rFonts w:hint="eastAsia" w:asciiTheme="minorEastAsia" w:hAnsiTheme="minorEastAsia" w:eastAsiaTheme="minorEastAsia" w:cstheme="minorEastAsia"/>
          <w:color w:val="333333"/>
          <w:spacing w:val="-2"/>
          <w:sz w:val="28"/>
          <w:szCs w:val="28"/>
        </w:rPr>
        <w:t>副主任</w:t>
      </w:r>
      <w:r>
        <w:rPr>
          <w:rFonts w:hint="eastAsia" w:asciiTheme="minorEastAsia" w:hAnsiTheme="minorEastAsia" w:eastAsiaTheme="minorEastAsia" w:cstheme="minorEastAsia"/>
          <w:color w:val="333333"/>
          <w:spacing w:val="-2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color w:val="333333"/>
          <w:spacing w:val="-2"/>
          <w:sz w:val="28"/>
          <w:szCs w:val="28"/>
        </w:rPr>
        <w:t>名</w:t>
      </w:r>
      <w:r>
        <w:rPr>
          <w:rFonts w:hint="eastAsia" w:asciiTheme="minorEastAsia" w:hAnsiTheme="minorEastAsia" w:eastAsiaTheme="minorEastAsia" w:cstheme="minorEastAsia"/>
          <w:color w:val="333333"/>
          <w:spacing w:val="-2"/>
          <w:sz w:val="28"/>
          <w:szCs w:val="28"/>
          <w:lang w:eastAsia="zh-CN"/>
        </w:rPr>
        <w:t>，工会主席</w:t>
      </w:r>
      <w:r>
        <w:rPr>
          <w:rFonts w:hint="eastAsia" w:asciiTheme="minorEastAsia" w:hAnsiTheme="minorEastAsia" w:eastAsiaTheme="minorEastAsia" w:cstheme="minorEastAsia"/>
          <w:color w:val="333333"/>
          <w:spacing w:val="-2"/>
          <w:sz w:val="28"/>
          <w:szCs w:val="28"/>
          <w:lang w:val="en-US" w:eastAsia="zh-CN"/>
        </w:rPr>
        <w:t>1名</w:t>
      </w:r>
      <w:r>
        <w:rPr>
          <w:rFonts w:hint="eastAsia" w:asciiTheme="minorEastAsia" w:hAnsiTheme="minorEastAsia" w:eastAsiaTheme="minorEastAsia" w:cstheme="minorEastAsia"/>
          <w:color w:val="333333"/>
          <w:spacing w:val="-2"/>
          <w:sz w:val="28"/>
          <w:szCs w:val="28"/>
        </w:rPr>
        <w:t>；非领导职数（主任科员）</w:t>
      </w:r>
      <w:r>
        <w:rPr>
          <w:rFonts w:hint="eastAsia" w:asciiTheme="minorEastAsia" w:hAnsiTheme="minorEastAsia" w:eastAsiaTheme="minorEastAsia" w:cstheme="minorEastAsia"/>
          <w:color w:val="333333"/>
          <w:spacing w:val="-2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333333"/>
          <w:spacing w:val="-2"/>
          <w:sz w:val="28"/>
          <w:szCs w:val="28"/>
        </w:rPr>
        <w:t>名；</w:t>
      </w:r>
      <w:r>
        <w:rPr>
          <w:rFonts w:hint="eastAsia" w:asciiTheme="minorEastAsia" w:hAnsiTheme="minorEastAsia" w:eastAsiaTheme="minorEastAsia" w:cstheme="minorEastAsia"/>
          <w:color w:val="333333"/>
          <w:spacing w:val="-2"/>
          <w:sz w:val="28"/>
          <w:szCs w:val="28"/>
          <w:lang w:eastAsia="zh-CN"/>
        </w:rPr>
        <w:t>副科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color w:val="333333"/>
          <w:spacing w:val="-2"/>
          <w:sz w:val="28"/>
          <w:szCs w:val="28"/>
        </w:rPr>
        <w:t>职数8名。现有人员实行只出不进。</w:t>
      </w:r>
    </w:p>
    <w:p>
      <w:pPr>
        <w:pStyle w:val="2"/>
        <w:widowControl/>
        <w:ind w:left="241" w:firstLine="562" w:firstLineChars="200"/>
        <w:rPr>
          <w:rFonts w:hint="eastAsia" w:asciiTheme="minorEastAsia" w:hAnsiTheme="minorEastAsia" w:eastAsiaTheme="minorEastAsia" w:cstheme="minorEastAsia"/>
          <w:b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28"/>
          <w:szCs w:val="28"/>
        </w:rPr>
        <w:t>二、部门整体支出管理及使用情况</w:t>
      </w:r>
    </w:p>
    <w:p>
      <w:pPr>
        <w:widowControl/>
        <w:spacing w:line="540" w:lineRule="atLeast"/>
        <w:ind w:firstLine="560" w:firstLineChars="200"/>
        <w:jc w:val="left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eastAsia="zh-CN"/>
        </w:rPr>
        <w:t>（一）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年初预算安排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lang w:val="en-US" w:eastAsia="zh-CN"/>
        </w:rPr>
        <w:t>393.69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</w:rPr>
        <w:t>万元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lang w:eastAsia="zh-CN"/>
        </w:rPr>
        <w:t>，其中：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</w:rPr>
        <w:t>基本支出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lang w:val="en-US" w:eastAsia="zh-CN"/>
        </w:rPr>
        <w:t>330.38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</w:rPr>
        <w:t>万元，项目支出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lang w:val="en-US" w:eastAsia="zh-CN"/>
        </w:rPr>
        <w:t>45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</w:rPr>
        <w:t>万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lang w:val="en-US" w:eastAsia="zh-CN"/>
        </w:rPr>
        <w:t>348.69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</w:rPr>
        <w:t>元。</w:t>
      </w:r>
    </w:p>
    <w:p>
      <w:pPr>
        <w:widowControl/>
        <w:spacing w:line="540" w:lineRule="atLeast"/>
        <w:ind w:firstLine="56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收入情况：上年结转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万元,一般公共预算财政拨款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lang w:val="en-US" w:eastAsia="zh-CN"/>
        </w:rPr>
        <w:t>71299.33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万元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本年收入总计政府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lang w:val="en-US" w:eastAsia="zh-CN"/>
        </w:rPr>
        <w:t>71299.33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万元。</w:t>
      </w:r>
    </w:p>
    <w:p>
      <w:pPr>
        <w:widowControl/>
        <w:numPr>
          <w:ilvl w:val="0"/>
          <w:numId w:val="1"/>
        </w:numPr>
        <w:spacing w:line="540" w:lineRule="atLeast"/>
        <w:ind w:firstLine="56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支出情况:本年支出总计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lang w:val="en-US" w:eastAsia="zh-CN"/>
        </w:rPr>
        <w:t>71299.33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万元。其中：基本支出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/>
        </w:rPr>
        <w:t>590.55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万元，项目支出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/>
        </w:rPr>
        <w:t>70708.78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万元。</w:t>
      </w:r>
    </w:p>
    <w:p>
      <w:pPr>
        <w:widowControl/>
        <w:spacing w:line="540" w:lineRule="atLeast"/>
        <w:ind w:firstLine="560" w:firstLineChars="20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（三）“三公”经费情况：公务接待费年初预算数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16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万元，本年实际支出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12.03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节约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24.81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%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.</w:t>
      </w:r>
    </w:p>
    <w:p>
      <w:pPr>
        <w:pStyle w:val="2"/>
        <w:widowControl/>
        <w:ind w:left="241" w:firstLine="562" w:firstLineChars="200"/>
        <w:rPr>
          <w:rFonts w:hint="eastAsia" w:asciiTheme="minorEastAsia" w:hAnsiTheme="minorEastAsia" w:eastAsiaTheme="minorEastAsia" w:cstheme="minorEastAsia"/>
          <w:b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28"/>
          <w:szCs w:val="28"/>
        </w:rPr>
        <w:t>三、部门整体支出绩效评价情况。</w:t>
      </w:r>
    </w:p>
    <w:p>
      <w:pPr>
        <w:widowControl/>
        <w:shd w:val="clear" w:color="auto" w:fill="FFFFFF"/>
        <w:spacing w:line="360" w:lineRule="auto"/>
        <w:ind w:firstLine="64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20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21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年衡南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工业集中区管理委员会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整体支出资金资金使用基本上符合政策要求，合理合法，使用有效，管理较规范， 根据《整体支出资金项目绩效评价指标体系》评分，得分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96.8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分（详见附件1），财政支出绩效为“优”。</w:t>
      </w:r>
    </w:p>
    <w:p>
      <w:pPr>
        <w:pStyle w:val="2"/>
        <w:widowControl/>
        <w:ind w:left="241" w:firstLine="562" w:firstLineChars="200"/>
        <w:rPr>
          <w:rFonts w:hint="eastAsia" w:asciiTheme="minorEastAsia" w:hAnsiTheme="minorEastAsia" w:eastAsiaTheme="minorEastAsia" w:cstheme="minorEastAsia"/>
          <w:b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28"/>
          <w:szCs w:val="28"/>
        </w:rPr>
        <w:t>四、存在问题</w:t>
      </w:r>
    </w:p>
    <w:p>
      <w:pPr>
        <w:pStyle w:val="2"/>
        <w:widowControl/>
        <w:ind w:left="241"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(1)年初编制的预算不够精确，导致年内预算追加较大，预算控制率较低，影响单位评分及评价等次。</w:t>
      </w:r>
    </w:p>
    <w:p>
      <w:pPr>
        <w:adjustRightInd w:val="0"/>
        <w:snapToGrid w:val="0"/>
        <w:spacing w:line="600" w:lineRule="exact"/>
        <w:ind w:firstLine="560" w:firstLineChars="200"/>
        <w:contextualSpacing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(2)预算执行情况还有待加强。</w:t>
      </w:r>
    </w:p>
    <w:p>
      <w:pPr>
        <w:pStyle w:val="2"/>
        <w:widowControl/>
        <w:ind w:left="241" w:firstLine="562" w:firstLineChars="200"/>
        <w:rPr>
          <w:rFonts w:hint="eastAsia" w:asciiTheme="minorEastAsia" w:hAnsiTheme="minorEastAsia" w:eastAsiaTheme="minorEastAsia" w:cstheme="minorEastAsia"/>
          <w:b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28"/>
          <w:szCs w:val="28"/>
        </w:rPr>
        <w:t>五、改进措施建议。</w:t>
      </w:r>
    </w:p>
    <w:p>
      <w:pPr>
        <w:pStyle w:val="2"/>
        <w:widowControl/>
        <w:ind w:left="241"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、细化预算编制工作，认真做好预算的编制。进一步加强内部机构的预算管理意识，严格按照预算编制的相关制度和要求，本着“勤俭节约、保障运转”的原则进行预算的编制；编制范围尽可能的全面、不漏项，进一步提高预算编制的科学性、合理性、严谨性和可控性。</w:t>
      </w:r>
    </w:p>
    <w:p>
      <w:pPr>
        <w:adjustRightInd w:val="0"/>
        <w:snapToGrid w:val="0"/>
        <w:spacing w:line="600" w:lineRule="exact"/>
        <w:ind w:firstLine="560" w:firstLineChars="200"/>
        <w:contextualSpacing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2、在日常预算管理过程中，进一步加强预算支出的审核、跟踪及预算执行情况分析。</w:t>
      </w:r>
    </w:p>
    <w:p>
      <w:pPr>
        <w:widowControl/>
        <w:spacing w:line="540" w:lineRule="atLeast"/>
        <w:ind w:firstLine="560" w:firstLineChars="20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widowControl/>
        <w:spacing w:line="540" w:lineRule="atLeast"/>
        <w:ind w:firstLine="560" w:firstLineChars="20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510044"/>
    <w:multiLevelType w:val="singleLevel"/>
    <w:tmpl w:val="0C510044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39262F8"/>
    <w:rsid w:val="000000F9"/>
    <w:rsid w:val="00081243"/>
    <w:rsid w:val="00135432"/>
    <w:rsid w:val="0033007E"/>
    <w:rsid w:val="00375BA3"/>
    <w:rsid w:val="0044318E"/>
    <w:rsid w:val="004A6CAA"/>
    <w:rsid w:val="004C17F3"/>
    <w:rsid w:val="0054000F"/>
    <w:rsid w:val="005E7075"/>
    <w:rsid w:val="005F71A1"/>
    <w:rsid w:val="00671863"/>
    <w:rsid w:val="0074763D"/>
    <w:rsid w:val="00867F83"/>
    <w:rsid w:val="00897F5C"/>
    <w:rsid w:val="008E31F9"/>
    <w:rsid w:val="009615C4"/>
    <w:rsid w:val="009D2C39"/>
    <w:rsid w:val="00BF6356"/>
    <w:rsid w:val="00C805C7"/>
    <w:rsid w:val="00CD24C3"/>
    <w:rsid w:val="00D84E80"/>
    <w:rsid w:val="00EA655B"/>
    <w:rsid w:val="00F97F12"/>
    <w:rsid w:val="02D353AB"/>
    <w:rsid w:val="05BB6A3F"/>
    <w:rsid w:val="07E638D5"/>
    <w:rsid w:val="0A9C0188"/>
    <w:rsid w:val="0AF74787"/>
    <w:rsid w:val="0B3E440F"/>
    <w:rsid w:val="0CAF051D"/>
    <w:rsid w:val="12900E87"/>
    <w:rsid w:val="136A66CC"/>
    <w:rsid w:val="160824B7"/>
    <w:rsid w:val="19931987"/>
    <w:rsid w:val="19BD3E30"/>
    <w:rsid w:val="1B013E7C"/>
    <w:rsid w:val="1B095E86"/>
    <w:rsid w:val="1B4F7561"/>
    <w:rsid w:val="1DCA6592"/>
    <w:rsid w:val="1F193D94"/>
    <w:rsid w:val="1F2E3844"/>
    <w:rsid w:val="234D6ECC"/>
    <w:rsid w:val="23B53A75"/>
    <w:rsid w:val="27B628FE"/>
    <w:rsid w:val="2C9C4BB3"/>
    <w:rsid w:val="2D8D0523"/>
    <w:rsid w:val="2FBF3633"/>
    <w:rsid w:val="338F64B2"/>
    <w:rsid w:val="3B264934"/>
    <w:rsid w:val="439262F8"/>
    <w:rsid w:val="46380A1F"/>
    <w:rsid w:val="463E68AF"/>
    <w:rsid w:val="46D17D09"/>
    <w:rsid w:val="471B79D4"/>
    <w:rsid w:val="47B95B8F"/>
    <w:rsid w:val="49A64CC5"/>
    <w:rsid w:val="4AB04608"/>
    <w:rsid w:val="4C7D43AE"/>
    <w:rsid w:val="4FF00086"/>
    <w:rsid w:val="513C078C"/>
    <w:rsid w:val="52380820"/>
    <w:rsid w:val="529C04A5"/>
    <w:rsid w:val="531C52C5"/>
    <w:rsid w:val="55151E32"/>
    <w:rsid w:val="564734A9"/>
    <w:rsid w:val="58F5279F"/>
    <w:rsid w:val="593F38FA"/>
    <w:rsid w:val="59C156CB"/>
    <w:rsid w:val="59D704C7"/>
    <w:rsid w:val="5B4E24A5"/>
    <w:rsid w:val="5BB10390"/>
    <w:rsid w:val="5BCE253B"/>
    <w:rsid w:val="5BE11230"/>
    <w:rsid w:val="5E5C573D"/>
    <w:rsid w:val="60BB2779"/>
    <w:rsid w:val="6367735A"/>
    <w:rsid w:val="640F7ED2"/>
    <w:rsid w:val="65985691"/>
    <w:rsid w:val="68AE2E9C"/>
    <w:rsid w:val="69151304"/>
    <w:rsid w:val="6A3327B3"/>
    <w:rsid w:val="6AA03E07"/>
    <w:rsid w:val="6E246221"/>
    <w:rsid w:val="6F526AC0"/>
    <w:rsid w:val="73381098"/>
    <w:rsid w:val="74EA458B"/>
    <w:rsid w:val="7631109D"/>
    <w:rsid w:val="77060902"/>
    <w:rsid w:val="77E17EE2"/>
    <w:rsid w:val="780F0D24"/>
    <w:rsid w:val="7E470FB4"/>
    <w:rsid w:val="7F81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jc w:val="left"/>
    </w:pPr>
    <w:rPr>
      <w:kern w:val="0"/>
      <w:sz w:val="18"/>
      <w:szCs w:val="18"/>
    </w:rPr>
  </w:style>
  <w:style w:type="character" w:styleId="5">
    <w:name w:val="Hyperlink"/>
    <w:basedOn w:val="4"/>
    <w:qFormat/>
    <w:uiPriority w:val="99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3</Pages>
  <Words>999</Words>
  <Characters>1079</Characters>
  <Lines>0</Lines>
  <Paragraphs>0</Paragraphs>
  <TotalTime>11</TotalTime>
  <ScaleCrop>false</ScaleCrop>
  <LinksUpToDate>false</LinksUpToDate>
  <CharactersWithSpaces>1081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2018-01-31T04:49:00Z</dcterms:created>
  <dc:creator>Administrator</dc:creator>
  <cp:lastModifiedBy>Administrator</cp:lastModifiedBy>
  <cp:lastPrinted>2022-04-28T03:01:23Z</cp:lastPrinted>
  <dcterms:modified xsi:type="dcterms:W3CDTF">2022-04-28T03:01:28Z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B3A3360ABECB416A827839190FF69875</vt:lpwstr>
  </property>
</Properties>
</file>