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sz w:val="44"/>
          <w:szCs w:val="44"/>
        </w:rPr>
      </w:pPr>
      <w:r>
        <w:rPr>
          <w:rFonts w:hint="eastAsia" w:ascii="方正小标宋_GBK" w:eastAsia="方正小标宋_GBK"/>
          <w:sz w:val="44"/>
          <w:szCs w:val="44"/>
        </w:rPr>
        <w:t>衡南县部门整体支出绩效自评报告</w:t>
      </w:r>
    </w:p>
    <w:p/>
    <w:p>
      <w:pPr>
        <w:jc w:val="center"/>
        <w:rPr>
          <w:rFonts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rPr>
        <w:t>21</w:t>
      </w:r>
      <w:r>
        <w:rPr>
          <w:rFonts w:hint="eastAsia" w:ascii="仿宋_GB2312" w:eastAsia="仿宋_GB2312"/>
          <w:sz w:val="32"/>
          <w:szCs w:val="32"/>
        </w:rPr>
        <w:t>年度 ）</w:t>
      </w:r>
    </w:p>
    <w:p/>
    <w:p/>
    <w:p/>
    <w:p>
      <w:pPr>
        <w:ind w:firstLine="640" w:firstLineChars="200"/>
        <w:rPr>
          <w:rFonts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eastAsia="zh-CN"/>
        </w:rPr>
        <w:t>文化遗产事务中心</w:t>
      </w:r>
      <w:r>
        <w:rPr>
          <w:rFonts w:hint="eastAsia" w:ascii="仿宋_GB2312" w:eastAsia="仿宋_GB2312"/>
          <w:sz w:val="32"/>
          <w:szCs w:val="32"/>
        </w:rPr>
        <w:t xml:space="preserve">             </w:t>
      </w:r>
    </w:p>
    <w:p>
      <w:pPr>
        <w:ind w:firstLine="640" w:firstLineChars="200"/>
        <w:rPr>
          <w:rFonts w:ascii="仿宋_GB2312" w:eastAsia="仿宋_GB2312"/>
          <w:sz w:val="32"/>
          <w:szCs w:val="32"/>
        </w:rPr>
      </w:pPr>
      <w:r>
        <w:rPr>
          <w:rFonts w:hint="eastAsia" w:ascii="仿宋_GB2312" w:eastAsia="仿宋_GB2312"/>
          <w:sz w:val="32"/>
          <w:szCs w:val="32"/>
        </w:rPr>
        <w:t xml:space="preserve">预算编码：                    </w:t>
      </w:r>
    </w:p>
    <w:p>
      <w:pPr>
        <w:ind w:firstLine="640" w:firstLineChars="200"/>
        <w:rPr>
          <w:rFonts w:ascii="仿宋_GB2312" w:eastAsia="仿宋_GB2312"/>
          <w:sz w:val="32"/>
          <w:szCs w:val="32"/>
        </w:rPr>
      </w:pPr>
      <w:r>
        <w:rPr>
          <w:rFonts w:hint="eastAsia" w:ascii="仿宋_GB2312" w:eastAsia="仿宋_GB2312"/>
          <w:sz w:val="32"/>
          <w:szCs w:val="32"/>
        </w:rPr>
        <w:t xml:space="preserve">评价方式：部门（单位）自评☑  </w:t>
      </w:r>
    </w:p>
    <w:p>
      <w:pPr>
        <w:ind w:firstLine="2240" w:firstLineChars="700"/>
        <w:rPr>
          <w:rFonts w:ascii="仿宋_GB2312" w:eastAsia="仿宋_GB2312"/>
          <w:sz w:val="32"/>
          <w:szCs w:val="32"/>
        </w:rPr>
      </w:pPr>
      <w:r>
        <w:rPr>
          <w:rFonts w:hint="eastAsia" w:ascii="仿宋_GB2312" w:eastAsia="仿宋_GB2312"/>
          <w:sz w:val="32"/>
          <w:szCs w:val="32"/>
        </w:rPr>
        <w:t>中介机构评价□</w:t>
      </w:r>
    </w:p>
    <w:p>
      <w:pPr>
        <w:ind w:firstLine="640" w:firstLineChars="200"/>
        <w:rPr>
          <w:rFonts w:ascii="仿宋_GB2312" w:eastAsia="仿宋_GB2312"/>
          <w:sz w:val="32"/>
          <w:szCs w:val="32"/>
        </w:rPr>
      </w:pPr>
      <w:r>
        <w:rPr>
          <w:rFonts w:hint="eastAsia" w:ascii="仿宋_GB2312" w:eastAsia="仿宋_GB2312"/>
          <w:sz w:val="32"/>
          <w:szCs w:val="32"/>
        </w:rPr>
        <w:t>评价机构：部门（单位）评价组☑</w:t>
      </w:r>
    </w:p>
    <w:p>
      <w:pPr>
        <w:ind w:firstLine="2240" w:firstLineChars="700"/>
        <w:rPr>
          <w:rFonts w:ascii="仿宋_GB2312" w:eastAsia="仿宋_GB2312"/>
          <w:sz w:val="32"/>
          <w:szCs w:val="32"/>
        </w:rPr>
      </w:pPr>
      <w:r>
        <w:rPr>
          <w:rFonts w:hint="eastAsia" w:ascii="仿宋_GB2312" w:eastAsia="仿宋_GB2312"/>
          <w:sz w:val="32"/>
          <w:szCs w:val="32"/>
        </w:rPr>
        <w:t>中介机构□</w:t>
      </w:r>
    </w:p>
    <w:p/>
    <w:p/>
    <w:p/>
    <w:p/>
    <w:p/>
    <w:p/>
    <w:p/>
    <w:p/>
    <w:p/>
    <w:p/>
    <w:p/>
    <w:p>
      <w:pPr>
        <w:jc w:val="center"/>
        <w:rPr>
          <w:rFonts w:ascii="仿宋_GB2312" w:eastAsia="仿宋_GB2312"/>
          <w:sz w:val="32"/>
          <w:szCs w:val="32"/>
        </w:rPr>
      </w:pPr>
      <w:r>
        <w:rPr>
          <w:rFonts w:hint="eastAsia" w:ascii="仿宋_GB2312" w:eastAsia="仿宋_GB2312"/>
          <w:sz w:val="32"/>
          <w:szCs w:val="32"/>
        </w:rPr>
        <w:t>报告日期：   2022 年 04 月 25日</w:t>
      </w:r>
    </w:p>
    <w:p/>
    <w:p/>
    <w:p/>
    <w:p/>
    <w:p/>
    <w:p/>
    <w:p/>
    <w:p/>
    <w:p/>
    <w:p>
      <w:pPr>
        <w:widowControl/>
        <w:spacing w:line="315" w:lineRule="atLeast"/>
        <w:rPr>
          <w:rFonts w:ascii="宋体" w:hAnsi="宋体"/>
        </w:rPr>
      </w:pPr>
    </w:p>
    <w:p>
      <w:pPr>
        <w:widowControl/>
        <w:spacing w:line="540" w:lineRule="atLeast"/>
        <w:jc w:val="center"/>
        <w:rPr>
          <w:rFonts w:ascii="仿宋" w:hAnsi="仿宋" w:eastAsia="仿宋" w:cs="仿宋"/>
          <w:b/>
          <w:bCs/>
          <w:color w:val="000000"/>
          <w:kern w:val="0"/>
          <w:sz w:val="44"/>
          <w:szCs w:val="44"/>
        </w:rPr>
      </w:pPr>
      <w:r>
        <w:rPr>
          <w:rFonts w:hint="eastAsia" w:ascii="仿宋" w:hAnsi="仿宋" w:eastAsia="仿宋" w:cs="仿宋"/>
          <w:b/>
          <w:bCs/>
          <w:color w:val="000000"/>
          <w:kern w:val="0"/>
          <w:sz w:val="44"/>
          <w:szCs w:val="44"/>
          <w:lang w:eastAsia="zh-CN"/>
        </w:rPr>
        <w:t>衡南县文化遗产事务中心</w:t>
      </w:r>
      <w:r>
        <w:rPr>
          <w:rFonts w:hint="eastAsia" w:ascii="仿宋" w:hAnsi="仿宋" w:eastAsia="仿宋" w:cs="仿宋"/>
          <w:b/>
          <w:bCs/>
          <w:color w:val="000000"/>
          <w:kern w:val="0"/>
          <w:sz w:val="44"/>
          <w:szCs w:val="44"/>
        </w:rPr>
        <w:t>2021年部门整体支出绩效自评报告</w:t>
      </w:r>
    </w:p>
    <w:p>
      <w:pPr>
        <w:pStyle w:val="2"/>
      </w:pPr>
    </w:p>
    <w:p>
      <w:pPr>
        <w:ind w:firstLine="600" w:firstLineChars="200"/>
        <w:jc w:val="left"/>
        <w:rPr>
          <w:rFonts w:asciiTheme="minorEastAsia" w:hAnsiTheme="minorEastAsia" w:eastAsiaTheme="minorEastAsia" w:cstheme="minorEastAsia"/>
          <w:color w:val="000000"/>
          <w:kern w:val="0"/>
          <w:sz w:val="30"/>
          <w:szCs w:val="30"/>
        </w:rPr>
      </w:pPr>
    </w:p>
    <w:p>
      <w:pPr>
        <w:ind w:firstLine="592" w:firstLineChars="200"/>
        <w:jc w:val="left"/>
        <w:rPr>
          <w:rFonts w:asciiTheme="minorEastAsia" w:hAnsiTheme="minorEastAsia" w:eastAsiaTheme="minorEastAsia" w:cstheme="minorEastAsia"/>
          <w:color w:val="333333"/>
          <w:spacing w:val="-2"/>
          <w:sz w:val="30"/>
          <w:szCs w:val="30"/>
        </w:rPr>
      </w:pPr>
      <w:r>
        <w:rPr>
          <w:rFonts w:hint="eastAsia" w:asciiTheme="minorEastAsia" w:hAnsiTheme="minorEastAsia" w:eastAsiaTheme="minorEastAsia" w:cstheme="minorEastAsia"/>
          <w:color w:val="333333"/>
          <w:spacing w:val="-2"/>
          <w:sz w:val="30"/>
          <w:szCs w:val="30"/>
        </w:rPr>
        <w:t>为加强财政预算资金管理，进一步规范预算资金使用，提高财政资金使用效益，根据《衡南县财政局关于开展2021年度财政资金绩效自评工作的通知》（</w:t>
      </w:r>
      <w:r>
        <w:rPr>
          <w:rFonts w:hint="eastAsia" w:asciiTheme="minorEastAsia" w:hAnsiTheme="minorEastAsia" w:eastAsiaTheme="minorEastAsia" w:cstheme="minorEastAsia"/>
          <w:bCs/>
          <w:sz w:val="30"/>
          <w:szCs w:val="30"/>
        </w:rPr>
        <w:t>清财绩[2022]32号）</w:t>
      </w:r>
      <w:r>
        <w:rPr>
          <w:rFonts w:hint="eastAsia" w:asciiTheme="minorEastAsia" w:hAnsiTheme="minorEastAsia" w:eastAsiaTheme="minorEastAsia" w:cstheme="minorEastAsia"/>
          <w:color w:val="333333"/>
          <w:spacing w:val="-2"/>
          <w:sz w:val="30"/>
          <w:szCs w:val="30"/>
        </w:rPr>
        <w:t>要求，我</w:t>
      </w:r>
      <w:r>
        <w:rPr>
          <w:rFonts w:hint="eastAsia" w:asciiTheme="minorEastAsia" w:hAnsiTheme="minorEastAsia" w:eastAsiaTheme="minorEastAsia" w:cstheme="minorEastAsia"/>
          <w:color w:val="333333"/>
          <w:spacing w:val="-2"/>
          <w:sz w:val="30"/>
          <w:szCs w:val="30"/>
          <w:lang w:eastAsia="zh-CN"/>
        </w:rPr>
        <w:t>中心</w:t>
      </w:r>
      <w:r>
        <w:rPr>
          <w:rFonts w:hint="eastAsia" w:asciiTheme="minorEastAsia" w:hAnsiTheme="minorEastAsia" w:eastAsiaTheme="minorEastAsia" w:cstheme="minorEastAsia"/>
          <w:color w:val="333333"/>
          <w:spacing w:val="-2"/>
          <w:sz w:val="30"/>
          <w:szCs w:val="30"/>
        </w:rPr>
        <w:t>对2021年度本单位财政性资金整体使用情况进行了绩效自评，现将具体绩效评价情况报告如下：</w:t>
      </w:r>
    </w:p>
    <w:p>
      <w:pPr>
        <w:spacing w:line="600" w:lineRule="exact"/>
        <w:ind w:firstLine="602" w:firstLineChars="200"/>
        <w:jc w:val="left"/>
        <w:rPr>
          <w:rFonts w:asciiTheme="minorEastAsia" w:hAnsiTheme="minorEastAsia" w:eastAsiaTheme="minorEastAsia" w:cstheme="minorEastAsia"/>
          <w:b/>
          <w:bCs/>
          <w:sz w:val="30"/>
          <w:szCs w:val="30"/>
        </w:rPr>
      </w:pPr>
      <w:r>
        <w:rPr>
          <w:rFonts w:hint="eastAsia" w:asciiTheme="minorEastAsia" w:hAnsiTheme="minorEastAsia" w:eastAsiaTheme="minorEastAsia" w:cstheme="minorEastAsia"/>
          <w:b/>
          <w:bCs/>
          <w:sz w:val="30"/>
          <w:szCs w:val="30"/>
        </w:rPr>
        <w:t>一、单位基本情况</w:t>
      </w:r>
    </w:p>
    <w:p>
      <w:pPr>
        <w:keepNext w:val="0"/>
        <w:keepLines w:val="0"/>
        <w:pageBreakBefore w:val="0"/>
        <w:shd w:val="solid" w:color="FFFFFF" w:fill="auto"/>
        <w:kinsoku/>
        <w:wordWrap/>
        <w:overflowPunct/>
        <w:topLinePunct w:val="0"/>
        <w:autoSpaceDE/>
        <w:autoSpaceDN w:val="0"/>
        <w:bidi w:val="0"/>
        <w:adjustRightInd/>
        <w:spacing w:line="500" w:lineRule="exact"/>
        <w:ind w:firstLine="600" w:firstLineChars="200"/>
        <w:jc w:val="both"/>
        <w:textAlignment w:val="auto"/>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衡南县文化遗产事务中心</w:t>
      </w:r>
      <w:r>
        <w:rPr>
          <w:rFonts w:hint="eastAsia" w:asciiTheme="minorEastAsia" w:hAnsiTheme="minorEastAsia" w:eastAsiaTheme="minorEastAsia" w:cstheme="minorEastAsia"/>
          <w:bCs/>
          <w:color w:val="383838"/>
          <w:sz w:val="30"/>
          <w:szCs w:val="30"/>
          <w:shd w:val="clear" w:color="auto" w:fill="FFFFFF"/>
        </w:rPr>
        <w:t>属</w:t>
      </w:r>
      <w:r>
        <w:rPr>
          <w:rFonts w:hint="eastAsia" w:asciiTheme="minorEastAsia" w:hAnsiTheme="minorEastAsia" w:eastAsiaTheme="minorEastAsia" w:cstheme="minorEastAsia"/>
          <w:bCs/>
          <w:color w:val="383838"/>
          <w:sz w:val="30"/>
          <w:szCs w:val="30"/>
          <w:shd w:val="clear" w:color="auto" w:fill="FFFFFF"/>
          <w:lang w:eastAsia="zh-CN"/>
        </w:rPr>
        <w:t>副</w:t>
      </w:r>
      <w:r>
        <w:rPr>
          <w:rFonts w:hint="eastAsia" w:asciiTheme="minorEastAsia" w:hAnsiTheme="minorEastAsia" w:eastAsiaTheme="minorEastAsia" w:cstheme="minorEastAsia"/>
          <w:bCs/>
          <w:color w:val="383838"/>
          <w:sz w:val="30"/>
          <w:szCs w:val="30"/>
          <w:shd w:val="clear" w:color="auto" w:fill="FFFFFF"/>
        </w:rPr>
        <w:t>科级事业单位，现有在职职工</w:t>
      </w:r>
      <w:r>
        <w:rPr>
          <w:rFonts w:hint="eastAsia" w:asciiTheme="minorEastAsia" w:hAnsiTheme="minorEastAsia" w:eastAsiaTheme="minorEastAsia" w:cstheme="minorEastAsia"/>
          <w:bCs/>
          <w:color w:val="383838"/>
          <w:sz w:val="30"/>
          <w:szCs w:val="30"/>
          <w:shd w:val="clear" w:color="auto" w:fill="FFFFFF"/>
          <w:lang w:val="en-US" w:eastAsia="zh-CN"/>
        </w:rPr>
        <w:t>10</w:t>
      </w:r>
      <w:r>
        <w:rPr>
          <w:rFonts w:hint="eastAsia" w:asciiTheme="minorEastAsia" w:hAnsiTheme="minorEastAsia" w:eastAsiaTheme="minorEastAsia" w:cstheme="minorEastAsia"/>
          <w:bCs/>
          <w:color w:val="383838"/>
          <w:sz w:val="30"/>
          <w:szCs w:val="30"/>
          <w:shd w:val="clear" w:color="auto" w:fill="FFFFFF"/>
        </w:rPr>
        <w:t>人</w:t>
      </w:r>
      <w:r>
        <w:rPr>
          <w:rFonts w:hint="eastAsia" w:asciiTheme="minorEastAsia" w:hAnsiTheme="minorEastAsia" w:eastAsiaTheme="minorEastAsia" w:cstheme="minorEastAsia"/>
          <w:bCs/>
          <w:color w:val="383838"/>
          <w:sz w:val="30"/>
          <w:szCs w:val="30"/>
          <w:shd w:val="clear" w:color="auto" w:fill="FFFFFF"/>
          <w:lang w:eastAsia="zh-CN"/>
        </w:rPr>
        <w:t>，退休人员</w:t>
      </w:r>
      <w:r>
        <w:rPr>
          <w:rFonts w:hint="eastAsia" w:asciiTheme="minorEastAsia" w:hAnsiTheme="minorEastAsia" w:eastAsiaTheme="minorEastAsia" w:cstheme="minorEastAsia"/>
          <w:bCs/>
          <w:color w:val="383838"/>
          <w:sz w:val="30"/>
          <w:szCs w:val="30"/>
          <w:shd w:val="clear" w:color="auto" w:fill="FFFFFF"/>
          <w:lang w:val="en-US" w:eastAsia="zh-CN"/>
        </w:rPr>
        <w:t>5人</w:t>
      </w:r>
      <w:r>
        <w:rPr>
          <w:rFonts w:hint="eastAsia" w:asciiTheme="minorEastAsia" w:hAnsiTheme="minorEastAsia" w:eastAsiaTheme="minorEastAsia" w:cstheme="minorEastAsia"/>
          <w:bCs/>
          <w:color w:val="383838"/>
          <w:sz w:val="30"/>
          <w:szCs w:val="30"/>
          <w:shd w:val="clear" w:color="auto" w:fill="FFFFFF"/>
        </w:rPr>
        <w:t>。</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rFonts w:hint="eastAsia" w:eastAsia="宋体"/>
          <w:sz w:val="30"/>
          <w:szCs w:val="30"/>
          <w:lang w:eastAsia="zh-CN"/>
        </w:rPr>
      </w:pPr>
      <w:r>
        <w:rPr>
          <w:rFonts w:hint="eastAsia"/>
          <w:sz w:val="30"/>
          <w:szCs w:val="30"/>
        </w:rPr>
        <w:t>（一）基本情况</w:t>
      </w:r>
      <w:r>
        <w:rPr>
          <w:rFonts w:hint="eastAsia"/>
          <w:sz w:val="30"/>
          <w:szCs w:val="30"/>
          <w:lang w:eastAsia="zh-CN"/>
        </w:rPr>
        <w:t>职能</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rFonts w:hint="eastAsia"/>
          <w:sz w:val="30"/>
          <w:szCs w:val="30"/>
        </w:rPr>
      </w:pPr>
      <w:r>
        <w:rPr>
          <w:rFonts w:hint="eastAsia"/>
          <w:sz w:val="30"/>
          <w:szCs w:val="30"/>
        </w:rPr>
        <w:t>(1)组织贯彻落实国家、省、市有关文物保护的法律法规和政策，并研究制订全县文物保护事业的发展规划和实施方案。</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rFonts w:hint="eastAsia"/>
          <w:sz w:val="30"/>
          <w:szCs w:val="30"/>
        </w:rPr>
      </w:pPr>
      <w:r>
        <w:rPr>
          <w:rFonts w:hint="eastAsia"/>
          <w:sz w:val="30"/>
          <w:szCs w:val="30"/>
        </w:rPr>
        <w:t>(2)负责全县文物保护、管理、抢救、发掘、研究、出境、宣传等业务工作。</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rFonts w:hint="eastAsia"/>
          <w:sz w:val="30"/>
          <w:szCs w:val="30"/>
        </w:rPr>
      </w:pPr>
      <w:r>
        <w:rPr>
          <w:rFonts w:hint="eastAsia"/>
          <w:sz w:val="30"/>
          <w:szCs w:val="30"/>
        </w:rPr>
        <w:t>(3)负责申报、配合国家、省、市文物部门的文物钻探、考古发掘、保护维修等工作。</w:t>
      </w:r>
    </w:p>
    <w:p>
      <w:pPr>
        <w:pStyle w:val="2"/>
        <w:keepNext w:val="0"/>
        <w:keepLines w:val="0"/>
        <w:pageBreakBefore w:val="0"/>
        <w:widowControl w:val="0"/>
        <w:kinsoku/>
        <w:wordWrap/>
        <w:overflowPunct/>
        <w:topLinePunct w:val="0"/>
        <w:autoSpaceDE/>
        <w:autoSpaceDN/>
        <w:bidi w:val="0"/>
        <w:adjustRightInd/>
        <w:snapToGrid w:val="0"/>
        <w:spacing w:line="500" w:lineRule="exact"/>
        <w:ind w:firstLine="600" w:firstLineChars="200"/>
        <w:jc w:val="both"/>
        <w:textAlignment w:val="auto"/>
        <w:rPr>
          <w:rFonts w:hint="eastAsia"/>
          <w:sz w:val="30"/>
          <w:szCs w:val="30"/>
        </w:rPr>
      </w:pPr>
      <w:r>
        <w:rPr>
          <w:rFonts w:hint="eastAsia"/>
          <w:sz w:val="30"/>
          <w:szCs w:val="30"/>
        </w:rPr>
        <w:t>(4)负责全县国家级、省、市、县级文物保护单位的申报及文物保护点的公布等不可移动文物的保护和管理工作。</w:t>
      </w:r>
    </w:p>
    <w:p>
      <w:pPr>
        <w:pStyle w:val="2"/>
        <w:keepNext w:val="0"/>
        <w:keepLines w:val="0"/>
        <w:pageBreakBefore w:val="0"/>
        <w:widowControl w:val="0"/>
        <w:kinsoku/>
        <w:wordWrap/>
        <w:overflowPunct/>
        <w:topLinePunct w:val="0"/>
        <w:autoSpaceDE/>
        <w:autoSpaceDN/>
        <w:bidi w:val="0"/>
        <w:adjustRightInd/>
        <w:snapToGrid w:val="0"/>
        <w:spacing w:line="500" w:lineRule="exact"/>
        <w:ind w:firstLine="600" w:firstLineChars="200"/>
        <w:jc w:val="both"/>
        <w:textAlignment w:val="auto"/>
        <w:rPr>
          <w:rFonts w:hint="eastAsia"/>
          <w:sz w:val="30"/>
          <w:szCs w:val="30"/>
        </w:rPr>
      </w:pPr>
      <w:r>
        <w:rPr>
          <w:rFonts w:hint="eastAsia"/>
          <w:sz w:val="30"/>
          <w:szCs w:val="30"/>
        </w:rPr>
        <w:t>(5)协助公安、工商、海关等部门查处文物丢失、破坏、盗掘、走私等案件的查处和打击。</w:t>
      </w:r>
    </w:p>
    <w:p>
      <w:pPr>
        <w:pStyle w:val="2"/>
        <w:keepNext w:val="0"/>
        <w:keepLines w:val="0"/>
        <w:pageBreakBefore w:val="0"/>
        <w:widowControl w:val="0"/>
        <w:kinsoku/>
        <w:wordWrap/>
        <w:overflowPunct/>
        <w:topLinePunct w:val="0"/>
        <w:autoSpaceDE/>
        <w:autoSpaceDN/>
        <w:bidi w:val="0"/>
        <w:adjustRightInd/>
        <w:snapToGrid w:val="0"/>
        <w:spacing w:line="500" w:lineRule="exact"/>
        <w:ind w:firstLine="600" w:firstLineChars="200"/>
        <w:jc w:val="both"/>
        <w:textAlignment w:val="auto"/>
        <w:rPr>
          <w:rFonts w:hint="eastAsia"/>
          <w:sz w:val="30"/>
          <w:szCs w:val="30"/>
        </w:rPr>
      </w:pPr>
      <w:r>
        <w:rPr>
          <w:rFonts w:hint="eastAsia"/>
          <w:sz w:val="30"/>
          <w:szCs w:val="30"/>
        </w:rPr>
        <w:t>(6)负责保护和管理全县境内的地上地下文物古迹，文物保护、征购、收藏、保管、调查、发掘、古建筑维修、保护利用等工作。</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rFonts w:hint="eastAsia"/>
          <w:sz w:val="30"/>
          <w:szCs w:val="30"/>
        </w:rPr>
      </w:pPr>
      <w:r>
        <w:rPr>
          <w:rFonts w:hint="eastAsia"/>
          <w:sz w:val="30"/>
          <w:szCs w:val="30"/>
        </w:rPr>
        <w:t>(7)负责全县文物安全工作,会同有关部门处理文物安全保卫工作中的重大问题。</w:t>
      </w:r>
    </w:p>
    <w:p>
      <w:pPr>
        <w:pStyle w:val="2"/>
        <w:keepNext w:val="0"/>
        <w:keepLines w:val="0"/>
        <w:pageBreakBefore w:val="0"/>
        <w:kinsoku/>
        <w:wordWrap/>
        <w:overflowPunct/>
        <w:topLinePunct w:val="0"/>
        <w:autoSpaceDE/>
        <w:bidi w:val="0"/>
        <w:adjustRightInd/>
        <w:spacing w:line="500" w:lineRule="exact"/>
        <w:ind w:firstLine="600" w:firstLineChars="200"/>
        <w:jc w:val="both"/>
        <w:textAlignment w:val="auto"/>
        <w:rPr>
          <w:sz w:val="30"/>
          <w:szCs w:val="30"/>
        </w:rPr>
      </w:pPr>
      <w:r>
        <w:rPr>
          <w:rFonts w:hint="eastAsia"/>
          <w:sz w:val="30"/>
          <w:szCs w:val="30"/>
        </w:rPr>
        <w:t>（8）承办上级文物部门以及县委、县政府、宣传、文化等部门交办的其他事项。</w:t>
      </w:r>
    </w:p>
    <w:p>
      <w:pPr>
        <w:spacing w:line="600" w:lineRule="exact"/>
        <w:ind w:firstLine="602" w:firstLineChars="200"/>
        <w:jc w:val="left"/>
        <w:rPr>
          <w:rFonts w:hint="eastAsia" w:asciiTheme="minorEastAsia" w:hAnsiTheme="minorEastAsia" w:eastAsiaTheme="minorEastAsia" w:cstheme="minorEastAsia"/>
          <w:b/>
          <w:bCs/>
          <w:sz w:val="30"/>
          <w:szCs w:val="30"/>
          <w:lang w:eastAsia="zh-CN"/>
        </w:rPr>
      </w:pPr>
      <w:r>
        <w:rPr>
          <w:rFonts w:hint="eastAsia" w:asciiTheme="minorEastAsia" w:hAnsiTheme="minorEastAsia" w:eastAsiaTheme="minorEastAsia" w:cstheme="minorEastAsia"/>
          <w:b/>
          <w:bCs/>
          <w:sz w:val="30"/>
          <w:szCs w:val="30"/>
        </w:rPr>
        <w:t>二、</w:t>
      </w:r>
      <w:r>
        <w:rPr>
          <w:rFonts w:hint="eastAsia" w:asciiTheme="minorEastAsia" w:hAnsiTheme="minorEastAsia" w:eastAsiaTheme="minorEastAsia" w:cstheme="minorEastAsia"/>
          <w:b/>
          <w:bCs/>
          <w:sz w:val="30"/>
          <w:szCs w:val="30"/>
          <w:lang w:eastAsia="zh-CN"/>
        </w:rPr>
        <w:t>职责履行情况</w:t>
      </w:r>
    </w:p>
    <w:p>
      <w:pPr>
        <w:pStyle w:val="2"/>
        <w:keepNext w:val="0"/>
        <w:keepLines w:val="0"/>
        <w:pageBreakBefore w:val="0"/>
        <w:widowControl/>
        <w:kinsoku/>
        <w:wordWrap/>
        <w:overflowPunct/>
        <w:topLinePunct w:val="0"/>
        <w:autoSpaceDE/>
        <w:autoSpaceDN/>
        <w:bidi w:val="0"/>
        <w:adjustRightInd/>
        <w:snapToGrid w:val="0"/>
        <w:ind w:firstLine="600" w:firstLineChars="200"/>
        <w:textAlignment w:val="auto"/>
        <w:rPr>
          <w:rFonts w:hint="eastAsia" w:asciiTheme="minorEastAsia" w:hAnsiTheme="minorEastAsia" w:eastAsiaTheme="minorEastAsia" w:cstheme="minorEastAsia"/>
          <w:bCs/>
          <w:color w:val="383838"/>
          <w:kern w:val="2"/>
          <w:sz w:val="30"/>
          <w:szCs w:val="30"/>
          <w:shd w:val="clear" w:color="auto" w:fill="FFFFFF"/>
          <w:lang w:val="en-US" w:eastAsia="zh-CN" w:bidi="ar-SA"/>
        </w:rPr>
      </w:pPr>
      <w:r>
        <w:rPr>
          <w:rFonts w:hint="eastAsia" w:asciiTheme="minorEastAsia" w:hAnsiTheme="minorEastAsia" w:eastAsiaTheme="minorEastAsia" w:cstheme="minorEastAsia"/>
          <w:bCs/>
          <w:color w:val="383838"/>
          <w:kern w:val="2"/>
          <w:sz w:val="30"/>
          <w:szCs w:val="30"/>
          <w:shd w:val="clear" w:color="auto" w:fill="FFFFFF"/>
          <w:lang w:val="en-US" w:eastAsia="zh-CN" w:bidi="ar-SA"/>
        </w:rPr>
        <w:t>（一）文物工作</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1、</w:t>
      </w:r>
      <w:r>
        <w:rPr>
          <w:rFonts w:hint="eastAsia" w:asciiTheme="minorEastAsia" w:hAnsiTheme="minorEastAsia" w:eastAsiaTheme="minorEastAsia" w:cstheme="minorEastAsia"/>
          <w:bCs/>
          <w:color w:val="383838"/>
          <w:sz w:val="30"/>
          <w:szCs w:val="30"/>
          <w:shd w:val="clear" w:color="auto" w:fill="FFFFFF"/>
        </w:rPr>
        <w:t>遗产、鲁班两馆精彩呈现</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在新时代文明实践中心，县文化遣产中心布置了遗产、鲁班两馆正式对外开放，通过图片、文字和实物，充分展示了衡南珍贵的文化遗产和古代高超的建造技艺。遗产馆展示了衡南县不可移动文物分布图、各级文物保护单位简介、部分馆藏文物展示，还有一面铜钱墙，主要展示唐代至清代时期主要流通货币。鲁班馆共有五个展柜，分别展示木匠工具、屋面构件、印模、建筑木构件、榫卯结构实物，充分展示我国古代高超的建造技艺。</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2、</w:t>
      </w:r>
      <w:r>
        <w:rPr>
          <w:rFonts w:hint="eastAsia" w:asciiTheme="minorEastAsia" w:hAnsiTheme="minorEastAsia" w:eastAsiaTheme="minorEastAsia" w:cstheme="minorEastAsia"/>
          <w:bCs/>
          <w:color w:val="383838"/>
          <w:sz w:val="30"/>
          <w:szCs w:val="30"/>
          <w:shd w:val="clear" w:color="auto" w:fill="FFFFFF"/>
        </w:rPr>
        <w:t>扎实推进文保单位的报批和维修工作</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1</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呈报文物保护单位计划书及方案</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为了更好地保护好各级文物保护单位，我中心呈报了国、省保单位工程维修及三防工程7个计划书，并通过了3个计划书。同时编制了《桐梓山工农游击队根据地旧址展示工程方案》、《高新村蒋家大屋古建筑群之蒋家祠堂维修工程勘察设计方案》呈报省文物局待批。</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2</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文物保护单位申报、消防维修工程。</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1）</w:t>
      </w:r>
      <w:r>
        <w:rPr>
          <w:rFonts w:hint="eastAsia" w:asciiTheme="minorEastAsia" w:hAnsiTheme="minorEastAsia" w:eastAsiaTheme="minorEastAsia" w:cstheme="minorEastAsia"/>
          <w:bCs/>
          <w:color w:val="383838"/>
          <w:sz w:val="30"/>
          <w:szCs w:val="30"/>
          <w:shd w:val="clear" w:color="auto" w:fill="FFFFFF"/>
        </w:rPr>
        <w:t>大渔村王氏宗祠消防工程大部分已经完成，现接近扫尾。</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2）</w:t>
      </w:r>
      <w:r>
        <w:rPr>
          <w:rFonts w:hint="eastAsia" w:asciiTheme="minorEastAsia" w:hAnsiTheme="minorEastAsia" w:eastAsiaTheme="minorEastAsia" w:cstheme="minorEastAsia"/>
          <w:bCs/>
          <w:color w:val="383838"/>
          <w:sz w:val="30"/>
          <w:szCs w:val="30"/>
          <w:shd w:val="clear" w:color="auto" w:fill="FFFFFF"/>
        </w:rPr>
        <w:t>高岭刘氏宗祠修缮工程、宝盖古建筑群之大屋场9栋楼修缮工程已完成招标、工程技术交底，施工，已完工，现正在结算中。</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3）</w:t>
      </w:r>
      <w:r>
        <w:rPr>
          <w:rFonts w:hint="eastAsia" w:asciiTheme="minorEastAsia" w:hAnsiTheme="minorEastAsia" w:eastAsiaTheme="minorEastAsia" w:cstheme="minorEastAsia"/>
          <w:bCs/>
          <w:color w:val="383838"/>
          <w:sz w:val="30"/>
          <w:szCs w:val="30"/>
          <w:shd w:val="clear" w:color="auto" w:fill="FFFFFF"/>
        </w:rPr>
        <w:t>桐梓山工农游击队根据地旧址消防工程已完成招标、工程技术交底，12月8日开工，现正在施工中。</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4）</w:t>
      </w:r>
      <w:r>
        <w:rPr>
          <w:rFonts w:hint="eastAsia" w:asciiTheme="minorEastAsia" w:hAnsiTheme="minorEastAsia" w:eastAsiaTheme="minorEastAsia" w:cstheme="minorEastAsia"/>
          <w:bCs/>
          <w:color w:val="383838"/>
          <w:sz w:val="30"/>
          <w:szCs w:val="30"/>
          <w:shd w:val="clear" w:color="auto" w:fill="FFFFFF"/>
        </w:rPr>
        <w:t>云集窑遗址本体保护工程建设项目目前已完成财政投资评审，公开招标，合同签订，工程正在实施中。</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5）</w:t>
      </w:r>
      <w:r>
        <w:rPr>
          <w:rFonts w:hint="eastAsia" w:asciiTheme="minorEastAsia" w:hAnsiTheme="minorEastAsia" w:eastAsiaTheme="minorEastAsia" w:cstheme="minorEastAsia"/>
          <w:bCs/>
          <w:color w:val="383838"/>
          <w:sz w:val="30"/>
          <w:szCs w:val="30"/>
          <w:shd w:val="clear" w:color="auto" w:fill="FFFFFF"/>
        </w:rPr>
        <w:t>大渔村王氏宗祠石质构件保护工程前期试验研究项目目前在进行财政投资评审，正在向省文物局申请经费。</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6）</w:t>
      </w:r>
      <w:r>
        <w:rPr>
          <w:rFonts w:hint="eastAsia" w:asciiTheme="minorEastAsia" w:hAnsiTheme="minorEastAsia" w:eastAsiaTheme="minorEastAsia" w:cstheme="minorEastAsia"/>
          <w:bCs/>
          <w:color w:val="383838"/>
          <w:sz w:val="30"/>
          <w:szCs w:val="30"/>
          <w:shd w:val="clear" w:color="auto" w:fill="FFFFFF"/>
        </w:rPr>
        <w:t xml:space="preserve">呈报市保单位勤丰果志塘大屋申请市级文物保护经费，并解决市保经费30万元。 </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7）</w:t>
      </w:r>
      <w:r>
        <w:rPr>
          <w:rFonts w:hint="eastAsia" w:asciiTheme="minorEastAsia" w:hAnsiTheme="minorEastAsia" w:eastAsiaTheme="minorEastAsia" w:cstheme="minorEastAsia"/>
          <w:bCs/>
          <w:color w:val="383838"/>
          <w:sz w:val="30"/>
          <w:szCs w:val="30"/>
          <w:shd w:val="clear" w:color="auto" w:fill="FFFFFF"/>
        </w:rPr>
        <w:t>完成一门四忠烈陈列布展文物征集，并免费开放。同时我中心申报湖南省省级爱国主义教育基地成功获批。</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8）</w:t>
      </w:r>
      <w:r>
        <w:rPr>
          <w:rFonts w:hint="eastAsia" w:asciiTheme="minorEastAsia" w:hAnsiTheme="minorEastAsia" w:eastAsiaTheme="minorEastAsia" w:cstheme="minorEastAsia"/>
          <w:bCs/>
          <w:color w:val="383838"/>
          <w:sz w:val="30"/>
          <w:szCs w:val="30"/>
          <w:shd w:val="clear" w:color="auto" w:fill="FFFFFF"/>
        </w:rPr>
        <w:t>遴选茶市罗氏宗祠、三塘周炳杰故居及墓、松江金盆欧阳宗祠、松江蔼市古建筑群、谭子山谢晋故居、茅市金玉亭（含万寿井）拟申报衡阳市第六批市级文物保护单位，并完成实地考察。</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9）</w:t>
      </w:r>
      <w:r>
        <w:rPr>
          <w:rFonts w:hint="eastAsia" w:asciiTheme="minorEastAsia" w:hAnsiTheme="minorEastAsia" w:eastAsiaTheme="minorEastAsia" w:cstheme="minorEastAsia"/>
          <w:bCs/>
          <w:color w:val="383838"/>
          <w:sz w:val="30"/>
          <w:szCs w:val="30"/>
          <w:shd w:val="clear" w:color="auto" w:fill="FFFFFF"/>
        </w:rPr>
        <w:t>遴选谭子山归园、宝盖廖岺顽早期革命旧址拟申报湖南省第十一批省级文物保护单位，并完成出具专家意见。</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3、</w:t>
      </w:r>
      <w:r>
        <w:rPr>
          <w:rFonts w:hint="eastAsia" w:asciiTheme="minorEastAsia" w:hAnsiTheme="minorEastAsia" w:eastAsiaTheme="minorEastAsia" w:cstheme="minorEastAsia"/>
          <w:bCs/>
          <w:color w:val="383838"/>
          <w:sz w:val="30"/>
          <w:szCs w:val="30"/>
          <w:shd w:val="clear" w:color="auto" w:fill="FFFFFF"/>
        </w:rPr>
        <w:t>文物安全管理与巡查调查工作</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1</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对全县33处文物保护单位进行常规性巡查。</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2</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对馆藏文物按要求配备专业消防器材、视频监控设备，确保文物库房馆藏文物的安全。</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3</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协助县文旅广体局对村民擅自在王氏宗祠保护范围和建控地带内违法工程进行文物执法查处。</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4</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协助县文旅广体局，并配合县文化市场综合执法大队和县公安局对破坏青冲窑行为的不法分子进行询问、调查、查处,对青冲窑出土的器物邀请省文物考古研究进行文物鉴定，并出具鉴定报告。对遭到破坏的四座窑址进行回填，并恢复原状。</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5</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完成6家电力公司的光伏发电项目、3家变电站、4条输变工程输电线路路径区域内文物调查。</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6</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完成国、省保单位安全公示牌制作并安装。</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4、</w:t>
      </w:r>
      <w:r>
        <w:rPr>
          <w:rFonts w:hint="eastAsia" w:asciiTheme="minorEastAsia" w:hAnsiTheme="minorEastAsia" w:eastAsiaTheme="minorEastAsia" w:cstheme="minorEastAsia"/>
          <w:bCs/>
          <w:color w:val="383838"/>
          <w:sz w:val="30"/>
          <w:szCs w:val="30"/>
          <w:shd w:val="clear" w:color="auto" w:fill="FFFFFF"/>
        </w:rPr>
        <w:t>文物宣传 精彩纷呈</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1</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1月12日上午,衡南县委常委、宣传部长李桂花一行在县交通局、县文旅广体局、县文化遗产事务中心、向阳桥街道及桐梓山村负责人的陪同下,实地调研了桐梓山工农游击队根据地旧址保护利用工作。</w:t>
      </w:r>
    </w:p>
    <w:p>
      <w:pPr>
        <w:spacing w:line="600" w:lineRule="exact"/>
        <w:ind w:firstLine="600" w:firstLineChars="200"/>
        <w:jc w:val="left"/>
        <w:rPr>
          <w:rFonts w:hint="eastAsia"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2</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3月16日下午，县委书记胡果雄带领县委宣传部、县文旅广体局、县文化遗产事务中心等单位负责人，就我县文物保护工作进行专题调研。</w:t>
      </w:r>
    </w:p>
    <w:p>
      <w:pPr>
        <w:spacing w:line="600" w:lineRule="exact"/>
        <w:ind w:firstLine="600" w:firstLineChars="200"/>
        <w:jc w:val="left"/>
      </w:pP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3</w:t>
      </w:r>
      <w:r>
        <w:rPr>
          <w:rFonts w:hint="eastAsia" w:asciiTheme="minorEastAsia" w:hAnsiTheme="minorEastAsia" w:eastAsiaTheme="minorEastAsia" w:cstheme="minorEastAsia"/>
          <w:bCs/>
          <w:color w:val="383838"/>
          <w:sz w:val="30"/>
          <w:szCs w:val="30"/>
          <w:shd w:val="clear" w:color="auto" w:fill="FFFFFF"/>
          <w:lang w:eastAsia="zh-CN"/>
        </w:rPr>
        <w:t>）</w:t>
      </w:r>
      <w:r>
        <w:rPr>
          <w:rFonts w:hint="eastAsia" w:asciiTheme="minorEastAsia" w:hAnsiTheme="minorEastAsia" w:eastAsiaTheme="minorEastAsia" w:cstheme="minorEastAsia"/>
          <w:bCs/>
          <w:color w:val="383838"/>
          <w:sz w:val="30"/>
          <w:szCs w:val="30"/>
          <w:shd w:val="clear" w:color="auto" w:fill="FFFFFF"/>
        </w:rPr>
        <w:t>4月29日，衡阳市政协主席刘光跃、政协秘书长夏平平，衡南县委副书记、县长李军，县政协主席秦正云在桐梓山工农游击队根据地旧址召开“党史学习教育+屋场恳谈”会。衡南渔鼓参加表演。。</w:t>
      </w:r>
    </w:p>
    <w:p>
      <w:pPr>
        <w:pStyle w:val="2"/>
      </w:pPr>
    </w:p>
    <w:p>
      <w:pPr>
        <w:spacing w:line="600" w:lineRule="exact"/>
        <w:ind w:firstLine="602" w:firstLineChars="200"/>
        <w:jc w:val="left"/>
        <w:rPr>
          <w:rFonts w:asciiTheme="minorEastAsia" w:hAnsiTheme="minorEastAsia" w:eastAsiaTheme="minorEastAsia" w:cstheme="minorEastAsia"/>
          <w:b/>
          <w:bCs/>
          <w:sz w:val="30"/>
          <w:szCs w:val="30"/>
        </w:rPr>
      </w:pPr>
      <w:r>
        <w:rPr>
          <w:rFonts w:hint="eastAsia" w:asciiTheme="minorEastAsia" w:hAnsiTheme="minorEastAsia" w:eastAsiaTheme="minorEastAsia" w:cstheme="minorEastAsia"/>
          <w:b/>
          <w:bCs/>
          <w:sz w:val="30"/>
          <w:szCs w:val="30"/>
        </w:rPr>
        <w:t>三、部门整体支出管理及使用情况</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（一）部门预算决算收支情况</w:t>
      </w:r>
    </w:p>
    <w:p>
      <w:pPr>
        <w:spacing w:line="600" w:lineRule="exact"/>
        <w:ind w:firstLine="600" w:firstLineChars="200"/>
        <w:jc w:val="left"/>
        <w:rPr>
          <w:rFonts w:asciiTheme="minorEastAsia" w:hAnsiTheme="minorEastAsia" w:eastAsiaTheme="minorEastAsia" w:cstheme="minorEastAsia"/>
          <w:color w:val="333333"/>
          <w:sz w:val="30"/>
          <w:szCs w:val="30"/>
        </w:rPr>
      </w:pPr>
      <w:r>
        <w:rPr>
          <w:rFonts w:hint="eastAsia" w:asciiTheme="minorEastAsia" w:hAnsiTheme="minorEastAsia" w:eastAsiaTheme="minorEastAsia" w:cstheme="minorEastAsia"/>
          <w:bCs/>
          <w:color w:val="383838"/>
          <w:sz w:val="30"/>
          <w:szCs w:val="30"/>
          <w:shd w:val="clear" w:color="auto" w:fill="FFFFFF"/>
        </w:rPr>
        <w:t>20</w:t>
      </w:r>
      <w:r>
        <w:rPr>
          <w:rFonts w:hint="eastAsia" w:asciiTheme="minorEastAsia" w:hAnsiTheme="minorEastAsia" w:eastAsiaTheme="minorEastAsia" w:cstheme="minorEastAsia"/>
          <w:color w:val="333333"/>
          <w:spacing w:val="-2"/>
          <w:sz w:val="30"/>
          <w:szCs w:val="30"/>
        </w:rPr>
        <w:t>21</w:t>
      </w:r>
      <w:r>
        <w:rPr>
          <w:rFonts w:hint="eastAsia" w:asciiTheme="minorEastAsia" w:hAnsiTheme="minorEastAsia" w:eastAsiaTheme="minorEastAsia" w:cstheme="minorEastAsia"/>
          <w:bCs/>
          <w:color w:val="383838"/>
          <w:sz w:val="30"/>
          <w:szCs w:val="30"/>
          <w:shd w:val="clear" w:color="auto" w:fill="FFFFFF"/>
        </w:rPr>
        <w:t>年年初预算收入</w:t>
      </w:r>
      <w:r>
        <w:rPr>
          <w:rFonts w:hint="eastAsia" w:asciiTheme="minorEastAsia" w:hAnsiTheme="minorEastAsia" w:eastAsiaTheme="minorEastAsia" w:cstheme="minorEastAsia"/>
          <w:sz w:val="30"/>
          <w:szCs w:val="30"/>
          <w:lang w:val="en-US" w:eastAsia="zh-CN"/>
        </w:rPr>
        <w:t>170.17万</w:t>
      </w:r>
      <w:r>
        <w:rPr>
          <w:rFonts w:hint="eastAsia" w:asciiTheme="minorEastAsia" w:hAnsiTheme="minorEastAsia" w:eastAsiaTheme="minorEastAsia" w:cstheme="minorEastAsia"/>
          <w:bCs/>
          <w:color w:val="383838"/>
          <w:sz w:val="30"/>
          <w:szCs w:val="30"/>
          <w:shd w:val="clear" w:color="auto" w:fill="FFFFFF"/>
        </w:rPr>
        <w:t>元，</w:t>
      </w:r>
      <w:r>
        <w:rPr>
          <w:rFonts w:hint="eastAsia" w:asciiTheme="minorEastAsia" w:hAnsiTheme="minorEastAsia" w:eastAsiaTheme="minorEastAsia" w:cstheme="minorEastAsia"/>
          <w:color w:val="333333"/>
          <w:sz w:val="30"/>
          <w:szCs w:val="30"/>
        </w:rPr>
        <w:t>其中：一般商品和服务支出</w:t>
      </w:r>
      <w:r>
        <w:rPr>
          <w:rFonts w:hint="eastAsia" w:asciiTheme="minorEastAsia" w:hAnsiTheme="minorEastAsia" w:eastAsiaTheme="minorEastAsia" w:cstheme="minorEastAsia"/>
          <w:color w:val="333333"/>
          <w:sz w:val="30"/>
          <w:szCs w:val="30"/>
          <w:lang w:val="en-US" w:eastAsia="zh-CN"/>
        </w:rPr>
        <w:t>97.17</w:t>
      </w:r>
      <w:bookmarkStart w:id="0" w:name="_GoBack"/>
      <w:bookmarkEnd w:id="0"/>
      <w:r>
        <w:rPr>
          <w:rFonts w:hint="eastAsia" w:asciiTheme="minorEastAsia" w:hAnsiTheme="minorEastAsia" w:eastAsiaTheme="minorEastAsia" w:cstheme="minorEastAsia"/>
          <w:color w:val="333333"/>
          <w:sz w:val="30"/>
          <w:szCs w:val="30"/>
        </w:rPr>
        <w:t>万元，项目支出</w:t>
      </w:r>
      <w:r>
        <w:rPr>
          <w:rFonts w:hint="eastAsia" w:asciiTheme="minorEastAsia" w:hAnsiTheme="minorEastAsia" w:eastAsiaTheme="minorEastAsia" w:cstheme="minorEastAsia"/>
          <w:color w:val="333333"/>
          <w:sz w:val="30"/>
          <w:szCs w:val="30"/>
          <w:lang w:val="en-US" w:eastAsia="zh-CN"/>
        </w:rPr>
        <w:t>73</w:t>
      </w:r>
      <w:r>
        <w:rPr>
          <w:rFonts w:hint="eastAsia" w:asciiTheme="minorEastAsia" w:hAnsiTheme="minorEastAsia" w:eastAsiaTheme="minorEastAsia" w:cstheme="minorEastAsia"/>
          <w:color w:val="333333"/>
          <w:sz w:val="30"/>
          <w:szCs w:val="30"/>
        </w:rPr>
        <w:t>万元。</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20</w:t>
      </w:r>
      <w:r>
        <w:rPr>
          <w:rFonts w:hint="eastAsia" w:asciiTheme="minorEastAsia" w:hAnsiTheme="minorEastAsia" w:eastAsiaTheme="minorEastAsia" w:cstheme="minorEastAsia"/>
          <w:color w:val="333333"/>
          <w:spacing w:val="-2"/>
          <w:sz w:val="30"/>
          <w:szCs w:val="30"/>
        </w:rPr>
        <w:t>21</w:t>
      </w:r>
      <w:r>
        <w:rPr>
          <w:rFonts w:hint="eastAsia" w:asciiTheme="minorEastAsia" w:hAnsiTheme="minorEastAsia" w:eastAsiaTheme="minorEastAsia" w:cstheme="minorEastAsia"/>
          <w:bCs/>
          <w:color w:val="383838"/>
          <w:sz w:val="30"/>
          <w:szCs w:val="30"/>
          <w:shd w:val="clear" w:color="auto" w:fill="FFFFFF"/>
        </w:rPr>
        <w:t>年决算</w:t>
      </w:r>
      <w:r>
        <w:rPr>
          <w:rFonts w:hint="eastAsia" w:asciiTheme="minorEastAsia" w:hAnsiTheme="minorEastAsia" w:eastAsiaTheme="minorEastAsia" w:cstheme="minorEastAsia"/>
          <w:bCs/>
          <w:color w:val="383838"/>
          <w:sz w:val="30"/>
          <w:szCs w:val="30"/>
          <w:shd w:val="clear" w:color="auto" w:fill="FFFFFF"/>
          <w:lang w:eastAsia="zh-CN"/>
        </w:rPr>
        <w:t>总</w:t>
      </w:r>
      <w:r>
        <w:rPr>
          <w:rFonts w:hint="eastAsia" w:asciiTheme="minorEastAsia" w:hAnsiTheme="minorEastAsia" w:eastAsiaTheme="minorEastAsia" w:cstheme="minorEastAsia"/>
          <w:bCs/>
          <w:color w:val="383838"/>
          <w:sz w:val="30"/>
          <w:szCs w:val="30"/>
          <w:shd w:val="clear" w:color="auto" w:fill="FFFFFF"/>
        </w:rPr>
        <w:t>收入</w:t>
      </w:r>
      <w:r>
        <w:rPr>
          <w:rFonts w:hint="eastAsia" w:asciiTheme="minorEastAsia" w:hAnsiTheme="minorEastAsia" w:eastAsiaTheme="minorEastAsia" w:cstheme="minorEastAsia"/>
          <w:bCs/>
          <w:color w:val="383838"/>
          <w:sz w:val="30"/>
          <w:szCs w:val="30"/>
          <w:shd w:val="clear" w:color="auto" w:fill="FFFFFF"/>
          <w:lang w:val="en-US" w:eastAsia="zh-CN"/>
        </w:rPr>
        <w:t>434.91</w:t>
      </w:r>
      <w:r>
        <w:rPr>
          <w:rFonts w:hint="eastAsia" w:asciiTheme="minorEastAsia" w:hAnsiTheme="minorEastAsia" w:eastAsiaTheme="minorEastAsia" w:cstheme="minorEastAsia"/>
          <w:bCs/>
          <w:color w:val="383838"/>
          <w:sz w:val="30"/>
          <w:szCs w:val="30"/>
          <w:shd w:val="clear" w:color="auto" w:fill="FFFFFF"/>
        </w:rPr>
        <w:t>万元</w:t>
      </w:r>
      <w:r>
        <w:rPr>
          <w:rFonts w:hint="eastAsia" w:asciiTheme="minorEastAsia" w:hAnsiTheme="minorEastAsia" w:eastAsiaTheme="minorEastAsia" w:cstheme="minorEastAsia"/>
          <w:bCs/>
          <w:color w:val="383838"/>
          <w:sz w:val="30"/>
          <w:szCs w:val="30"/>
          <w:shd w:val="clear" w:color="auto" w:fill="FFFFFF"/>
          <w:lang w:eastAsia="zh-CN"/>
        </w:rPr>
        <w:t>，均为财政补助收入，其中上年结转</w:t>
      </w:r>
      <w:r>
        <w:rPr>
          <w:rFonts w:hint="eastAsia" w:asciiTheme="minorEastAsia" w:hAnsiTheme="minorEastAsia" w:eastAsiaTheme="minorEastAsia" w:cstheme="minorEastAsia"/>
          <w:bCs/>
          <w:color w:val="383838"/>
          <w:sz w:val="30"/>
          <w:szCs w:val="30"/>
          <w:shd w:val="clear" w:color="auto" w:fill="FFFFFF"/>
          <w:lang w:val="en-US" w:eastAsia="zh-CN"/>
        </w:rPr>
        <w:t>0万元</w:t>
      </w:r>
      <w:r>
        <w:rPr>
          <w:rFonts w:hint="eastAsia" w:asciiTheme="minorEastAsia" w:hAnsiTheme="minorEastAsia" w:eastAsiaTheme="minorEastAsia" w:cstheme="minorEastAsia"/>
          <w:bCs/>
          <w:color w:val="383838"/>
          <w:sz w:val="30"/>
          <w:szCs w:val="30"/>
          <w:shd w:val="clear" w:color="auto" w:fill="FFFFFF"/>
        </w:rPr>
        <w:t>。</w:t>
      </w:r>
      <w:r>
        <w:rPr>
          <w:rFonts w:hint="eastAsia" w:asciiTheme="minorEastAsia" w:hAnsiTheme="minorEastAsia" w:eastAsiaTheme="minorEastAsia" w:cstheme="minorEastAsia"/>
          <w:bCs/>
          <w:color w:val="383838"/>
          <w:sz w:val="30"/>
          <w:szCs w:val="30"/>
          <w:shd w:val="clear" w:color="auto" w:fill="FFFFFF"/>
          <w:lang w:eastAsia="zh-CN"/>
        </w:rPr>
        <w:t>支出总计</w:t>
      </w:r>
      <w:r>
        <w:rPr>
          <w:rFonts w:hint="eastAsia" w:asciiTheme="minorEastAsia" w:hAnsiTheme="minorEastAsia" w:eastAsiaTheme="minorEastAsia" w:cstheme="minorEastAsia"/>
          <w:bCs/>
          <w:color w:val="383838"/>
          <w:sz w:val="30"/>
          <w:szCs w:val="30"/>
          <w:shd w:val="clear" w:color="auto" w:fill="FFFFFF"/>
          <w:lang w:val="en-US" w:eastAsia="zh-CN"/>
        </w:rPr>
        <w:t>434.91万元，基本支出人员经费103.69万元，公用经费331.22万元。</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（二）支出分类情况。</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1.基本支出</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基本支出为保障单位机构正常运转、完成日常工作任务而发生的各项支出，包括用于办公费、印刷费、水电费等日常公用经费。</w:t>
      </w:r>
    </w:p>
    <w:p>
      <w:pPr>
        <w:numPr>
          <w:ilvl w:val="0"/>
          <w:numId w:val="0"/>
        </w:num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lang w:val="en-US" w:eastAsia="zh-CN"/>
        </w:rPr>
        <w:t>2.</w:t>
      </w:r>
      <w:r>
        <w:rPr>
          <w:rFonts w:hint="eastAsia" w:asciiTheme="minorEastAsia" w:hAnsiTheme="minorEastAsia" w:eastAsiaTheme="minorEastAsia" w:cstheme="minorEastAsia"/>
          <w:bCs/>
          <w:color w:val="383838"/>
          <w:sz w:val="30"/>
          <w:szCs w:val="30"/>
          <w:shd w:val="clear" w:color="auto" w:fill="FFFFFF"/>
        </w:rPr>
        <w:t>“三公”经费情况</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2021年“三公”经费实际支出0.</w:t>
      </w:r>
      <w:r>
        <w:rPr>
          <w:rFonts w:hint="eastAsia" w:asciiTheme="minorEastAsia" w:hAnsiTheme="minorEastAsia" w:eastAsiaTheme="minorEastAsia" w:cstheme="minorEastAsia"/>
          <w:bCs/>
          <w:color w:val="383838"/>
          <w:sz w:val="30"/>
          <w:szCs w:val="30"/>
          <w:shd w:val="clear" w:color="auto" w:fill="FFFFFF"/>
          <w:lang w:val="en-US" w:eastAsia="zh-CN"/>
        </w:rPr>
        <w:t>73</w:t>
      </w:r>
      <w:r>
        <w:rPr>
          <w:rFonts w:hint="eastAsia" w:asciiTheme="minorEastAsia" w:hAnsiTheme="minorEastAsia" w:eastAsiaTheme="minorEastAsia" w:cstheme="minorEastAsia"/>
          <w:bCs/>
          <w:color w:val="383838"/>
          <w:sz w:val="30"/>
          <w:szCs w:val="30"/>
          <w:shd w:val="clear" w:color="auto" w:fill="FFFFFF"/>
        </w:rPr>
        <w:t>万元，其中公务接待</w:t>
      </w:r>
      <w:r>
        <w:rPr>
          <w:rFonts w:hint="eastAsia" w:asciiTheme="minorEastAsia" w:hAnsiTheme="minorEastAsia" w:eastAsiaTheme="minorEastAsia" w:cstheme="minorEastAsia"/>
          <w:bCs/>
          <w:color w:val="383838"/>
          <w:sz w:val="30"/>
          <w:szCs w:val="30"/>
          <w:shd w:val="clear" w:color="auto" w:fill="FFFFFF"/>
          <w:lang w:val="en-US" w:eastAsia="zh-CN"/>
        </w:rPr>
        <w:t>0.73</w:t>
      </w:r>
      <w:r>
        <w:rPr>
          <w:rFonts w:hint="eastAsia" w:asciiTheme="minorEastAsia" w:hAnsiTheme="minorEastAsia" w:eastAsiaTheme="minorEastAsia" w:cstheme="minorEastAsia"/>
          <w:bCs/>
          <w:color w:val="383838"/>
          <w:sz w:val="30"/>
          <w:szCs w:val="30"/>
          <w:shd w:val="clear" w:color="auto" w:fill="FFFFFF"/>
        </w:rPr>
        <w:t>万元。</w:t>
      </w:r>
    </w:p>
    <w:p>
      <w:pPr>
        <w:shd w:val="solid" w:color="FFFFFF" w:fill="auto"/>
        <w:autoSpaceDN w:val="0"/>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 xml:space="preserve">三公经费严格按照年初预算以及各级部门相关要求，严把支出关，强化制度执行。切实做好厉行节约工作，全面落实各项管理制度要求，努力降低行政成本。严格公务接待费、差旅费审核审批程序，实行限额把关、一支笔审批制度，做到一事一公函、一事一审批、一事一结账。各项费用报账支出严格履行报账单“一单五签”程序，重大事项严格遵守：“三重一大”制度，“三公”经费较好地控制在预算范围之内。                                                                                                                                                                                                                                                                                                                                                                                                                                                                                                                                                                    </w:t>
      </w:r>
    </w:p>
    <w:p>
      <w:pPr>
        <w:spacing w:line="600" w:lineRule="exact"/>
        <w:ind w:firstLine="602" w:firstLineChars="200"/>
        <w:jc w:val="left"/>
        <w:rPr>
          <w:rFonts w:asciiTheme="minorEastAsia" w:hAnsiTheme="minorEastAsia" w:eastAsiaTheme="minorEastAsia" w:cstheme="minorEastAsia"/>
          <w:b/>
          <w:bCs/>
          <w:sz w:val="30"/>
          <w:szCs w:val="30"/>
        </w:rPr>
      </w:pPr>
      <w:r>
        <w:rPr>
          <w:rFonts w:hint="eastAsia" w:asciiTheme="minorEastAsia" w:hAnsiTheme="minorEastAsia" w:eastAsiaTheme="minorEastAsia" w:cstheme="minorEastAsia"/>
          <w:b/>
          <w:bCs/>
          <w:sz w:val="30"/>
          <w:szCs w:val="30"/>
        </w:rPr>
        <w:t>四、绩效评价工作情况</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（一）评价目的</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通过全面开展财政支出绩效评价，强化财政支出绩效理念，科学合理编制年度预算，切实发挥财政资金资源配置作用，逐步建立以科学理财为基础，以精细化管理为手段，以评价结果为导向，以实施过程为监管对象的预算管理体系。同时可以使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的各项指标数据更加清晰明了，有利于我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2021年各项工作的开展。</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（二）评价方法</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根据衡南县财政局《衡南县预算绩效管理工作考核办法》（南财预[2015]174号）及县财政局会议精神，我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成立了绩效评价工作组，于2021年5月初起开展了部门整体支出绩效评价工作，具体工作方法包括：</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1、查阅资料。查阅2021年度预算安排、预算追加、经费支出、资金管理、资产管理等相关文件资料和财务凭证。</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2、核实数据。对2021年度部门整体支出数据的准确性、真实性进行核实，将2021年度部门整体支出情况与2021年度预算情况、2021年度部门整体支出情况进行比较分析。</w:t>
      </w:r>
    </w:p>
    <w:p>
      <w:pPr>
        <w:spacing w:line="600" w:lineRule="exact"/>
        <w:ind w:firstLine="600" w:firstLineChars="200"/>
        <w:jc w:val="left"/>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3、形成绩效评价报告。</w:t>
      </w:r>
    </w:p>
    <w:p>
      <w:pPr>
        <w:spacing w:line="600" w:lineRule="exact"/>
        <w:ind w:firstLine="602" w:firstLineChars="200"/>
        <w:jc w:val="left"/>
        <w:rPr>
          <w:rFonts w:asciiTheme="minorEastAsia" w:hAnsiTheme="minorEastAsia" w:eastAsiaTheme="minorEastAsia" w:cstheme="minorEastAsia"/>
          <w:b/>
          <w:bCs/>
          <w:color w:val="383838"/>
          <w:sz w:val="30"/>
          <w:szCs w:val="30"/>
          <w:shd w:val="clear" w:color="auto" w:fill="FFFFFF"/>
        </w:rPr>
      </w:pPr>
      <w:r>
        <w:rPr>
          <w:rFonts w:hint="eastAsia" w:asciiTheme="minorEastAsia" w:hAnsiTheme="minorEastAsia" w:eastAsiaTheme="minorEastAsia" w:cstheme="minorEastAsia"/>
          <w:b/>
          <w:bCs/>
          <w:sz w:val="30"/>
          <w:szCs w:val="30"/>
        </w:rPr>
        <w:t>五、部门总体支出绩效评价</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2021年我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根据年初工作规划及财政预算计划，积极履职、强化管理，较好的完成了年度工作目标。通过加强预算收支管理、不断建立健全内部管理制度、梳理内部管理流程，部门整体支出管理情况得到提升。我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2021年度部门整体支出绩效评价自评得分为</w:t>
      </w:r>
      <w:r>
        <w:rPr>
          <w:rFonts w:hint="eastAsia" w:asciiTheme="minorEastAsia" w:hAnsiTheme="minorEastAsia" w:eastAsiaTheme="minorEastAsia" w:cstheme="minorEastAsia"/>
          <w:bCs/>
          <w:color w:val="383838"/>
          <w:sz w:val="30"/>
          <w:szCs w:val="30"/>
          <w:shd w:val="clear" w:color="auto" w:fill="FFFFFF"/>
          <w:lang w:val="en-US" w:eastAsia="zh-CN"/>
        </w:rPr>
        <w:t>95</w:t>
      </w:r>
      <w:r>
        <w:rPr>
          <w:rFonts w:hint="eastAsia" w:asciiTheme="minorEastAsia" w:hAnsiTheme="minorEastAsia" w:eastAsiaTheme="minorEastAsia" w:cstheme="minorEastAsia"/>
          <w:bCs/>
          <w:color w:val="383838"/>
          <w:sz w:val="30"/>
          <w:szCs w:val="30"/>
          <w:shd w:val="clear" w:color="auto" w:fill="FFFFFF"/>
        </w:rPr>
        <w:t>分。具体工作主要体现在以下几个方面：</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一是进一步规范财务管理，加强预算管理。同时，在财务开支把关方面认真执行相关文件并严格财务开支审批程序，加强对差旅费、会议费、接待费、公务用车运行经费等各项开支的管理。大力压缩一般性支出，提高财政资金使用效益。</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二是依法依规公开部门预决算。根据全县部门预决算公开工作统一安排部署，我</w:t>
      </w:r>
      <w:r>
        <w:rPr>
          <w:rFonts w:hint="eastAsia" w:asciiTheme="minorEastAsia" w:hAnsiTheme="minorEastAsia" w:eastAsiaTheme="minorEastAsia" w:cstheme="minorEastAsia"/>
          <w:bCs/>
          <w:color w:val="383838"/>
          <w:sz w:val="30"/>
          <w:szCs w:val="30"/>
          <w:shd w:val="clear" w:color="auto" w:fill="FFFFFF"/>
          <w:lang w:eastAsia="zh-CN"/>
        </w:rPr>
        <w:t>中心</w:t>
      </w:r>
      <w:r>
        <w:rPr>
          <w:rFonts w:hint="eastAsia" w:asciiTheme="minorEastAsia" w:hAnsiTheme="minorEastAsia" w:eastAsiaTheme="minorEastAsia" w:cstheme="minorEastAsia"/>
          <w:bCs/>
          <w:color w:val="383838"/>
          <w:sz w:val="30"/>
          <w:szCs w:val="30"/>
          <w:shd w:val="clear" w:color="auto" w:fill="FFFFFF"/>
        </w:rPr>
        <w:t>公开了2021年部门预算和“三公”经费预算，圆满完成了“三公”经费预算公开工作。</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三是加强资产管理。建立了资产管理制度，定期进行了资产盘点和资产清理，总体执行情况良好。</w:t>
      </w:r>
    </w:p>
    <w:p>
      <w:pPr>
        <w:keepNext w:val="0"/>
        <w:keepLines w:val="0"/>
        <w:pageBreakBefore w:val="0"/>
        <w:kinsoku/>
        <w:overflowPunct/>
        <w:topLinePunct w:val="0"/>
        <w:autoSpaceDE/>
        <w:autoSpaceDN/>
        <w:bidi w:val="0"/>
        <w:adjustRightInd w:val="0"/>
        <w:snapToGrid w:val="0"/>
        <w:spacing w:line="500" w:lineRule="exact"/>
        <w:ind w:firstLine="602" w:firstLineChars="200"/>
        <w:textAlignment w:val="auto"/>
        <w:rPr>
          <w:rFonts w:asciiTheme="minorEastAsia" w:hAnsiTheme="minorEastAsia" w:eastAsiaTheme="minorEastAsia" w:cstheme="minorEastAsia"/>
          <w:b/>
          <w:sz w:val="30"/>
          <w:szCs w:val="30"/>
        </w:rPr>
      </w:pPr>
      <w:r>
        <w:rPr>
          <w:rFonts w:hint="eastAsia" w:asciiTheme="minorEastAsia" w:hAnsiTheme="minorEastAsia" w:eastAsiaTheme="minorEastAsia" w:cstheme="minorEastAsia"/>
          <w:b/>
          <w:sz w:val="30"/>
          <w:szCs w:val="30"/>
        </w:rPr>
        <w:t>六、今后努力方向</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1、细化预算编制工作，认真做好预算的编制。进一步加强单位内部机构各股室的预算管理意识，严格按照预算编制的相关制度和要求进行预算编制。</w:t>
      </w:r>
    </w:p>
    <w:p>
      <w:pPr>
        <w:keepNext w:val="0"/>
        <w:keepLines w:val="0"/>
        <w:pageBreakBefore w:val="0"/>
        <w:kinsoku/>
        <w:overflowPunct/>
        <w:topLinePunct w:val="0"/>
        <w:autoSpaceDE/>
        <w:autoSpaceDN/>
        <w:bidi w:val="0"/>
        <w:spacing w:line="500" w:lineRule="exact"/>
        <w:ind w:firstLine="600" w:firstLineChars="200"/>
        <w:jc w:val="left"/>
        <w:textAlignment w:val="auto"/>
        <w:rPr>
          <w:rFonts w:asciiTheme="minorEastAsia" w:hAnsiTheme="minorEastAsia" w:eastAsiaTheme="minorEastAsia" w:cstheme="minorEastAsia"/>
          <w:bCs/>
          <w:color w:val="383838"/>
          <w:sz w:val="30"/>
          <w:szCs w:val="30"/>
          <w:shd w:val="clear" w:color="auto" w:fill="FFFFFF"/>
        </w:rPr>
      </w:pPr>
      <w:r>
        <w:rPr>
          <w:rFonts w:hint="eastAsia" w:asciiTheme="minorEastAsia" w:hAnsiTheme="minorEastAsia" w:eastAsiaTheme="minorEastAsia" w:cstheme="minorEastAsia"/>
          <w:bCs/>
          <w:color w:val="383838"/>
          <w:sz w:val="30"/>
          <w:szCs w:val="30"/>
          <w:shd w:val="clear" w:color="auto" w:fill="FFFFFF"/>
        </w:rPr>
        <w:t>2、对相关人员加强培训，特别是针对《预算法》、《行政事业单位会计制度》等学习培训，规范部门预算收支核算，切实提高部门预算收支管理水平。</w:t>
      </w:r>
    </w:p>
    <w:p>
      <w:pPr>
        <w:pStyle w:val="2"/>
        <w:keepNext w:val="0"/>
        <w:keepLines w:val="0"/>
        <w:pageBreakBefore w:val="0"/>
        <w:kinsoku/>
        <w:overflowPunct/>
        <w:topLinePunct w:val="0"/>
        <w:autoSpaceDE/>
        <w:autoSpaceDN/>
        <w:bidi w:val="0"/>
        <w:spacing w:line="500" w:lineRule="exact"/>
        <w:textAlignment w:val="auto"/>
      </w:pPr>
    </w:p>
    <w:p>
      <w:pPr>
        <w:pStyle w:val="4"/>
        <w:keepNext w:val="0"/>
        <w:keepLines w:val="0"/>
        <w:pageBreakBefore w:val="0"/>
        <w:widowControl/>
        <w:kinsoku/>
        <w:overflowPunct/>
        <w:topLinePunct w:val="0"/>
        <w:autoSpaceDE/>
        <w:autoSpaceDN/>
        <w:bidi w:val="0"/>
        <w:spacing w:line="500" w:lineRule="exact"/>
        <w:ind w:firstLine="600" w:firstLineChars="200"/>
        <w:jc w:val="center"/>
        <w:textAlignment w:val="auto"/>
        <w:rPr>
          <w:rFonts w:hint="eastAsia" w:asciiTheme="minorEastAsia" w:hAnsiTheme="minorEastAsia" w:eastAsiaTheme="minorEastAsia" w:cstheme="minorEastAsia"/>
          <w:bCs/>
          <w:color w:val="383838"/>
          <w:kern w:val="2"/>
          <w:sz w:val="30"/>
          <w:szCs w:val="30"/>
          <w:shd w:val="clear" w:color="auto" w:fill="FFFFFF"/>
          <w:lang w:eastAsia="zh-CN"/>
        </w:rPr>
      </w:pPr>
      <w:r>
        <w:rPr>
          <w:rFonts w:hint="eastAsia" w:asciiTheme="minorEastAsia" w:hAnsiTheme="minorEastAsia" w:eastAsiaTheme="minorEastAsia" w:cstheme="minorEastAsia"/>
          <w:bCs/>
          <w:color w:val="383838"/>
          <w:kern w:val="2"/>
          <w:sz w:val="30"/>
          <w:szCs w:val="30"/>
          <w:shd w:val="clear" w:color="auto" w:fill="FFFFFF"/>
        </w:rPr>
        <w:t xml:space="preserve">                             </w:t>
      </w:r>
      <w:r>
        <w:rPr>
          <w:rFonts w:hint="eastAsia" w:asciiTheme="minorEastAsia" w:hAnsiTheme="minorEastAsia" w:eastAsiaTheme="minorEastAsia" w:cstheme="minorEastAsia"/>
          <w:bCs/>
          <w:color w:val="383838"/>
          <w:kern w:val="2"/>
          <w:sz w:val="30"/>
          <w:szCs w:val="30"/>
          <w:shd w:val="clear" w:color="auto" w:fill="FFFFFF"/>
          <w:lang w:eastAsia="zh-CN"/>
        </w:rPr>
        <w:t>衡南县文化遗产事务中心</w:t>
      </w:r>
    </w:p>
    <w:p>
      <w:pPr>
        <w:pStyle w:val="4"/>
        <w:keepNext w:val="0"/>
        <w:keepLines w:val="0"/>
        <w:pageBreakBefore w:val="0"/>
        <w:widowControl/>
        <w:kinsoku/>
        <w:wordWrap w:val="0"/>
        <w:overflowPunct/>
        <w:topLinePunct w:val="0"/>
        <w:autoSpaceDE/>
        <w:autoSpaceDN/>
        <w:bidi w:val="0"/>
        <w:spacing w:line="500" w:lineRule="exact"/>
        <w:ind w:firstLine="600" w:firstLineChars="200"/>
        <w:jc w:val="center"/>
        <w:textAlignment w:val="auto"/>
        <w:rPr>
          <w:rFonts w:asciiTheme="minorEastAsia" w:hAnsiTheme="minorEastAsia" w:eastAsiaTheme="minorEastAsia" w:cstheme="minorEastAsia"/>
          <w:sz w:val="30"/>
          <w:szCs w:val="30"/>
        </w:rPr>
      </w:pPr>
      <w:r>
        <w:rPr>
          <w:rFonts w:hint="eastAsia" w:asciiTheme="minorEastAsia" w:hAnsiTheme="minorEastAsia" w:eastAsiaTheme="minorEastAsia" w:cstheme="minorEastAsia"/>
          <w:bCs/>
          <w:color w:val="383838"/>
          <w:kern w:val="2"/>
          <w:sz w:val="30"/>
          <w:szCs w:val="30"/>
          <w:shd w:val="clear" w:color="auto" w:fill="FFFFFF"/>
        </w:rPr>
        <w:t xml:space="preserve">                                2022年4月25日 </w:t>
      </w:r>
    </w:p>
    <w:sectPr>
      <w:footerReference r:id="rId3" w:type="default"/>
      <w:pgSz w:w="11906" w:h="16838"/>
      <w:pgMar w:top="1440" w:right="1701" w:bottom="1740" w:left="1800"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2000000000000000000"/>
    <w:charset w:val="86"/>
    <w:family w:val="script"/>
    <w:pitch w:val="default"/>
    <w:sig w:usb0="00000000" w:usb1="00000000" w:usb2="00082016" w:usb3="00000000" w:csb0="00040001"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M3ZWU1NzMwODQzMjE0NmJiMzg3NDZkOGJhNWU2YWUifQ=="/>
  </w:docVars>
  <w:rsids>
    <w:rsidRoot w:val="00495F58"/>
    <w:rsid w:val="001A6B87"/>
    <w:rsid w:val="001B068E"/>
    <w:rsid w:val="003F1C29"/>
    <w:rsid w:val="00495F58"/>
    <w:rsid w:val="004C744E"/>
    <w:rsid w:val="004F1F7D"/>
    <w:rsid w:val="009F02B0"/>
    <w:rsid w:val="00B5509F"/>
    <w:rsid w:val="00DF604F"/>
    <w:rsid w:val="00FB4C4E"/>
    <w:rsid w:val="03631290"/>
    <w:rsid w:val="082E49BE"/>
    <w:rsid w:val="0F0D4910"/>
    <w:rsid w:val="0F4C51BE"/>
    <w:rsid w:val="1C2722DD"/>
    <w:rsid w:val="1C844BEA"/>
    <w:rsid w:val="1D0434D0"/>
    <w:rsid w:val="1E1D5BB3"/>
    <w:rsid w:val="1F3809C0"/>
    <w:rsid w:val="231D268B"/>
    <w:rsid w:val="2AA54926"/>
    <w:rsid w:val="2EAF5B71"/>
    <w:rsid w:val="2EEA4BF6"/>
    <w:rsid w:val="2F5B25B6"/>
    <w:rsid w:val="302065C4"/>
    <w:rsid w:val="30310494"/>
    <w:rsid w:val="30D469FD"/>
    <w:rsid w:val="39A020A4"/>
    <w:rsid w:val="3ED66130"/>
    <w:rsid w:val="44B45F20"/>
    <w:rsid w:val="461079B5"/>
    <w:rsid w:val="49D07917"/>
    <w:rsid w:val="4DE62AA1"/>
    <w:rsid w:val="4F24177D"/>
    <w:rsid w:val="56045A83"/>
    <w:rsid w:val="5AD30ABF"/>
    <w:rsid w:val="5E045541"/>
    <w:rsid w:val="5FE24E38"/>
    <w:rsid w:val="61C51262"/>
    <w:rsid w:val="6925087C"/>
    <w:rsid w:val="6A640651"/>
    <w:rsid w:val="6B5A4922"/>
    <w:rsid w:val="6DEF09BC"/>
    <w:rsid w:val="6FC641DF"/>
    <w:rsid w:val="71383813"/>
    <w:rsid w:val="79FB4633"/>
    <w:rsid w:val="7B0F3D1D"/>
    <w:rsid w:val="7B3C3299"/>
    <w:rsid w:val="7BCF3917"/>
    <w:rsid w:val="7EFF09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qFormat/>
    <w:uiPriority w:val="99"/>
    <w:pPr>
      <w:tabs>
        <w:tab w:val="center" w:pos="4153"/>
        <w:tab w:val="right" w:pos="8306"/>
      </w:tabs>
      <w:snapToGrid w:val="0"/>
    </w:pPr>
    <w:rPr>
      <w:rFonts w:ascii="Times New Roman" w:hAnsi="Times New Roman" w:eastAsia="宋体" w:cs="Times New Roman"/>
      <w:kern w:val="2"/>
      <w:sz w:val="18"/>
      <w:lang w:val="en-US" w:eastAsia="zh-CN" w:bidi="ar-SA"/>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jc w:val="left"/>
    </w:pPr>
    <w:rPr>
      <w:kern w:val="0"/>
      <w:sz w:val="18"/>
      <w:szCs w:val="18"/>
    </w:rPr>
  </w:style>
  <w:style w:type="character" w:styleId="7">
    <w:name w:val="Hyperlink"/>
    <w:basedOn w:val="6"/>
    <w:qFormat/>
    <w:uiPriority w:val="0"/>
    <w:rPr>
      <w:color w:val="0000FF"/>
      <w:u w:val="single"/>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3343</Words>
  <Characters>3476</Characters>
  <Lines>18</Lines>
  <Paragraphs>5</Paragraphs>
  <TotalTime>28</TotalTime>
  <ScaleCrop>false</ScaleCrop>
  <LinksUpToDate>false</LinksUpToDate>
  <CharactersWithSpaces>4132</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2018-01-31T04:49:00Z</dcterms:created>
  <dc:creator>Administrator</dc:creator>
  <cp:lastModifiedBy>小海</cp:lastModifiedBy>
  <cp:lastPrinted>2022-04-25T08:25:00Z</cp:lastPrinted>
  <dcterms:modified xsi:type="dcterms:W3CDTF">2022-04-27T08:08:29Z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04E1E3B56D5947F495E44A310799D80D</vt:lpwstr>
  </property>
  <property fmtid="{D5CDD505-2E9C-101B-9397-08002B2CF9AE}" pid="4" name="commondata">
    <vt:lpwstr>eyJoZGlkIjoiNDQxOWJhMmJjNTAyOTc4ODI3NTJhNjI4NTQwM2E0MTMifQ==</vt:lpwstr>
  </property>
</Properties>
</file>