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jc w:val="center"/>
        <w:rPr>
          <w:rFonts w:hint="eastAsia"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lang w:val="en-US" w:eastAsia="zh-CN"/>
        </w:rPr>
        <w:t>21</w:t>
      </w:r>
      <w:r>
        <w:rPr>
          <w:rFonts w:hint="eastAsia" w:ascii="方正小标宋_GBK" w:eastAsia="方正小标宋_GBK"/>
          <w:sz w:val="48"/>
          <w:szCs w:val="48"/>
        </w:rPr>
        <w:t>年度部门整体支出绩效</w:t>
      </w:r>
    </w:p>
    <w:p>
      <w:pPr>
        <w:jc w:val="center"/>
        <w:rPr>
          <w:rFonts w:ascii="方正小标宋_GBK" w:eastAsia="方正小标宋_GBK"/>
          <w:sz w:val="48"/>
          <w:szCs w:val="48"/>
        </w:rPr>
      </w:pPr>
      <w:r>
        <w:rPr>
          <w:rFonts w:hint="eastAsia" w:ascii="方正小标宋_GBK" w:eastAsia="方正小标宋_GBK"/>
          <w:sz w:val="48"/>
          <w:szCs w:val="48"/>
        </w:rPr>
        <w:t>自评报告</w:t>
      </w:r>
    </w:p>
    <w:p>
      <w:pPr>
        <w:jc w:val="center"/>
        <w:rPr>
          <w:rFonts w:ascii="楷体_GB2312" w:eastAsia="楷体_GB2312"/>
          <w:b/>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6"/>
          <w:szCs w:val="36"/>
        </w:rPr>
      </w:pPr>
      <w:r>
        <w:rPr>
          <w:rFonts w:hint="eastAsia" w:ascii="黑体" w:eastAsia="黑体"/>
          <w:sz w:val="36"/>
          <w:szCs w:val="36"/>
        </w:rPr>
        <w:t>单位名称：</w:t>
      </w:r>
      <w:r>
        <w:rPr>
          <w:rFonts w:hint="eastAsia" w:ascii="黑体" w:eastAsia="黑体"/>
          <w:sz w:val="36"/>
          <w:szCs w:val="36"/>
          <w:lang w:eastAsia="zh-CN"/>
        </w:rPr>
        <w:t>衡南县文化馆（</w:t>
      </w:r>
      <w:r>
        <w:rPr>
          <w:rFonts w:hint="eastAsia" w:ascii="黑体" w:eastAsia="黑体"/>
          <w:sz w:val="36"/>
          <w:szCs w:val="36"/>
        </w:rPr>
        <w:t>盖章</w:t>
      </w:r>
      <w:r>
        <w:rPr>
          <w:rFonts w:hint="eastAsia" w:ascii="黑体" w:eastAsia="黑体"/>
          <w:sz w:val="36"/>
          <w:szCs w:val="36"/>
          <w:lang w:eastAsia="zh-CN"/>
        </w:rPr>
        <w:t>）</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pStyle w:val="24"/>
        <w:widowControl/>
        <w:spacing w:line="600" w:lineRule="exact"/>
        <w:ind w:firstLine="620"/>
        <w:rPr>
          <w:rFonts w:ascii="黑体" w:hAnsi="黑体" w:eastAsia="黑体"/>
          <w:sz w:val="32"/>
          <w:szCs w:val="32"/>
        </w:rPr>
      </w:pPr>
    </w:p>
    <w:p>
      <w:pPr>
        <w:pStyle w:val="24"/>
        <w:widowControl/>
        <w:spacing w:line="600" w:lineRule="exact"/>
        <w:ind w:firstLine="620"/>
        <w:rPr>
          <w:rFonts w:ascii="黑体" w:hAnsi="黑体" w:eastAsia="黑体"/>
          <w:sz w:val="32"/>
          <w:szCs w:val="32"/>
        </w:rPr>
      </w:pPr>
    </w:p>
    <w:p>
      <w:pPr>
        <w:pStyle w:val="24"/>
        <w:widowControl/>
        <w:spacing w:line="600" w:lineRule="exact"/>
        <w:ind w:firstLine="620"/>
        <w:rPr>
          <w:rFonts w:ascii="黑体" w:hAnsi="黑体" w:eastAsia="黑体"/>
          <w:sz w:val="32"/>
          <w:szCs w:val="32"/>
        </w:rPr>
      </w:pPr>
    </w:p>
    <w:p>
      <w:pPr>
        <w:spacing w:line="600" w:lineRule="exact"/>
        <w:ind w:firstLine="542"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为进一步规范财政资金管理，强化财政支出绩效理念和责任意识，切实提高财政资金使用效益，根据《中共中央国务院关于全面实施预算绩效管理的意见》（中发〔2018〕34号）、《中共湖南省委办公厅 湖南省人民政府办公厅关于全面实施预算绩效管理的实施意见》（湘办发〔2019〕10号）精神，现</w:t>
      </w:r>
      <w:r>
        <w:rPr>
          <w:rFonts w:hint="eastAsia" w:asciiTheme="minorEastAsia" w:hAnsiTheme="minorEastAsia" w:eastAsiaTheme="minorEastAsia" w:cstheme="minorEastAsia"/>
          <w:sz w:val="28"/>
          <w:szCs w:val="28"/>
          <w:lang w:eastAsia="zh-CN"/>
        </w:rPr>
        <w:t>将衡南县文化馆</w:t>
      </w: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年度财政支出绩效自评报告如下</w:t>
      </w:r>
      <w:r>
        <w:rPr>
          <w:rFonts w:hint="eastAsia" w:asciiTheme="minorEastAsia" w:hAnsiTheme="minorEastAsia" w:eastAsiaTheme="minorEastAsia" w:cstheme="minorEastAsia"/>
          <w:sz w:val="28"/>
          <w:szCs w:val="28"/>
          <w:lang w:eastAsia="zh-CN"/>
        </w:rPr>
        <w:t>：</w:t>
      </w:r>
    </w:p>
    <w:p>
      <w:pPr>
        <w:widowControl/>
        <w:spacing w:line="600" w:lineRule="exact"/>
        <w:ind w:firstLine="622" w:firstLineChars="200"/>
        <w:jc w:val="left"/>
        <w:rPr>
          <w:rFonts w:ascii="仿宋_GB2312" w:hAnsi="黑体" w:eastAsia="仿宋_GB2312"/>
          <w:sz w:val="32"/>
          <w:szCs w:val="32"/>
        </w:rPr>
      </w:pPr>
    </w:p>
    <w:p>
      <w:pPr>
        <w:pStyle w:val="24"/>
        <w:widowControl/>
        <w:numPr>
          <w:ilvl w:val="0"/>
          <w:numId w:val="1"/>
        </w:numPr>
        <w:spacing w:line="600" w:lineRule="exact"/>
        <w:ind w:firstLineChars="0"/>
        <w:rPr>
          <w:rFonts w:ascii="黑体" w:hAnsi="黑体" w:eastAsia="黑体"/>
          <w:sz w:val="32"/>
          <w:szCs w:val="32"/>
        </w:rPr>
      </w:pPr>
      <w:r>
        <w:rPr>
          <w:rFonts w:hint="eastAsia" w:ascii="黑体" w:hAnsi="黑体" w:eastAsia="黑体"/>
          <w:sz w:val="32"/>
          <w:szCs w:val="32"/>
        </w:rPr>
        <w:t>单位基本情况</w:t>
      </w:r>
    </w:p>
    <w:p>
      <w:pPr>
        <w:widowControl/>
        <w:spacing w:line="600" w:lineRule="exact"/>
        <w:ind w:firstLine="582" w:firstLineChars="200"/>
        <w:jc w:val="left"/>
        <w:rPr>
          <w:rFonts w:ascii="仿宋_GB2312" w:hAnsi="黑体" w:eastAsia="仿宋_GB2312"/>
          <w:b/>
          <w:sz w:val="30"/>
          <w:szCs w:val="30"/>
        </w:rPr>
      </w:pPr>
      <w:r>
        <w:rPr>
          <w:rFonts w:hint="eastAsia" w:ascii="仿宋_GB2312" w:hAnsi="黑体" w:eastAsia="仿宋_GB2312"/>
          <w:b/>
          <w:sz w:val="30"/>
          <w:szCs w:val="30"/>
        </w:rPr>
        <w:t>（</w:t>
      </w:r>
      <w:r>
        <w:rPr>
          <w:rFonts w:hint="eastAsia" w:ascii="仿宋_GB2312" w:hAnsi="黑体" w:eastAsia="仿宋_GB2312"/>
          <w:b/>
          <w:sz w:val="30"/>
          <w:szCs w:val="30"/>
          <w:lang w:eastAsia="zh-CN"/>
        </w:rPr>
        <w:t>一</w:t>
      </w:r>
      <w:r>
        <w:rPr>
          <w:rFonts w:hint="eastAsia" w:ascii="仿宋_GB2312" w:hAnsi="黑体" w:eastAsia="仿宋_GB2312"/>
          <w:b/>
          <w:sz w:val="30"/>
          <w:szCs w:val="30"/>
        </w:rPr>
        <w:t>）部门职责</w:t>
      </w:r>
    </w:p>
    <w:p>
      <w:pPr>
        <w:spacing w:line="600" w:lineRule="exact"/>
        <w:ind w:firstLine="1084" w:firstLineChars="4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（1）举办各类展览、讲座、培训等，普及科学文化知识，开展社会教育，提高群众文化素质，促进当地精神文明建设。</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（2）组织开展丰富多彩的、群众喜闻乐见的文化活动；开展流动文化服务；指导群众业余文艺团队建设，辅导和培训群众文艺骨干。</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（3）组织并指导群众文艺创作，开展群众文化工作理论研究。</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（4）收集、整理、研究非物质文化遗产，开展非物质文化遗产的普查、展示、宣传活动，指导传承人开展传习活动。</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（5）建成全国文化信息资源共享工程基层服务点，开展数字文化信息服务。</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（6）指导下一级文化馆（文化站、社区文化中心）工作，为下一级文化馆（文化站、社区文化中心）培训人员，并向下一级文化馆（文化站、社区文化中心）配送文化资源和文化服务。</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(7）指导本地区老年文化、老年教育、少儿文化工作。</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(8)开展对外民间文化交流。</w:t>
      </w:r>
    </w:p>
    <w:p>
      <w:pPr>
        <w:pStyle w:val="2"/>
        <w:rPr>
          <w:rFonts w:hint="eastAsia"/>
          <w:lang w:val="en-US" w:eastAsia="zh-CN"/>
        </w:rPr>
      </w:pPr>
    </w:p>
    <w:p>
      <w:pPr>
        <w:widowControl/>
        <w:spacing w:line="600" w:lineRule="exact"/>
        <w:ind w:firstLine="582" w:firstLineChars="200"/>
        <w:jc w:val="left"/>
        <w:rPr>
          <w:rFonts w:hint="default" w:ascii="仿宋_GB2312" w:hAnsi="黑体" w:eastAsia="仿宋_GB2312"/>
          <w:b/>
          <w:sz w:val="30"/>
          <w:szCs w:val="30"/>
        </w:rPr>
      </w:pPr>
      <w:r>
        <w:rPr>
          <w:rFonts w:hint="eastAsia" w:ascii="仿宋_GB2312" w:hAnsi="黑体" w:eastAsia="仿宋_GB2312"/>
          <w:b/>
          <w:sz w:val="30"/>
          <w:szCs w:val="30"/>
          <w:lang w:val="en-US" w:eastAsia="zh-CN"/>
        </w:rPr>
        <w:t>（二）</w:t>
      </w:r>
      <w:r>
        <w:rPr>
          <w:rFonts w:hint="eastAsia" w:ascii="仿宋_GB2312" w:hAnsi="黑体" w:eastAsia="仿宋_GB2312"/>
          <w:b/>
          <w:sz w:val="30"/>
          <w:szCs w:val="30"/>
          <w:lang w:val="en-US"/>
        </w:rPr>
        <w:t>机构</w:t>
      </w:r>
      <w:r>
        <w:rPr>
          <w:rFonts w:hint="eastAsia" w:ascii="仿宋_GB2312" w:hAnsi="黑体" w:eastAsia="仿宋_GB2312"/>
          <w:b/>
          <w:sz w:val="30"/>
          <w:szCs w:val="30"/>
          <w:lang w:val="en-US" w:eastAsia="zh-CN"/>
        </w:rPr>
        <w:t>及人员</w:t>
      </w:r>
      <w:r>
        <w:rPr>
          <w:rFonts w:hint="eastAsia" w:ascii="仿宋_GB2312" w:hAnsi="黑体" w:eastAsia="仿宋_GB2312"/>
          <w:b/>
          <w:sz w:val="30"/>
          <w:szCs w:val="30"/>
          <w:lang w:val="en-US"/>
        </w:rPr>
        <w:t>情况</w:t>
      </w:r>
    </w:p>
    <w:p>
      <w:pPr>
        <w:spacing w:line="600" w:lineRule="exact"/>
        <w:ind w:firstLine="542" w:firstLineChars="200"/>
        <w:rPr>
          <w:rFonts w:hint="eastAsia" w:ascii="宋体" w:hAnsi="宋体" w:eastAsia="宋体" w:cs="宋体"/>
          <w:i w:val="0"/>
          <w:iCs w:val="0"/>
          <w:caps w:val="0"/>
          <w:color w:val="000000"/>
          <w:spacing w:val="0"/>
          <w:sz w:val="28"/>
          <w:szCs w:val="28"/>
          <w:lang w:eastAsia="zh-CN"/>
        </w:rPr>
      </w:pPr>
      <w:r>
        <w:rPr>
          <w:rFonts w:hint="eastAsia" w:asciiTheme="minorEastAsia" w:hAnsiTheme="minorEastAsia" w:eastAsiaTheme="minorEastAsia" w:cstheme="minorEastAsia"/>
          <w:sz w:val="28"/>
          <w:szCs w:val="28"/>
          <w:lang w:val="en-US" w:eastAsia="zh-CN"/>
        </w:rPr>
        <w:t>1、衡南县文化馆属财政补助事业单位，</w:t>
      </w:r>
      <w:r>
        <w:rPr>
          <w:rFonts w:hint="eastAsia" w:ascii="宋体" w:hAnsi="宋体" w:eastAsia="宋体" w:cs="宋体"/>
          <w:i w:val="0"/>
          <w:iCs w:val="0"/>
          <w:caps w:val="0"/>
          <w:color w:val="000000"/>
          <w:spacing w:val="0"/>
          <w:sz w:val="28"/>
          <w:szCs w:val="28"/>
        </w:rPr>
        <w:t>下设办公室、文艺创作股、群文辅导股、公共文化服务股、工会等相关股室</w:t>
      </w:r>
      <w:r>
        <w:rPr>
          <w:rFonts w:hint="eastAsia" w:ascii="宋体" w:hAnsi="宋体" w:eastAsia="宋体" w:cs="宋体"/>
          <w:i w:val="0"/>
          <w:iCs w:val="0"/>
          <w:caps w:val="0"/>
          <w:color w:val="000000"/>
          <w:spacing w:val="0"/>
          <w:sz w:val="28"/>
          <w:szCs w:val="28"/>
          <w:lang w:eastAsia="zh-CN"/>
        </w:rPr>
        <w:t>。</w:t>
      </w:r>
    </w:p>
    <w:p>
      <w:pPr>
        <w:spacing w:line="600" w:lineRule="exact"/>
        <w:ind w:firstLine="542" w:firstLineChars="200"/>
        <w:rPr>
          <w:rFonts w:hint="eastAsia" w:eastAsia="仿宋"/>
          <w:sz w:val="32"/>
          <w:szCs w:val="24"/>
          <w:lang w:val="en-US" w:eastAsia="zh-CN"/>
        </w:rPr>
      </w:pPr>
      <w:r>
        <w:rPr>
          <w:rFonts w:hint="eastAsia" w:asciiTheme="minorEastAsia" w:hAnsiTheme="minorEastAsia" w:eastAsiaTheme="minorEastAsia" w:cstheme="minorEastAsia"/>
          <w:sz w:val="28"/>
          <w:szCs w:val="28"/>
          <w:lang w:val="en-US" w:eastAsia="zh-CN"/>
        </w:rPr>
        <w:t>现文化馆共有财政补助编制人员16名。</w:t>
      </w:r>
    </w:p>
    <w:p>
      <w:pPr>
        <w:pStyle w:val="24"/>
        <w:widowControl/>
        <w:numPr>
          <w:ilvl w:val="0"/>
          <w:numId w:val="1"/>
        </w:numPr>
        <w:spacing w:line="600" w:lineRule="exact"/>
        <w:ind w:firstLineChars="0"/>
        <w:rPr>
          <w:rFonts w:hint="eastAsia" w:ascii="黑体" w:hAnsi="黑体" w:eastAsia="黑体" w:cs="Times New Roman"/>
          <w:sz w:val="32"/>
          <w:szCs w:val="32"/>
          <w:lang w:eastAsia="zh-CN"/>
        </w:rPr>
      </w:pPr>
      <w:r>
        <w:rPr>
          <w:rFonts w:hint="eastAsia" w:ascii="黑体" w:eastAsia="黑体"/>
          <w:sz w:val="32"/>
          <w:szCs w:val="32"/>
        </w:rPr>
        <w:t>部门整体支出管理及使用情况</w:t>
      </w:r>
    </w:p>
    <w:p>
      <w:pPr>
        <w:pStyle w:val="24"/>
        <w:widowControl/>
        <w:numPr>
          <w:ilvl w:val="0"/>
          <w:numId w:val="2"/>
        </w:numPr>
        <w:spacing w:line="600" w:lineRule="exact"/>
        <w:ind w:firstLine="933" w:firstLineChars="3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部门预算</w:t>
      </w:r>
      <w:r>
        <w:rPr>
          <w:rFonts w:hint="eastAsia" w:ascii="Times New Roman" w:hAnsi="Times New Roman" w:eastAsia="黑体" w:cs="Times New Roman"/>
          <w:sz w:val="32"/>
          <w:szCs w:val="32"/>
          <w:lang w:val="en-US" w:eastAsia="zh-CN"/>
        </w:rPr>
        <w:t>与决算</w:t>
      </w:r>
      <w:r>
        <w:rPr>
          <w:rFonts w:hint="eastAsia" w:ascii="Times New Roman" w:hAnsi="Times New Roman" w:eastAsia="黑体" w:cs="Times New Roman"/>
          <w:sz w:val="32"/>
          <w:szCs w:val="32"/>
          <w:lang w:eastAsia="zh-CN"/>
        </w:rPr>
        <w:t>收支情况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1、预算情况：2021年度年初部门预算收入为237.99万元，其中公共财政预算拨款237.99万元，上年结转资金0万元。预算支出237.99万元，其中：基本支出196.99万元，项目支出41万元。</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2、预算调整：年终追加基本支出21.57万元；追加项目预算70万元。</w:t>
      </w:r>
    </w:p>
    <w:p>
      <w:pPr>
        <w:spacing w:line="600" w:lineRule="exact"/>
        <w:ind w:firstLine="542" w:firstLineChars="200"/>
        <w:rPr>
          <w:rFonts w:hint="default"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en-US" w:eastAsia="zh-CN"/>
        </w:rPr>
        <w:t>3、决算情况：2021年总收入329.76万元，其中：一般财政拨款收入329.56万元，年初结转和结余0.2万元。总支出329.56万元，其中：基本支出218.56万元，项目支出111万元。年底总结余0.2万元。</w:t>
      </w:r>
    </w:p>
    <w:p>
      <w:pPr>
        <w:pStyle w:val="24"/>
        <w:widowControl/>
        <w:numPr>
          <w:ilvl w:val="0"/>
          <w:numId w:val="2"/>
        </w:numPr>
        <w:spacing w:line="600" w:lineRule="exact"/>
        <w:ind w:firstLine="933" w:firstLineChars="3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支出分类情况。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基本支出为保障单位机构正常运转、完成日常工作任务而发生的各项支出，包括用于基本工资、津贴补贴等人员经费以及办公费、印刷费、水电费、工会经费等日常公用经费。</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1、基本支出</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2021年财政拨款基本支出为218.56万元，其中：工资及福利费用176.94万元，商品和服务费用143.5万元，对个人和家庭的补助9.12万元,资本性支出0万元。</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“三公”经费情况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2021年初批复预算的“三公”经费为0.37万元，其中公务接待0.37万元，因公出国费用0万元，公务用车0万元。</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全年决算支出“三公”经费0.34万元万元，其中公务接待0.34万元，因公出国费用0万元，公务用车0万元。</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2、项目支出</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2021年决算项目支出111万元，其中：一般行政管理事务支出20万元，文化旅游与体育传媒支出91万元。</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3、年末结转和结余情况。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2021</w:t>
      </w:r>
      <w:r>
        <w:rPr>
          <w:rFonts w:hint="eastAsia" w:asciiTheme="minorEastAsia" w:hAnsiTheme="minorEastAsia" w:eastAsiaTheme="minorEastAsia" w:cstheme="minorEastAsia"/>
          <w:sz w:val="28"/>
          <w:szCs w:val="28"/>
          <w:lang w:val="en-US"/>
        </w:rPr>
        <w:t>年，本单位年末结转和结余资金</w:t>
      </w:r>
      <w:r>
        <w:rPr>
          <w:rFonts w:hint="eastAsia" w:asciiTheme="minorEastAsia" w:hAnsiTheme="minorEastAsia" w:eastAsiaTheme="minorEastAsia" w:cstheme="minorEastAsia"/>
          <w:sz w:val="28"/>
          <w:szCs w:val="28"/>
          <w:lang w:val="en-US" w:eastAsia="zh-CN"/>
        </w:rPr>
        <w:t>0.2万</w:t>
      </w:r>
      <w:r>
        <w:rPr>
          <w:rFonts w:hint="eastAsia" w:asciiTheme="minorEastAsia" w:hAnsiTheme="minorEastAsia" w:eastAsiaTheme="minorEastAsia" w:cstheme="minorEastAsia"/>
          <w:sz w:val="28"/>
          <w:szCs w:val="28"/>
          <w:lang w:val="en-US"/>
        </w:rPr>
        <w:t>元，</w:t>
      </w:r>
      <w:r>
        <w:rPr>
          <w:rFonts w:hint="eastAsia" w:asciiTheme="minorEastAsia" w:hAnsiTheme="minorEastAsia" w:eastAsiaTheme="minorEastAsia" w:cstheme="minorEastAsia"/>
          <w:sz w:val="28"/>
          <w:szCs w:val="28"/>
          <w:lang w:val="en-US" w:eastAsia="zh-CN"/>
        </w:rPr>
        <w:t>与上年持平。</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4、部门专项组织实施情况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（1）专项组织情况</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专项资金实行使用部门提出支出申请报告，财务进行审核，主要领导同意后据实安排支出。涉及招标采购的项目严格执行项目招标和竣工验收，事前按照政府采购的规定申报采购计划，实施中对资金投向及年度资金调度进行详细规划，并及时将项目支出按预算科目编报财务决算。</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（2）专项管理情况</w:t>
      </w:r>
    </w:p>
    <w:p>
      <w:pPr>
        <w:spacing w:line="600" w:lineRule="exact"/>
        <w:ind w:firstLine="542"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en-US" w:eastAsia="zh-CN"/>
        </w:rPr>
        <w:t>对专项资金加强预算管理，规范了资金审批和支付程序，在专项资金申报中，严格按要财政要求执行；在专项资金使用上，按轻重缓急保障安排，每一笔支出有依据、有凭证、有程序、有责任。建立专项资金使用自查制度和抽查制度，及时发现问题，提出整改意见，增强自纠能力，确保专项资金依法管理与使用。没有发生专项资金的挤占、挪用、截流等违规现象。</w:t>
      </w:r>
    </w:p>
    <w:p>
      <w:pPr>
        <w:pStyle w:val="24"/>
        <w:widowControl/>
        <w:numPr>
          <w:ilvl w:val="0"/>
          <w:numId w:val="0"/>
        </w:numPr>
        <w:spacing w:line="600" w:lineRule="exact"/>
        <w:ind w:firstLine="622"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三、财务及资金管理情况</w:t>
      </w:r>
    </w:p>
    <w:p>
      <w:pPr>
        <w:keepNext w:val="0"/>
        <w:keepLines w:val="0"/>
        <w:pageBreakBefore w:val="0"/>
        <w:widowControl w:val="0"/>
        <w:kinsoku/>
        <w:wordWrap/>
        <w:overflowPunct/>
        <w:topLinePunct w:val="0"/>
        <w:autoSpaceDE/>
        <w:bidi w:val="0"/>
        <w:adjustRightInd/>
        <w:snapToGrid/>
        <w:spacing w:line="600" w:lineRule="exact"/>
        <w:ind w:left="0" w:leftChars="0" w:firstLine="542" w:firstLineChars="200"/>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en-US" w:eastAsia="zh-CN"/>
        </w:rPr>
        <w:t>严格按照“八项规定”和《党风廉政建设责任制》要求，制定了财务管理制度、公务用车管理制度、公务接待制度，落实了专职报账人员，确保财务管理制度化、规范化。认真落实固定资产管理办法，对固定资产的保管、使用、账实进行专人管理，确保固定资产安全和完整，并严格按照有关规定执行政府采购。</w:t>
      </w:r>
    </w:p>
    <w:p>
      <w:pPr>
        <w:spacing w:line="600" w:lineRule="exact"/>
        <w:ind w:firstLine="622" w:firstLineChars="200"/>
        <w:rPr>
          <w:rFonts w:hint="eastAsia" w:ascii="黑体" w:eastAsia="黑体"/>
          <w:sz w:val="32"/>
          <w:szCs w:val="32"/>
        </w:rPr>
      </w:pPr>
      <w:r>
        <w:rPr>
          <w:rFonts w:hint="eastAsia" w:ascii="黑体" w:eastAsia="黑体"/>
          <w:sz w:val="32"/>
          <w:szCs w:val="32"/>
          <w:lang w:eastAsia="zh-CN"/>
        </w:rPr>
        <w:t>四</w:t>
      </w:r>
      <w:r>
        <w:rPr>
          <w:rFonts w:hint="eastAsia" w:ascii="黑体" w:eastAsia="黑体"/>
          <w:sz w:val="32"/>
          <w:szCs w:val="32"/>
        </w:rPr>
        <w:t>、部门整体支出绩效评价情况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4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（一）绩效评价目的。</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4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此次绩效评价的目的是：严格落实《预算法》及省、市绩效管理工作的有关规定，进一步规范财政资金的管理，强化财政支出绩效理念，提升部门责任意识，提高资金使用效益，促进文化交流事业的发展。</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4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（二）绩效评价的主要过程。</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54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主要包括前期准备、组织实施和分析评价等内容。我们按照县财政局绩效评价规程要求，第一阶段为前期准备：由我馆牵头，组织有关业务部门制定了详细的工作方案，明确责任，确定评价指标细则；第二阶段为部门自评：根据上一阶段任务布置，各部门按照要求展开自评工作，并将评价结果报财政所；第三阶段为定性终评，并出具评价报告：财政所在各部门自评的基础上，查阅相关文件资料和财务凭证，对收集资料进行定量定性分析，综合评议后形成评价结论，出具绩效评价报告。</w:t>
      </w:r>
    </w:p>
    <w:p>
      <w:pPr>
        <w:keepNext w:val="0"/>
        <w:keepLines w:val="0"/>
        <w:pageBreakBefore w:val="0"/>
        <w:numPr>
          <w:ilvl w:val="0"/>
          <w:numId w:val="2"/>
        </w:numPr>
        <w:shd w:val="solid" w:color="FFFFFF" w:fill="auto"/>
        <w:kinsoku/>
        <w:wordWrap/>
        <w:overflowPunct/>
        <w:topLinePunct w:val="0"/>
        <w:autoSpaceDE/>
        <w:autoSpaceDN w:val="0"/>
        <w:bidi w:val="0"/>
        <w:adjustRightInd/>
        <w:snapToGrid/>
        <w:spacing w:line="240" w:lineRule="auto"/>
        <w:ind w:left="0" w:leftChars="0" w:firstLine="813" w:firstLineChars="3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评价结论。</w:t>
      </w:r>
    </w:p>
    <w:p>
      <w:pPr>
        <w:spacing w:line="600" w:lineRule="exact"/>
        <w:ind w:firstLine="542" w:firstLineChars="200"/>
        <w:rPr>
          <w:rFonts w:hint="eastAsia" w:ascii="仿宋" w:hAnsi="仿宋" w:eastAsia="仿宋" w:cs="Times New Roman"/>
          <w:b w:val="0"/>
          <w:bCs/>
          <w:color w:val="383838"/>
          <w:sz w:val="32"/>
          <w:shd w:val="clear" w:color="auto" w:fill="FFFFFF"/>
          <w:lang w:val="en-US" w:eastAsia="zh-CN"/>
        </w:rPr>
      </w:pPr>
      <w:r>
        <w:rPr>
          <w:rFonts w:hint="eastAsia" w:asciiTheme="minorEastAsia" w:hAnsiTheme="minorEastAsia" w:eastAsiaTheme="minorEastAsia" w:cstheme="minorEastAsia"/>
          <w:sz w:val="28"/>
          <w:szCs w:val="28"/>
          <w:lang w:val="en-US" w:eastAsia="zh-CN"/>
        </w:rPr>
        <w:t>2021年，我馆积极履职，强化管理，较好的完成了年度工作目标。通过加强预算收支管理，不断建立健全内部管理制度，梳理内部管理流程，整体支出管理水平得到提升。根据部门整体支出绩效评价指标体系，我馆2021年度部门整体支出绩效自评91.5分。部门整体支出绩效自评考核评分表详见附件。</w:t>
      </w:r>
    </w:p>
    <w:p>
      <w:pPr>
        <w:spacing w:line="600" w:lineRule="exact"/>
        <w:ind w:firstLine="622" w:firstLineChars="200"/>
        <w:rPr>
          <w:rFonts w:hint="eastAsia" w:ascii="黑体" w:eastAsia="黑体"/>
          <w:sz w:val="32"/>
          <w:szCs w:val="32"/>
        </w:rPr>
      </w:pPr>
      <w:r>
        <w:rPr>
          <w:rFonts w:hint="eastAsia" w:ascii="黑体" w:eastAsia="黑体"/>
          <w:sz w:val="32"/>
          <w:szCs w:val="32"/>
        </w:rPr>
        <w:t>五、存在的主要问题</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1、账务处理有待进一步规范，健全财务制度。</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2、预算编制的合理性有待提高。预算编制时的前瞻性不够。预算编制的质量不高，实际资金支出过程中因实际情况发生变化与预算支出经济科目数有时存在偏差，预算编制精准化还有待进一步提高。</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3、资金使用效益有待进一步提高，绩效目标设立不够明确、细化和量化。</w:t>
      </w:r>
    </w:p>
    <w:p>
      <w:pPr>
        <w:spacing w:line="600" w:lineRule="exact"/>
        <w:ind w:firstLine="542"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4、固定资产有不少已经年代久远，已过使用年限，暂未做资产处置</w:t>
      </w:r>
    </w:p>
    <w:p>
      <w:pPr>
        <w:spacing w:line="600" w:lineRule="exact"/>
        <w:ind w:firstLine="622" w:firstLineChars="200"/>
        <w:rPr>
          <w:rFonts w:hint="eastAsia" w:ascii="黑体" w:eastAsia="黑体"/>
          <w:sz w:val="32"/>
          <w:szCs w:val="32"/>
        </w:rPr>
      </w:pPr>
      <w:r>
        <w:rPr>
          <w:rFonts w:hint="eastAsia" w:ascii="黑体" w:eastAsia="黑体"/>
          <w:sz w:val="32"/>
          <w:szCs w:val="32"/>
        </w:rPr>
        <w:t>六、改进措施及建议</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细化预决算编制工作，认真做好预决算的编制。进一步加强单位内部机构各股室的预算管理意识，严格按照预算编制的相关制度和要求进行预算编制，尽量压缩变动性的、有控制空间的费用项目，进一步提高预算编制的科学性、严谨性和可控性。</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    2、加强财务管理，严格财务审核。加强单位财务管理，在费用报账支付时，按照预算规定的费用项目和用途进行资金使用审核、列报支付、财务核算，杜绝超支现象的发生。</w:t>
      </w:r>
      <w:r>
        <w:rPr>
          <w:rFonts w:hint="eastAsia" w:asciiTheme="minorEastAsia" w:hAnsiTheme="minorEastAsia" w:eastAsiaTheme="minorEastAsia" w:cstheme="minorEastAsia"/>
          <w:sz w:val="28"/>
          <w:szCs w:val="28"/>
          <w:lang w:val="en-US" w:eastAsia="zh-CN"/>
        </w:rPr>
        <w:br w:type="textWrapping"/>
      </w:r>
      <w:r>
        <w:rPr>
          <w:rFonts w:hint="eastAsia" w:asciiTheme="minorEastAsia" w:hAnsiTheme="minorEastAsia" w:eastAsiaTheme="minorEastAsia" w:cstheme="minorEastAsia"/>
          <w:sz w:val="28"/>
          <w:szCs w:val="28"/>
          <w:lang w:val="en-US" w:eastAsia="zh-CN"/>
        </w:rPr>
        <w:t>    3、完善资产管理，抓好“三公”经费控制。严格编制政府采购年初预算和计划，规范各类资产的购置审批、采购、使用管理、处置和报废、管理岗位职责等制度，加强单位内部的资产管理工作。严格控制“三公”经费的规模和比例，把关“三公”经费支出的审核、审批，杜绝挪用和挤占其他预算资金行为。</w:t>
      </w:r>
    </w:p>
    <w:p>
      <w:pPr>
        <w:spacing w:line="600" w:lineRule="exact"/>
        <w:ind w:firstLine="54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4、进一步强化资产管理意识和责任落实，妥善解决单位资产权属不清的遗留问题，进一步加强制度和机制建设，加强对国有资产的监督管理。</w:t>
      </w:r>
    </w:p>
    <w:p>
      <w:pPr>
        <w:spacing w:line="600" w:lineRule="exact"/>
        <w:ind w:firstLine="542" w:firstLineChars="200"/>
        <w:rPr>
          <w:rFonts w:hint="eastAsia" w:ascii="方正小标宋_GBK" w:hAnsi="方正小标宋_GBK" w:eastAsia="方正小标宋_GBK" w:cs="方正小标宋_GBK"/>
          <w:sz w:val="36"/>
          <w:szCs w:val="36"/>
        </w:rPr>
      </w:pPr>
      <w:r>
        <w:rPr>
          <w:rFonts w:hint="eastAsia" w:asciiTheme="minorEastAsia" w:hAnsiTheme="minorEastAsia" w:eastAsiaTheme="minorEastAsia" w:cstheme="minorEastAsia"/>
          <w:sz w:val="28"/>
          <w:szCs w:val="28"/>
          <w:lang w:val="en-US" w:eastAsia="zh-CN"/>
        </w:rPr>
        <w:t>          </w:t>
      </w:r>
      <w:r>
        <w:rPr>
          <w:rFonts w:hint="eastAsia" w:ascii="方正小标宋_GBK" w:hAnsi="方正小标宋_GBK" w:eastAsia="方正小标宋_GBK" w:cs="方正小标宋_GBK"/>
          <w:sz w:val="36"/>
          <w:szCs w:val="36"/>
        </w:rPr>
        <w:t>部门整体支出绩效评价基础数据表</w:t>
      </w:r>
    </w:p>
    <w:p>
      <w:pPr>
        <w:widowControl/>
        <w:tabs>
          <w:tab w:val="left" w:pos="3611"/>
          <w:tab w:val="left" w:pos="4791"/>
          <w:tab w:val="left" w:pos="5951"/>
          <w:tab w:val="left" w:pos="7071"/>
          <w:tab w:val="left" w:pos="8191"/>
          <w:tab w:val="left" w:pos="9311"/>
        </w:tabs>
        <w:spacing w:line="300" w:lineRule="exact"/>
        <w:rPr>
          <w:rFonts w:hint="default" w:ascii="Times New Roman" w:hAnsi="Times New Roman" w:eastAsia="仿宋_GB2312"/>
          <w:kern w:val="0"/>
          <w:sz w:val="24"/>
          <w:lang w:val="en-US"/>
        </w:rPr>
      </w:pPr>
      <w:r>
        <w:rPr>
          <w:rFonts w:hint="eastAsia" w:ascii="Times New Roman" w:hAnsi="Times New Roman"/>
          <w:kern w:val="0"/>
          <w:sz w:val="24"/>
        </w:rPr>
        <w:t>填报单位：</w:t>
      </w:r>
      <w:r>
        <w:rPr>
          <w:rFonts w:hint="eastAsia"/>
          <w:kern w:val="0"/>
          <w:sz w:val="24"/>
          <w:lang w:eastAsia="zh-CN"/>
        </w:rPr>
        <w:t>衡南县文化馆</w:t>
      </w:r>
      <w:r>
        <w:rPr>
          <w:rFonts w:ascii="Times New Roman" w:hAnsi="Times New Roman" w:eastAsia="PMingLiU"/>
          <w:kern w:val="0"/>
          <w:sz w:val="24"/>
        </w:rPr>
        <w:tab/>
      </w:r>
      <w:r>
        <w:rPr>
          <w:rFonts w:ascii="Times New Roman" w:hAnsi="Times New Roman" w:eastAsia="PMingLiU"/>
          <w:kern w:val="0"/>
          <w:sz w:val="24"/>
        </w:rPr>
        <w:tab/>
      </w:r>
      <w:r>
        <w:rPr>
          <w:rFonts w:hint="eastAsia" w:ascii="Times New Roman" w:hAnsi="Times New Roman" w:eastAsia="PMingLiU"/>
          <w:kern w:val="0"/>
          <w:sz w:val="24"/>
        </w:rPr>
        <w:t>填报时间：</w:t>
      </w:r>
      <w:r>
        <w:rPr>
          <w:rFonts w:hint="eastAsia" w:ascii="Times New Roman" w:hAnsi="Times New Roman"/>
          <w:kern w:val="0"/>
          <w:sz w:val="24"/>
          <w:lang w:val="en-US" w:eastAsia="zh-CN"/>
        </w:rPr>
        <w:t>202</w:t>
      </w:r>
      <w:r>
        <w:rPr>
          <w:rFonts w:hint="eastAsia"/>
          <w:kern w:val="0"/>
          <w:sz w:val="24"/>
          <w:lang w:val="en-US" w:eastAsia="zh-CN"/>
        </w:rPr>
        <w:t>2-4</w:t>
      </w:r>
      <w:r>
        <w:rPr>
          <w:rFonts w:hint="eastAsia" w:ascii="Times New Roman" w:hAnsi="Times New Roman"/>
          <w:kern w:val="0"/>
          <w:sz w:val="24"/>
          <w:lang w:val="en-US" w:eastAsia="zh-CN"/>
        </w:rPr>
        <w:t>-</w:t>
      </w:r>
      <w:r>
        <w:rPr>
          <w:rFonts w:hint="eastAsia"/>
          <w:kern w:val="0"/>
          <w:sz w:val="24"/>
          <w:lang w:val="en-US" w:eastAsia="zh-CN"/>
        </w:rPr>
        <w:t>20</w:t>
      </w:r>
    </w:p>
    <w:tbl>
      <w:tblPr>
        <w:tblStyle w:val="10"/>
        <w:tblW w:w="0" w:type="auto"/>
        <w:jc w:val="center"/>
        <w:tblLayout w:type="fixed"/>
        <w:tblCellMar>
          <w:top w:w="0" w:type="dxa"/>
          <w:left w:w="108" w:type="dxa"/>
          <w:bottom w:w="0" w:type="dxa"/>
          <w:right w:w="108" w:type="dxa"/>
        </w:tblCellMar>
      </w:tblPr>
      <w:tblGrid>
        <w:gridCol w:w="3354"/>
        <w:gridCol w:w="1991"/>
        <w:gridCol w:w="2057"/>
        <w:gridCol w:w="1709"/>
      </w:tblGrid>
      <w:tr>
        <w:tblPrEx>
          <w:tblCellMar>
            <w:top w:w="0" w:type="dxa"/>
            <w:left w:w="108" w:type="dxa"/>
            <w:bottom w:w="0" w:type="dxa"/>
            <w:right w:w="108" w:type="dxa"/>
          </w:tblCellMar>
        </w:tblPrEx>
        <w:trPr>
          <w:trHeight w:val="425"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财政供养人员情况</w:t>
            </w:r>
          </w:p>
        </w:tc>
        <w:tc>
          <w:tcPr>
            <w:tcW w:w="199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编制数</w:t>
            </w:r>
          </w:p>
        </w:tc>
        <w:tc>
          <w:tcPr>
            <w:tcW w:w="20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kern w:val="0"/>
                <w:szCs w:val="21"/>
                <w:lang w:eastAsia="zh-CN"/>
              </w:rPr>
              <w:t>2021</w:t>
            </w:r>
            <w:r>
              <w:rPr>
                <w:rFonts w:hint="eastAsia" w:ascii="Times New Roman" w:hAnsi="Times New Roman"/>
                <w:kern w:val="0"/>
                <w:szCs w:val="21"/>
              </w:rPr>
              <w:t>年实际在职人数</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控制率</w:t>
            </w:r>
          </w:p>
        </w:tc>
      </w:tr>
      <w:tr>
        <w:tblPrEx>
          <w:tblCellMar>
            <w:top w:w="0" w:type="dxa"/>
            <w:left w:w="108" w:type="dxa"/>
            <w:bottom w:w="0" w:type="dxa"/>
            <w:right w:w="108" w:type="dxa"/>
          </w:tblCellMar>
        </w:tblPrEx>
        <w:trPr>
          <w:trHeight w:val="425"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p>
        </w:tc>
        <w:tc>
          <w:tcPr>
            <w:tcW w:w="199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rPr>
              <w:t>　</w:t>
            </w:r>
            <w:r>
              <w:rPr>
                <w:rFonts w:hint="eastAsia"/>
                <w:kern w:val="0"/>
                <w:szCs w:val="21"/>
                <w:lang w:val="en-US" w:eastAsia="zh-CN"/>
              </w:rPr>
              <w:t>16</w:t>
            </w:r>
          </w:p>
        </w:tc>
        <w:tc>
          <w:tcPr>
            <w:tcW w:w="20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kern w:val="0"/>
                <w:szCs w:val="21"/>
                <w:lang w:val="en-US" w:eastAsia="zh-CN"/>
              </w:rPr>
              <w:t>16</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lang w:val="en-US" w:eastAsia="zh-CN"/>
              </w:rPr>
              <w:t>100%</w:t>
            </w: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经费控制情况</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kern w:val="0"/>
                <w:szCs w:val="21"/>
                <w:lang w:eastAsia="zh-CN"/>
              </w:rPr>
              <w:t>2021</w:t>
            </w:r>
            <w:r>
              <w:rPr>
                <w:rFonts w:hint="eastAsia" w:ascii="Times New Roman" w:hAnsi="Times New Roman"/>
                <w:kern w:val="0"/>
                <w:szCs w:val="21"/>
              </w:rPr>
              <w:t>年决算数</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kern w:val="0"/>
                <w:szCs w:val="21"/>
                <w:lang w:eastAsia="zh-CN"/>
              </w:rPr>
              <w:t>2021</w:t>
            </w:r>
            <w:r>
              <w:rPr>
                <w:rFonts w:hint="eastAsia" w:ascii="Times New Roman" w:hAnsi="Times New Roman"/>
                <w:kern w:val="0"/>
                <w:szCs w:val="21"/>
              </w:rPr>
              <w:t>年预算数</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ascii="Times New Roman" w:hAnsi="Times New Roman"/>
                <w:kern w:val="0"/>
                <w:szCs w:val="21"/>
              </w:rPr>
              <w:t>20</w:t>
            </w:r>
            <w:r>
              <w:rPr>
                <w:rFonts w:hint="eastAsia"/>
                <w:kern w:val="0"/>
                <w:szCs w:val="21"/>
                <w:lang w:val="en-US" w:eastAsia="zh-CN"/>
              </w:rPr>
              <w:t>20</w:t>
            </w:r>
            <w:r>
              <w:rPr>
                <w:rFonts w:hint="eastAsia" w:ascii="Times New Roman" w:hAnsi="Times New Roman"/>
                <w:kern w:val="0"/>
                <w:szCs w:val="21"/>
              </w:rPr>
              <w:t>年决算数</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一、部门基本支出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329.56</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237.99</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249.38</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其中：</w:t>
            </w:r>
            <w:r>
              <w:rPr>
                <w:rFonts w:ascii="Times New Roman" w:hAnsi="Times New Roman"/>
                <w:kern w:val="0"/>
                <w:szCs w:val="21"/>
              </w:rPr>
              <w:t xml:space="preserve"> 1</w:t>
            </w:r>
            <w:r>
              <w:rPr>
                <w:rFonts w:hint="eastAsia" w:ascii="Times New Roman" w:hAnsi="Times New Roman"/>
                <w:kern w:val="0"/>
                <w:szCs w:val="21"/>
              </w:rPr>
              <w:t>、压缩一般性支出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2、三公经费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r>
              <w:rPr>
                <w:rFonts w:hint="eastAsia"/>
                <w:kern w:val="0"/>
                <w:szCs w:val="21"/>
                <w:lang w:val="en-US" w:eastAsia="zh-CN"/>
              </w:rPr>
              <w:t>0.34</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rPr>
            </w:pPr>
            <w:r>
              <w:rPr>
                <w:rFonts w:hint="eastAsia"/>
                <w:kern w:val="0"/>
                <w:szCs w:val="21"/>
                <w:lang w:val="en-US" w:eastAsia="zh-CN"/>
              </w:rPr>
              <w:t>0.37</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r>
              <w:rPr>
                <w:rFonts w:hint="eastAsia" w:eastAsia="仿宋_GB2312"/>
                <w:kern w:val="0"/>
                <w:szCs w:val="21"/>
                <w:lang w:val="en-US" w:eastAsia="zh-CN"/>
              </w:rPr>
              <w:t>0.32</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公务用车购置和维护经费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其中：公车购置</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公车运行维护</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 xml:space="preserve">   公务接待</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0.34</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0.37</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kern w:val="0"/>
                <w:szCs w:val="21"/>
                <w:lang w:val="en-US" w:eastAsia="zh-CN"/>
              </w:rPr>
              <w:t>0.32</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 xml:space="preserve">   </w:t>
            </w:r>
            <w:r>
              <w:rPr>
                <w:rFonts w:hint="eastAsia" w:ascii="Times New Roman" w:hAnsi="Times New Roman"/>
                <w:kern w:val="0"/>
                <w:szCs w:val="21"/>
              </w:rPr>
              <w:t>出国经费</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hint="eastAsia" w:ascii="Times New Roman" w:hAnsi="Times New Roman"/>
                <w:kern w:val="0"/>
                <w:szCs w:val="21"/>
              </w:rPr>
              <w:t>二、部门项目支出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 xml:space="preserve">  1</w:t>
            </w:r>
            <w:r>
              <w:rPr>
                <w:rFonts w:hint="eastAsia" w:ascii="Times New Roman" w:hAnsi="Times New Roman"/>
                <w:kern w:val="0"/>
                <w:szCs w:val="21"/>
              </w:rPr>
              <w:t>、业务工作专项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仿宋_GB2312"/>
                <w:kern w:val="0"/>
                <w:szCs w:val="21"/>
                <w:lang w:eastAsia="zh-CN"/>
              </w:rPr>
            </w:pP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kern w:val="0"/>
                <w:szCs w:val="21"/>
                <w:lang w:eastAsia="zh-CN"/>
              </w:rPr>
            </w:pP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kern w:val="0"/>
                <w:szCs w:val="21"/>
              </w:rPr>
            </w:pPr>
            <w:r>
              <w:rPr>
                <w:rFonts w:ascii="Times New Roman" w:hAnsi="Times New Roman"/>
                <w:kern w:val="0"/>
                <w:szCs w:val="21"/>
              </w:rPr>
              <w:t xml:space="preserve">  2</w:t>
            </w:r>
            <w:r>
              <w:rPr>
                <w:rFonts w:hint="eastAsia" w:ascii="Times New Roman" w:hAnsi="Times New Roman"/>
                <w:kern w:val="0"/>
                <w:szCs w:val="21"/>
              </w:rPr>
              <w:t>、运行维护专项</w:t>
            </w:r>
            <w:r>
              <w:rPr>
                <w:rFonts w:ascii="Times New Roman" w:hAnsi="Times New Roman"/>
                <w:kern w:val="0"/>
                <w:szCs w:val="21"/>
              </w:rPr>
              <w:t>(</w:t>
            </w:r>
            <w:r>
              <w:rPr>
                <w:rFonts w:hint="eastAsia" w:ascii="Times New Roman" w:hAnsi="Times New Roman"/>
                <w:kern w:val="0"/>
                <w:szCs w:val="21"/>
              </w:rPr>
              <w:t>一个项目一行</w:t>
            </w: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仿宋_GB2312" w:cs="Times New Roman"/>
                <w:kern w:val="0"/>
                <w:sz w:val="21"/>
                <w:szCs w:val="21"/>
                <w:lang w:val="en-US" w:eastAsia="zh-CN" w:bidi="ar-SA"/>
              </w:rPr>
            </w:pP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cs="Times New Roman"/>
                <w:kern w:val="0"/>
                <w:sz w:val="21"/>
                <w:szCs w:val="21"/>
                <w:lang w:val="en-US" w:eastAsia="zh-CN" w:bidi="ar-SA"/>
              </w:rPr>
            </w:pP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kern w:val="0"/>
                <w:sz w:val="21"/>
                <w:szCs w:val="21"/>
                <w:lang w:val="en-US" w:eastAsia="zh-CN" w:bidi="ar-SA"/>
              </w:rPr>
            </w:pPr>
            <w:r>
              <w:rPr>
                <w:rFonts w:ascii="Times New Roman" w:hAnsi="Times New Roman"/>
                <w:kern w:val="0"/>
                <w:szCs w:val="21"/>
              </w:rPr>
              <w:t>3</w:t>
            </w:r>
            <w:r>
              <w:rPr>
                <w:rFonts w:hint="eastAsia" w:ascii="Times New Roman" w:hAnsi="Times New Roman"/>
                <w:kern w:val="0"/>
                <w:szCs w:val="21"/>
              </w:rPr>
              <w:t>、县级专项资金（一个专项一行）</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kern w:val="0"/>
                <w:szCs w:val="21"/>
                <w:lang w:val="en-US" w:eastAsia="zh-CN"/>
              </w:rPr>
              <w:t>111</w:t>
            </w:r>
            <w:r>
              <w:rPr>
                <w:rFonts w:hint="eastAsia" w:ascii="Times New Roman" w:hAnsi="Times New Roman"/>
                <w:kern w:val="0"/>
                <w:szCs w:val="21"/>
              </w:rPr>
              <w:t>　</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70.78</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cs="Times New Roman"/>
                <w:kern w:val="0"/>
                <w:sz w:val="21"/>
                <w:szCs w:val="21"/>
                <w:lang w:val="en-US" w:eastAsia="zh-CN" w:bidi="ar-SA"/>
              </w:rPr>
            </w:pPr>
            <w:r>
              <w:rPr>
                <w:rFonts w:hint="eastAsia" w:ascii="宋体" w:hAnsi="宋体" w:eastAsia="宋体" w:cs="宋体"/>
                <w:kern w:val="0"/>
                <w:szCs w:val="21"/>
                <w:lang w:eastAsia="zh-CN"/>
              </w:rPr>
              <w:t>一般行政管理事务支出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20</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left"/>
              <w:rPr>
                <w:rFonts w:hint="eastAsia" w:ascii="Times New Roman" w:hAnsi="Times New Roman" w:eastAsia="宋体"/>
                <w:kern w:val="0"/>
                <w:szCs w:val="21"/>
                <w:lang w:eastAsia="zh-CN"/>
              </w:rPr>
            </w:pPr>
            <w:r>
              <w:rPr>
                <w:rFonts w:hint="eastAsia"/>
                <w:kern w:val="0"/>
                <w:szCs w:val="21"/>
                <w:lang w:eastAsia="zh-CN"/>
              </w:rPr>
              <w:t>文化旅游和体育传媒支出</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eastAsia="仿宋_GB2312"/>
                <w:kern w:val="0"/>
                <w:szCs w:val="21"/>
                <w:lang w:val="en-US" w:eastAsia="zh-CN"/>
              </w:rPr>
              <w:t>91</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kern w:val="0"/>
                <w:szCs w:val="21"/>
                <w:lang w:val="en-US" w:eastAsia="zh-CN"/>
              </w:rPr>
            </w:pPr>
            <w:r>
              <w:rPr>
                <w:rFonts w:hint="eastAsia" w:eastAsia="仿宋_GB2312"/>
                <w:kern w:val="0"/>
                <w:szCs w:val="21"/>
                <w:lang w:val="en-US" w:eastAsia="zh-CN"/>
              </w:rPr>
              <w:t>70.78</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04" w:firstLineChars="400"/>
              <w:jc w:val="both"/>
              <w:rPr>
                <w:rFonts w:ascii="Times New Roman" w:hAnsi="Times New Roman" w:eastAsia="仿宋_GB2312"/>
                <w:kern w:val="0"/>
                <w:szCs w:val="21"/>
              </w:rPr>
            </w:pPr>
            <w:r>
              <w:rPr>
                <w:rFonts w:ascii="Times New Roman" w:hAnsi="Times New Roman"/>
                <w:kern w:val="0"/>
                <w:szCs w:val="21"/>
              </w:rPr>
              <w:t>……</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kern w:val="0"/>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Cs w:val="21"/>
              </w:rPr>
              <w:t>政府采购金额</w:t>
            </w:r>
          </w:p>
        </w:tc>
        <w:tc>
          <w:tcPr>
            <w:tcW w:w="1991"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Cs w:val="21"/>
              </w:rPr>
              <w:t>　</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Cs w:val="21"/>
              </w:rPr>
              <w:t>　</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kern w:val="0"/>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rPr>
              <w:t>厉行节约保障措施</w:t>
            </w:r>
          </w:p>
        </w:tc>
        <w:tc>
          <w:tcPr>
            <w:tcW w:w="1991" w:type="dxa"/>
            <w:tcBorders>
              <w:top w:val="single" w:color="auto" w:sz="4" w:space="0"/>
              <w:left w:val="nil"/>
              <w:bottom w:val="single" w:color="auto" w:sz="4" w:space="0"/>
              <w:right w:val="single" w:color="000000" w:sz="4" w:space="0"/>
            </w:tcBorders>
            <w:noWrap w:val="0"/>
            <w:vAlign w:val="center"/>
          </w:tcPr>
          <w:p>
            <w:pPr>
              <w:widowControl/>
              <w:numPr>
                <w:ilvl w:val="0"/>
                <w:numId w:val="3"/>
              </w:numPr>
              <w:jc w:val="both"/>
              <w:rPr>
                <w:rFonts w:hint="eastAsia"/>
                <w:kern w:val="0"/>
                <w:szCs w:val="21"/>
                <w:lang w:val="en-US" w:eastAsia="zh-CN"/>
              </w:rPr>
            </w:pPr>
            <w:r>
              <w:rPr>
                <w:rFonts w:hint="eastAsia"/>
                <w:kern w:val="0"/>
                <w:szCs w:val="21"/>
                <w:lang w:val="en-US" w:eastAsia="zh-CN"/>
              </w:rPr>
              <w:t>加强领导，确保节约落到实处。</w:t>
            </w:r>
          </w:p>
          <w:p>
            <w:pPr>
              <w:widowControl/>
              <w:numPr>
                <w:ilvl w:val="0"/>
                <w:numId w:val="3"/>
              </w:numPr>
              <w:jc w:val="both"/>
              <w:rPr>
                <w:rFonts w:ascii="Times New Roman" w:hAnsi="Times New Roman" w:eastAsia="仿宋_GB2312"/>
                <w:kern w:val="0"/>
                <w:szCs w:val="21"/>
              </w:rPr>
            </w:pPr>
            <w:r>
              <w:rPr>
                <w:rFonts w:hint="eastAsia"/>
                <w:kern w:val="0"/>
                <w:szCs w:val="21"/>
                <w:lang w:eastAsia="zh-CN"/>
              </w:rPr>
              <w:t>加强宣传，促进正确观念的树立。</w:t>
            </w:r>
          </w:p>
          <w:p>
            <w:pPr>
              <w:widowControl/>
              <w:numPr>
                <w:ilvl w:val="0"/>
                <w:numId w:val="3"/>
              </w:numPr>
              <w:jc w:val="both"/>
              <w:rPr>
                <w:rFonts w:hint="eastAsia" w:ascii="宋体" w:hAnsi="宋体" w:eastAsia="宋体" w:cs="宋体"/>
                <w:kern w:val="0"/>
                <w:szCs w:val="21"/>
              </w:rPr>
            </w:pPr>
            <w:r>
              <w:rPr>
                <w:rFonts w:hint="eastAsia" w:ascii="宋体" w:hAnsi="宋体" w:eastAsia="宋体" w:cs="宋体"/>
                <w:kern w:val="0"/>
                <w:szCs w:val="21"/>
                <w:lang w:eastAsia="zh-CN"/>
              </w:rPr>
              <w:t>完善机制，确保节约措施的落实。</w:t>
            </w:r>
          </w:p>
          <w:p>
            <w:pPr>
              <w:widowControl/>
              <w:numPr>
                <w:ilvl w:val="0"/>
                <w:numId w:val="3"/>
              </w:numPr>
              <w:jc w:val="both"/>
              <w:rPr>
                <w:rFonts w:hint="default" w:ascii="Times New Roman" w:hAnsi="Times New Roman" w:eastAsia="仿宋_GB2312" w:cs="Times New Roman"/>
                <w:kern w:val="0"/>
                <w:sz w:val="21"/>
                <w:szCs w:val="21"/>
                <w:lang w:val="en-US" w:eastAsia="zh-CN" w:bidi="ar-SA"/>
              </w:rPr>
            </w:pPr>
            <w:r>
              <w:rPr>
                <w:rFonts w:hint="eastAsia" w:ascii="宋体" w:hAnsi="宋体" w:eastAsia="宋体" w:cs="宋体"/>
                <w:kern w:val="0"/>
                <w:szCs w:val="21"/>
                <w:lang w:eastAsia="zh-CN"/>
              </w:rPr>
              <w:t>开展节约的活动，制订节约的具体规定。</w:t>
            </w:r>
          </w:p>
        </w:tc>
        <w:tc>
          <w:tcPr>
            <w:tcW w:w="2057"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s="Times New Roman"/>
                <w:kern w:val="0"/>
                <w:sz w:val="21"/>
                <w:szCs w:val="21"/>
                <w:lang w:val="en-US" w:eastAsia="zh-CN" w:bidi="ar-SA"/>
              </w:rPr>
            </w:pPr>
          </w:p>
        </w:tc>
      </w:tr>
      <w:tr>
        <w:tblPrEx>
          <w:tblCellMar>
            <w:top w:w="0" w:type="dxa"/>
            <w:left w:w="108" w:type="dxa"/>
            <w:bottom w:w="0" w:type="dxa"/>
            <w:right w:w="108" w:type="dxa"/>
          </w:tblCellMar>
        </w:tblPrEx>
        <w:trPr>
          <w:trHeight w:val="929"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kern w:val="0"/>
                <w:szCs w:val="21"/>
              </w:rPr>
            </w:pPr>
          </w:p>
        </w:tc>
        <w:tc>
          <w:tcPr>
            <w:tcW w:w="5757" w:type="dxa"/>
            <w:gridSpan w:val="3"/>
            <w:tcBorders>
              <w:top w:val="single" w:color="auto" w:sz="4" w:space="0"/>
              <w:left w:val="nil"/>
              <w:bottom w:val="single" w:color="auto" w:sz="4" w:space="0"/>
              <w:right w:val="single" w:color="000000" w:sz="4" w:space="0"/>
            </w:tcBorders>
            <w:noWrap w:val="0"/>
            <w:vAlign w:val="center"/>
          </w:tcPr>
          <w:p>
            <w:pPr>
              <w:widowControl/>
              <w:numPr>
                <w:ilvl w:val="0"/>
                <w:numId w:val="0"/>
              </w:numPr>
              <w:jc w:val="both"/>
              <w:rPr>
                <w:rFonts w:ascii="Times New Roman" w:hAnsi="Times New Roman" w:eastAsia="仿宋_GB2312"/>
                <w:kern w:val="0"/>
                <w:szCs w:val="21"/>
              </w:rPr>
            </w:pPr>
          </w:p>
        </w:tc>
      </w:tr>
    </w:tbl>
    <w:p>
      <w:pPr>
        <w:spacing w:before="62" w:beforeLines="20"/>
        <w:rPr>
          <w:rFonts w:hint="eastAsia" w:ascii="Times New Roman" w:hAnsi="Times New Roman"/>
          <w:kern w:val="0"/>
          <w:szCs w:val="22"/>
        </w:rPr>
      </w:pPr>
      <w:r>
        <w:rPr>
          <w:rFonts w:hint="eastAsia" w:ascii="Times New Roman" w:hAnsi="Times New Roman"/>
          <w:kern w:val="0"/>
          <w:szCs w:val="22"/>
        </w:rPr>
        <w:t>说明：</w:t>
      </w:r>
      <w:r>
        <w:rPr>
          <w:rFonts w:ascii="Times New Roman" w:hAnsi="Times New Roman"/>
          <w:kern w:val="0"/>
          <w:szCs w:val="22"/>
        </w:rPr>
        <w:t>“</w:t>
      </w:r>
      <w:r>
        <w:rPr>
          <w:rFonts w:hint="eastAsia" w:ascii="Times New Roman" w:hAnsi="Times New Roman"/>
          <w:kern w:val="0"/>
          <w:szCs w:val="22"/>
        </w:rPr>
        <w:t>公用经费</w:t>
      </w:r>
      <w:r>
        <w:rPr>
          <w:rFonts w:ascii="Times New Roman" w:hAnsi="Times New Roman"/>
          <w:kern w:val="0"/>
          <w:szCs w:val="22"/>
        </w:rPr>
        <w:t>”</w:t>
      </w:r>
      <w:r>
        <w:rPr>
          <w:rFonts w:hint="eastAsia" w:ascii="Times New Roman" w:hAnsi="Times New Roman"/>
          <w:kern w:val="0"/>
          <w:szCs w:val="22"/>
        </w:rPr>
        <w:t>填报基本支出中的一般商品和服务支出；</w:t>
      </w:r>
      <w:r>
        <w:rPr>
          <w:rFonts w:ascii="Times New Roman" w:hAnsi="Times New Roman"/>
          <w:kern w:val="0"/>
          <w:szCs w:val="22"/>
        </w:rPr>
        <w:t>“</w:t>
      </w:r>
      <w:r>
        <w:rPr>
          <w:rFonts w:hint="eastAsia" w:ascii="Times New Roman" w:hAnsi="Times New Roman"/>
          <w:kern w:val="0"/>
          <w:szCs w:val="22"/>
        </w:rPr>
        <w:t>项目支出</w:t>
      </w:r>
      <w:r>
        <w:rPr>
          <w:rFonts w:ascii="Times New Roman" w:hAnsi="Times New Roman"/>
          <w:kern w:val="0"/>
          <w:szCs w:val="22"/>
        </w:rPr>
        <w:t>”</w:t>
      </w:r>
      <w:r>
        <w:rPr>
          <w:rFonts w:hint="eastAsia" w:ascii="Times New Roman" w:hAnsi="Times New Roman"/>
          <w:kern w:val="0"/>
          <w:szCs w:val="22"/>
        </w:rPr>
        <w:t>需要填报基本支出以外的所有项目支出情况，包括业务工作项目、运行维护项目和县级专项资金等。</w:t>
      </w:r>
    </w:p>
    <w:p>
      <w:pPr>
        <w:spacing w:before="156" w:beforeLines="50" w:line="300" w:lineRule="exact"/>
        <w:rPr>
          <w:rFonts w:hint="eastAsia" w:ascii="宋体" w:hAnsi="宋体" w:cs="宋体"/>
          <w:sz w:val="24"/>
        </w:rPr>
      </w:pPr>
      <w:r>
        <w:rPr>
          <w:rFonts w:hint="eastAsia" w:ascii="宋体" w:hAnsi="宋体" w:cs="宋体"/>
          <w:sz w:val="24"/>
        </w:rPr>
        <w:t>填表人：            联系电话：               单位负责人签字：</w:t>
      </w: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spacing w:before="62" w:beforeLines="20"/>
        <w:rPr>
          <w:rFonts w:hint="eastAsia" w:ascii="仿宋_GB2312" w:eastAsia="仿宋_GB2312"/>
          <w:sz w:val="32"/>
          <w:szCs w:val="32"/>
        </w:rPr>
      </w:pPr>
    </w:p>
    <w:p>
      <w:pPr>
        <w:pStyle w:val="2"/>
        <w:rPr>
          <w:rFonts w:hint="eastAsia"/>
        </w:rPr>
      </w:pPr>
    </w:p>
    <w:p>
      <w:pPr>
        <w:spacing w:before="62" w:beforeLines="20"/>
        <w:rPr>
          <w:rFonts w:hint="eastAsia" w:ascii="仿宋_GB2312" w:eastAsia="仿宋_GB2312"/>
          <w:sz w:val="32"/>
          <w:szCs w:val="32"/>
        </w:rPr>
      </w:pPr>
      <w:r>
        <w:rPr>
          <w:rFonts w:hint="eastAsia" w:ascii="仿宋_GB2312" w:eastAsia="仿宋_GB2312"/>
          <w:sz w:val="32"/>
          <w:szCs w:val="32"/>
        </w:rPr>
        <w:t>附件</w:t>
      </w:r>
      <w:r>
        <w:rPr>
          <w:rFonts w:hint="eastAsia" w:ascii="Times New Roman" w:hAnsi="Times New Roman" w:eastAsia="仿宋"/>
          <w:color w:val="000000"/>
          <w:kern w:val="0"/>
          <w:sz w:val="32"/>
          <w:szCs w:val="32"/>
        </w:rPr>
        <w:t xml:space="preserve">1-2 </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部门整体支出绩效自评表</w:t>
      </w:r>
    </w:p>
    <w:p>
      <w:pPr>
        <w:spacing w:line="320" w:lineRule="exact"/>
        <w:jc w:val="center"/>
        <w:rPr>
          <w:rFonts w:ascii="方正小标宋_GBK" w:eastAsia="方正小标宋_GBK"/>
          <w:sz w:val="28"/>
          <w:szCs w:val="28"/>
        </w:rPr>
      </w:pPr>
      <w:r>
        <w:rPr>
          <w:rFonts w:hint="eastAsia" w:ascii="方正小标宋_GBK" w:eastAsia="方正小标宋_GBK"/>
          <w:sz w:val="28"/>
          <w:szCs w:val="28"/>
        </w:rPr>
        <w:t>（</w:t>
      </w:r>
      <w:r>
        <w:rPr>
          <w:rFonts w:hint="eastAsia" w:ascii="方正小标宋_GBK" w:eastAsia="方正小标宋_GBK"/>
          <w:sz w:val="28"/>
          <w:szCs w:val="28"/>
          <w:lang w:val="en-US" w:eastAsia="zh-CN"/>
        </w:rPr>
        <w:t>2021</w:t>
      </w:r>
      <w:r>
        <w:rPr>
          <w:rFonts w:ascii="方正小标宋_GBK" w:eastAsia="方正小标宋_GBK"/>
          <w:sz w:val="28"/>
          <w:szCs w:val="28"/>
        </w:rPr>
        <w:t xml:space="preserve"> </w:t>
      </w:r>
      <w:r>
        <w:rPr>
          <w:rFonts w:hint="eastAsia"/>
          <w:sz w:val="28"/>
          <w:szCs w:val="28"/>
        </w:rPr>
        <w:t>年度</w:t>
      </w:r>
      <w:r>
        <w:rPr>
          <w:rFonts w:hint="eastAsia" w:ascii="方正小标宋_GBK" w:eastAsia="方正小标宋_GBK"/>
          <w:sz w:val="28"/>
          <w:szCs w:val="28"/>
        </w:rPr>
        <w:t>）</w:t>
      </w:r>
    </w:p>
    <w:p>
      <w:pPr>
        <w:spacing w:line="300" w:lineRule="exact"/>
        <w:rPr>
          <w:rFonts w:hint="default" w:ascii="宋体" w:eastAsia="宋体"/>
          <w:sz w:val="24"/>
          <w:lang w:val="en-US" w:eastAsia="zh-CN"/>
        </w:rPr>
      </w:pPr>
      <w:r>
        <w:rPr>
          <w:rFonts w:hint="eastAsia" w:ascii="宋体"/>
          <w:sz w:val="24"/>
        </w:rPr>
        <w:t>填报单位（盖章）：</w:t>
      </w:r>
      <w:r>
        <w:rPr>
          <w:rFonts w:ascii="宋体"/>
          <w:sz w:val="24"/>
        </w:rPr>
        <w:t xml:space="preserve">                             </w:t>
      </w:r>
      <w:r>
        <w:rPr>
          <w:rFonts w:hint="eastAsia" w:ascii="宋体"/>
          <w:sz w:val="24"/>
        </w:rPr>
        <w:t xml:space="preserve"> 填报时间：</w:t>
      </w:r>
      <w:r>
        <w:rPr>
          <w:rFonts w:hint="eastAsia" w:ascii="宋体"/>
          <w:sz w:val="24"/>
          <w:lang w:val="en-US" w:eastAsia="zh-CN"/>
        </w:rPr>
        <w:t>2022-4-20</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193"/>
        <w:gridCol w:w="818"/>
        <w:gridCol w:w="1568"/>
        <w:gridCol w:w="2659"/>
        <w:gridCol w:w="1064"/>
        <w:gridCol w:w="695"/>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45" w:type="dxa"/>
            <w:vMerge w:val="restart"/>
            <w:noWrap w:val="0"/>
            <w:textDirection w:val="tbRlV"/>
            <w:vAlign w:val="center"/>
          </w:tcPr>
          <w:p>
            <w:pPr>
              <w:widowControl/>
              <w:ind w:left="113" w:right="113"/>
              <w:jc w:val="center"/>
              <w:rPr>
                <w:rFonts w:hint="eastAsia" w:ascii="宋体" w:hAnsi="宋体" w:cs="宋体"/>
                <w:color w:val="000000"/>
                <w:kern w:val="0"/>
                <w:sz w:val="28"/>
                <w:szCs w:val="28"/>
              </w:rPr>
            </w:pPr>
            <w:r>
              <w:rPr>
                <w:rFonts w:hint="eastAsia" w:ascii="宋体" w:hAnsi="宋体" w:cs="宋体"/>
                <w:color w:val="000000"/>
                <w:kern w:val="0"/>
                <w:sz w:val="28"/>
                <w:szCs w:val="28"/>
              </w:rPr>
              <w:t>部门资金（万元）</w:t>
            </w:r>
          </w:p>
        </w:tc>
        <w:tc>
          <w:tcPr>
            <w:tcW w:w="1193" w:type="dxa"/>
            <w:noWrap w:val="0"/>
            <w:vAlign w:val="center"/>
          </w:tcPr>
          <w:p>
            <w:pPr>
              <w:widowControl/>
              <w:jc w:val="center"/>
              <w:rPr>
                <w:rFonts w:hint="eastAsia" w:ascii="宋体" w:hAnsi="宋体" w:cs="宋体"/>
                <w:color w:val="000000"/>
                <w:kern w:val="0"/>
                <w:szCs w:val="21"/>
              </w:rPr>
            </w:pPr>
          </w:p>
        </w:tc>
        <w:tc>
          <w:tcPr>
            <w:tcW w:w="8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年初预算数</w:t>
            </w:r>
          </w:p>
        </w:tc>
        <w:tc>
          <w:tcPr>
            <w:tcW w:w="156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全年预算数</w:t>
            </w:r>
          </w:p>
        </w:tc>
        <w:tc>
          <w:tcPr>
            <w:tcW w:w="265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全年执行数</w:t>
            </w:r>
          </w:p>
        </w:tc>
        <w:tc>
          <w:tcPr>
            <w:tcW w:w="106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执行率</w:t>
            </w:r>
          </w:p>
        </w:tc>
        <w:tc>
          <w:tcPr>
            <w:tcW w:w="69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分值</w:t>
            </w:r>
          </w:p>
        </w:tc>
        <w:tc>
          <w:tcPr>
            <w:tcW w:w="669"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5"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1193"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年度资金总额</w:t>
            </w:r>
          </w:p>
        </w:tc>
        <w:tc>
          <w:tcPr>
            <w:tcW w:w="818"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237.99</w:t>
            </w:r>
          </w:p>
        </w:tc>
        <w:tc>
          <w:tcPr>
            <w:tcW w:w="1568"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　</w:t>
            </w:r>
            <w:r>
              <w:rPr>
                <w:rFonts w:hint="eastAsia" w:ascii="宋体" w:hAnsi="宋体" w:cs="宋体"/>
                <w:color w:val="000000"/>
                <w:kern w:val="0"/>
                <w:szCs w:val="21"/>
                <w:lang w:val="en-US" w:eastAsia="zh-CN"/>
              </w:rPr>
              <w:t>329.56</w:t>
            </w:r>
          </w:p>
        </w:tc>
        <w:tc>
          <w:tcPr>
            <w:tcW w:w="2659"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329.56</w:t>
            </w:r>
          </w:p>
        </w:tc>
        <w:tc>
          <w:tcPr>
            <w:tcW w:w="1064"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lang w:val="en-US" w:eastAsia="zh-CN"/>
              </w:rPr>
              <w:t>100%</w:t>
            </w:r>
            <w:r>
              <w:rPr>
                <w:rFonts w:hint="eastAsia" w:ascii="宋体" w:hAnsi="宋体" w:cs="宋体"/>
                <w:color w:val="000000"/>
                <w:kern w:val="0"/>
                <w:szCs w:val="21"/>
              </w:rPr>
              <w:t>　</w:t>
            </w:r>
          </w:p>
        </w:tc>
        <w:tc>
          <w:tcPr>
            <w:tcW w:w="69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669"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5"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3579" w:type="dxa"/>
            <w:gridSpan w:val="3"/>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按收入性质分</w:t>
            </w:r>
          </w:p>
        </w:tc>
        <w:tc>
          <w:tcPr>
            <w:tcW w:w="5087" w:type="dxa"/>
            <w:gridSpan w:val="4"/>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按支出性质分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5"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2011"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其中：一般公共预算</w:t>
            </w:r>
          </w:p>
        </w:tc>
        <w:tc>
          <w:tcPr>
            <w:tcW w:w="1568"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329.56</w:t>
            </w:r>
          </w:p>
        </w:tc>
        <w:tc>
          <w:tcPr>
            <w:tcW w:w="3723"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基本支出</w:t>
            </w:r>
          </w:p>
        </w:tc>
        <w:tc>
          <w:tcPr>
            <w:tcW w:w="1364" w:type="dxa"/>
            <w:gridSpan w:val="2"/>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5"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2011"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政府性基金拨款</w:t>
            </w:r>
          </w:p>
        </w:tc>
        <w:tc>
          <w:tcPr>
            <w:tcW w:w="1568" w:type="dxa"/>
            <w:noWrap w:val="0"/>
            <w:vAlign w:val="center"/>
          </w:tcPr>
          <w:p>
            <w:pPr>
              <w:widowControl/>
              <w:jc w:val="center"/>
              <w:rPr>
                <w:rFonts w:hint="eastAsia" w:ascii="宋体" w:hAnsi="宋体" w:cs="宋体"/>
                <w:color w:val="000000"/>
                <w:kern w:val="0"/>
                <w:szCs w:val="21"/>
              </w:rPr>
            </w:pPr>
          </w:p>
        </w:tc>
        <w:tc>
          <w:tcPr>
            <w:tcW w:w="3723" w:type="dxa"/>
            <w:gridSpan w:val="2"/>
            <w:noWrap w:val="0"/>
            <w:vAlign w:val="center"/>
          </w:tcPr>
          <w:p>
            <w:pPr>
              <w:widowControl/>
              <w:jc w:val="right"/>
              <w:textAlignment w:val="center"/>
              <w:rPr>
                <w:rFonts w:hint="eastAsia" w:ascii="宋体" w:hAnsi="宋体" w:cs="宋体"/>
                <w:color w:val="000000"/>
                <w:kern w:val="0"/>
                <w:szCs w:val="21"/>
              </w:rPr>
            </w:pPr>
            <w:r>
              <w:rPr>
                <w:rFonts w:hint="eastAsia" w:ascii="宋体" w:hAnsi="宋体" w:cs="宋体"/>
                <w:color w:val="000000"/>
                <w:kern w:val="0"/>
                <w:szCs w:val="21"/>
                <w:lang w:bidi="ar"/>
              </w:rPr>
              <w:t>其中：人员经费</w:t>
            </w:r>
          </w:p>
        </w:tc>
        <w:tc>
          <w:tcPr>
            <w:tcW w:w="1364" w:type="dxa"/>
            <w:gridSpan w:val="2"/>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5"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2011"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纳入管理的非税收入拨款</w:t>
            </w:r>
          </w:p>
        </w:tc>
        <w:tc>
          <w:tcPr>
            <w:tcW w:w="156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3723" w:type="dxa"/>
            <w:gridSpan w:val="2"/>
            <w:noWrap w:val="0"/>
            <w:vAlign w:val="center"/>
          </w:tcPr>
          <w:p>
            <w:pPr>
              <w:widowControl/>
              <w:ind w:firstLine="402" w:firstLineChars="200"/>
              <w:jc w:val="right"/>
              <w:textAlignment w:val="center"/>
              <w:rPr>
                <w:rFonts w:hint="eastAsia" w:ascii="宋体" w:hAnsi="宋体" w:cs="宋体"/>
                <w:color w:val="000000"/>
                <w:kern w:val="0"/>
                <w:szCs w:val="21"/>
              </w:rPr>
            </w:pPr>
            <w:r>
              <w:rPr>
                <w:rFonts w:hint="eastAsia" w:ascii="宋体" w:hAnsi="宋体" w:cs="宋体"/>
                <w:color w:val="000000"/>
                <w:kern w:val="0"/>
                <w:szCs w:val="21"/>
                <w:lang w:bidi="ar"/>
              </w:rPr>
              <w:t>公用经费</w:t>
            </w:r>
          </w:p>
        </w:tc>
        <w:tc>
          <w:tcPr>
            <w:tcW w:w="1364" w:type="dxa"/>
            <w:gridSpan w:val="2"/>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5"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2011"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其他资金</w:t>
            </w:r>
          </w:p>
        </w:tc>
        <w:tc>
          <w:tcPr>
            <w:tcW w:w="156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　</w:t>
            </w:r>
          </w:p>
        </w:tc>
        <w:tc>
          <w:tcPr>
            <w:tcW w:w="3723"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项目支出</w:t>
            </w:r>
          </w:p>
        </w:tc>
        <w:tc>
          <w:tcPr>
            <w:tcW w:w="1364" w:type="dxa"/>
            <w:gridSpan w:val="2"/>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45" w:type="dxa"/>
            <w:vMerge w:val="restart"/>
            <w:noWrap w:val="0"/>
            <w:textDirection w:val="tbRlV"/>
            <w:vAlign w:val="center"/>
          </w:tcPr>
          <w:p>
            <w:pPr>
              <w:widowControl/>
              <w:ind w:left="113" w:right="113"/>
              <w:jc w:val="center"/>
              <w:rPr>
                <w:rFonts w:hint="eastAsia" w:ascii="宋体" w:hAnsi="宋体" w:cs="宋体"/>
                <w:color w:val="000000"/>
                <w:kern w:val="0"/>
                <w:sz w:val="28"/>
                <w:szCs w:val="28"/>
              </w:rPr>
            </w:pPr>
            <w:r>
              <w:rPr>
                <w:rFonts w:hint="eastAsia" w:ascii="宋体" w:hAnsi="宋体" w:cs="宋体"/>
                <w:color w:val="000000"/>
                <w:kern w:val="0"/>
                <w:sz w:val="28"/>
                <w:szCs w:val="28"/>
              </w:rPr>
              <w:t>年度总体目标</w:t>
            </w:r>
          </w:p>
        </w:tc>
        <w:tc>
          <w:tcPr>
            <w:tcW w:w="3579" w:type="dxa"/>
            <w:gridSpan w:val="3"/>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年初预期（设定）目标　</w:t>
            </w:r>
          </w:p>
        </w:tc>
        <w:tc>
          <w:tcPr>
            <w:tcW w:w="5087" w:type="dxa"/>
            <w:gridSpan w:val="4"/>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jc w:val="center"/>
        </w:trPr>
        <w:tc>
          <w:tcPr>
            <w:tcW w:w="545" w:type="dxa"/>
            <w:vMerge w:val="continue"/>
            <w:noWrap w:val="0"/>
            <w:textDirection w:val="tbRlV"/>
            <w:vAlign w:val="center"/>
          </w:tcPr>
          <w:p>
            <w:pPr>
              <w:widowControl/>
              <w:ind w:left="113" w:right="113"/>
              <w:jc w:val="left"/>
              <w:rPr>
                <w:rFonts w:hint="eastAsia" w:ascii="宋体" w:hAnsi="宋体" w:cs="宋体"/>
                <w:color w:val="000000"/>
                <w:kern w:val="0"/>
                <w:sz w:val="28"/>
                <w:szCs w:val="28"/>
              </w:rPr>
            </w:pPr>
          </w:p>
        </w:tc>
        <w:tc>
          <w:tcPr>
            <w:tcW w:w="3579" w:type="dxa"/>
            <w:gridSpan w:val="3"/>
            <w:noWrap w:val="0"/>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rPr>
              <w:t>　</w:t>
            </w:r>
            <w:r>
              <w:rPr>
                <w:rFonts w:hint="eastAsia" w:ascii="宋体" w:hAnsi="宋体" w:eastAsia="宋体" w:cs="宋体"/>
                <w:i w:val="0"/>
                <w:iCs w:val="0"/>
                <w:caps w:val="0"/>
                <w:color w:val="333333"/>
                <w:spacing w:val="0"/>
                <w:sz w:val="21"/>
                <w:szCs w:val="21"/>
                <w:shd w:val="clear" w:fill="FFFFFF"/>
              </w:rPr>
              <w:t>提高文化馆运营管理能力和公共服务水平，满足人民群众日益增长的文化需求，推进文化部门所需大型文化场馆向社会免费开放。</w:t>
            </w:r>
          </w:p>
        </w:tc>
        <w:tc>
          <w:tcPr>
            <w:tcW w:w="5087" w:type="dxa"/>
            <w:gridSpan w:val="4"/>
            <w:noWrap w:val="0"/>
            <w:vAlign w:val="center"/>
          </w:tcPr>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在文化事业的发展上，我县以城镇为依托，重点发展农村文化建设，大力开展丰富多彩的群众文化活动，并加强文化基础设施建设。</w:t>
            </w:r>
          </w:p>
          <w:p>
            <w:pPr>
              <w:pStyle w:val="2"/>
              <w:rPr>
                <w:rFonts w:hint="eastAsia" w:eastAsia="宋体"/>
                <w:lang w:eastAsia="zh-CN"/>
              </w:rPr>
            </w:pPr>
            <w:r>
              <w:rPr>
                <w:rFonts w:hint="eastAsia" w:ascii="宋体" w:hAnsi="宋体" w:cs="宋体"/>
                <w:i w:val="0"/>
                <w:iCs w:val="0"/>
                <w:caps w:val="0"/>
                <w:color w:val="333333"/>
                <w:spacing w:val="0"/>
                <w:sz w:val="21"/>
                <w:szCs w:val="21"/>
                <w:shd w:val="clear" w:fill="FFFFFF"/>
                <w:lang w:eastAsia="zh-CN"/>
              </w:rPr>
              <w:t>一、基本情况：</w:t>
            </w:r>
          </w:p>
          <w:p>
            <w:pPr>
              <w:widowControl/>
              <w:ind w:firstLine="402" w:firstLineChars="20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在文化事业的发展上，我县以城镇为依托，重点发展农村文化建设，大力开展丰富多彩的群众文化活动，并加强文化基础设施建设。根据文化队伍的现状，我县各级文化主管部门分级分批分类对全县文化馆、图书馆、乡镇文化站干部以及农村业余文艺骨干、村级文化管理员进行培训。同时，精心指导各地农村挖掘特色文化资源，积极扶持培育农村文化队伍。截止2021年11月，全县文化志愿者团队5个；文化志愿者800余人；文学创作（楹联）队伍3支，160余人；广场舞队1000余人；书法、美术、摄影队伍300余人；文化骨干队伍达到300余人，年开展各类文化活动300余次。</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二、各类公共文化服务群文活动情况：</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为满足城乡群众多层次的精神文化需求，文化馆举办文化惠民形式多样。</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1、1月22日开展“扶贫慰问走访“及“文旅文体惠民送春联“志愿者服务活动。</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2、2月4日，衡南县美术馆开馆。</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3、4月24日，颂歌献给党报名启动仪式。</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4、4月28日 ，庆祝中国共产党成立100周年红色经典美术作品展。</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5、4月29日，文艺创作采风活动。</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6、5月11日“奋进新时代，颂歌献给党”歌手大赛首场海选。</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7、5月13日，防灾减灾系万家，关爱生命靠大家。</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8、5月31日，建党100周年少儿美术书法展。</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9、6月10日，我们的节日——端午。</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10、6月29日，翰墨流霞颂党恩，中国共产党成立100周年美术作</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品展。</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11、7月5日、省、市宣传部部长来我馆调研。</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7月9日县委、县人大、县政协领导来我馆调研。</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13、7月10日，群文创作采风活动。</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14、8月31日，《云集讲坛》第三十五讲摄影知识讲座及摄影作品分享会。</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15、9月22日、衡南县文体广新局肖局长等领导来我馆调研。</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16、9月26日、中秋节下乡走访慰问。</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17、9月27日，创文创卫在行动。</w:t>
            </w:r>
            <w:r>
              <w:rPr>
                <w:rFonts w:hint="eastAsia" w:ascii="宋体" w:hAnsi="宋体" w:eastAsia="宋体" w:cs="宋体"/>
                <w:i w:val="0"/>
                <w:iCs w:val="0"/>
                <w:caps w:val="0"/>
                <w:color w:val="333333"/>
                <w:spacing w:val="0"/>
                <w:sz w:val="21"/>
                <w:szCs w:val="21"/>
                <w:shd w:val="clear" w:fill="FFFFFF"/>
              </w:rPr>
              <w:tab/>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18、9月28日，安全小组来我馆检查安全生产工作。</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19、9月30日，衡南县“浦发银行杯”广场舞大赛海选报名。</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20、9月30日，“九九话重阳，党恩在我心”重阳节活动。</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21、10月9日，县委县政府、县政协、宣传部领导来我馆调研。</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22、10月23日、衡南县“浦发银行杯”广场舞大赛初赛。</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23、10月23日，衡阳市文化局来我馆检查疫情防控工作。</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24、10月24日，“乡”约两会本土文化展示活动第一次。</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25、10月25日，“乡”约两会本土文化展示活动第二次。</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26、10月28日、“初心不忘——瞻仰文化圣殿”船山书院</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27、11月10日，桂林市政协来我馆参观交流。</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28、11月10日，衡南县三中师生来我馆参观。</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29、11月18日，衡南县“浦发银行杯”广场舞大赛决赛。</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30、11月23日，走进常宁市水口山工人运动纪念馆。</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31、11月24日，衡南县残联来馆参观。</w:t>
            </w:r>
          </w:p>
          <w:p>
            <w:pPr>
              <w:widowControl/>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32、11月25日，干部职工组织学习重要电视会议。</w:t>
            </w:r>
          </w:p>
          <w:p>
            <w:pPr>
              <w:widowControl/>
              <w:rPr>
                <w:rFonts w:hint="eastAsia" w:ascii="宋体" w:hAnsi="宋体" w:eastAsia="宋体" w:cs="宋体"/>
                <w:i w:val="0"/>
                <w:iCs w:val="0"/>
                <w:caps w:val="0"/>
                <w:color w:val="333333"/>
                <w:spacing w:val="0"/>
                <w:sz w:val="21"/>
                <w:szCs w:val="21"/>
                <w:shd w:val="clear" w:fill="FFFFFF"/>
              </w:rPr>
            </w:pPr>
          </w:p>
          <w:p>
            <w:pPr>
              <w:pStyle w:val="2"/>
              <w:rPr>
                <w:rFonts w:hint="eastAsia" w:ascii="宋体" w:hAnsi="宋体" w:eastAsia="宋体" w:cs="宋体"/>
                <w:i w:val="0"/>
                <w:iCs w:val="0"/>
                <w:caps w:val="0"/>
                <w:color w:val="333333"/>
                <w:spacing w:val="0"/>
                <w:sz w:val="21"/>
                <w:szCs w:val="21"/>
                <w:shd w:val="clear" w:fill="FFFFFF"/>
              </w:rPr>
            </w:pPr>
          </w:p>
          <w:p>
            <w:pPr>
              <w:pStyle w:val="2"/>
              <w:rPr>
                <w:rFonts w:hint="eastAsia" w:ascii="宋体" w:hAnsi="宋体" w:eastAsia="宋体" w:cs="宋体"/>
                <w:i w:val="0"/>
                <w:iCs w:val="0"/>
                <w:caps w:val="0"/>
                <w:color w:val="333333"/>
                <w:spacing w:val="0"/>
                <w:sz w:val="21"/>
                <w:szCs w:val="21"/>
                <w:shd w:val="clear" w:fill="FFFFFF"/>
              </w:rPr>
            </w:pPr>
          </w:p>
          <w:p>
            <w:pPr>
              <w:pStyle w:val="2"/>
              <w:rPr>
                <w:rFonts w:hint="eastAsia" w:ascii="宋体" w:hAnsi="宋体" w:eastAsia="宋体" w:cs="宋体"/>
                <w:i w:val="0"/>
                <w:iCs w:val="0"/>
                <w:caps w:val="0"/>
                <w:color w:val="333333"/>
                <w:spacing w:val="0"/>
                <w:sz w:val="21"/>
                <w:szCs w:val="21"/>
                <w:shd w:val="clear" w:fill="FFFFFF"/>
              </w:rPr>
            </w:pPr>
          </w:p>
          <w:p>
            <w:pPr>
              <w:pStyle w:val="2"/>
              <w:rPr>
                <w:rFonts w:hint="eastAsia" w:ascii="宋体" w:hAnsi="宋体" w:eastAsia="宋体" w:cs="宋体"/>
                <w:i w:val="0"/>
                <w:iCs w:val="0"/>
                <w:caps w:val="0"/>
                <w:color w:val="333333"/>
                <w:spacing w:val="0"/>
                <w:sz w:val="21"/>
                <w:szCs w:val="21"/>
                <w:shd w:val="clear" w:fill="FFFFFF"/>
              </w:rPr>
            </w:pPr>
          </w:p>
          <w:p>
            <w:pPr>
              <w:widowControl/>
              <w:rPr>
                <w:rFonts w:hint="eastAsia" w:ascii="宋体" w:hAnsi="宋体" w:cs="宋体"/>
                <w:color w:val="000000"/>
                <w:kern w:val="0"/>
                <w:szCs w:val="21"/>
              </w:rPr>
            </w:pPr>
            <w:r>
              <w:rPr>
                <w:rFonts w:hint="eastAsia" w:ascii="宋体" w:hAnsi="宋体" w:cs="宋体"/>
                <w:color w:val="000000"/>
                <w:kern w:val="2"/>
                <w:sz w:val="21"/>
                <w:szCs w:val="21"/>
                <w:lang w:eastAsia="zh-CN"/>
              </w:rPr>
              <w:t xml:space="preserve">                                </w:t>
            </w:r>
            <w:r>
              <w:rPr>
                <w:rFonts w:hint="eastAsia"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545" w:type="dxa"/>
            <w:vMerge w:val="restart"/>
            <w:noWrap w:val="0"/>
            <w:textDirection w:val="tbRlV"/>
            <w:vAlign w:val="center"/>
          </w:tcPr>
          <w:p>
            <w:pPr>
              <w:jc w:val="center"/>
              <w:rPr>
                <w:rFonts w:hint="eastAsia" w:ascii="宋体" w:hAnsi="宋体" w:cs="宋体"/>
                <w:color w:val="000000"/>
                <w:kern w:val="0"/>
                <w:sz w:val="28"/>
                <w:szCs w:val="28"/>
              </w:rPr>
            </w:pPr>
            <w:r>
              <w:rPr>
                <w:rFonts w:hint="eastAsia" w:ascii="宋体" w:hAnsi="宋体" w:cs="宋体"/>
                <w:color w:val="000000"/>
                <w:kern w:val="0"/>
                <w:sz w:val="28"/>
                <w:szCs w:val="28"/>
              </w:rPr>
              <w:t>绩效指标</w:t>
            </w:r>
          </w:p>
        </w:tc>
        <w:tc>
          <w:tcPr>
            <w:tcW w:w="1193"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一级指标</w:t>
            </w:r>
          </w:p>
        </w:tc>
        <w:tc>
          <w:tcPr>
            <w:tcW w:w="818"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二级指标</w:t>
            </w:r>
          </w:p>
        </w:tc>
        <w:tc>
          <w:tcPr>
            <w:tcW w:w="1568"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三级指标　</w:t>
            </w:r>
          </w:p>
        </w:tc>
        <w:tc>
          <w:tcPr>
            <w:tcW w:w="2659"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指标值</w:t>
            </w:r>
          </w:p>
        </w:tc>
        <w:tc>
          <w:tcPr>
            <w:tcW w:w="1064"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完成值</w:t>
            </w:r>
          </w:p>
        </w:tc>
        <w:tc>
          <w:tcPr>
            <w:tcW w:w="695"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分值</w:t>
            </w:r>
          </w:p>
        </w:tc>
        <w:tc>
          <w:tcPr>
            <w:tcW w:w="669"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restart"/>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产出</w:t>
            </w:r>
          </w:p>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w:t>
            </w:r>
          </w:p>
          <w:p>
            <w:pPr>
              <w:widowControl/>
              <w:jc w:val="center"/>
              <w:rPr>
                <w:rFonts w:hint="eastAsia" w:ascii="宋体" w:hAnsi="宋体" w:cs="宋体"/>
                <w:color w:val="000000"/>
                <w:kern w:val="0"/>
                <w:szCs w:val="21"/>
              </w:rPr>
            </w:pPr>
            <w:r>
              <w:rPr>
                <w:rFonts w:hint="eastAsia" w:ascii="宋体" w:hAnsi="宋体" w:cs="宋体"/>
                <w:color w:val="000000"/>
                <w:kern w:val="0"/>
                <w:sz w:val="22"/>
                <w:szCs w:val="22"/>
              </w:rPr>
              <w:t>（50分）</w:t>
            </w:r>
          </w:p>
        </w:tc>
        <w:tc>
          <w:tcPr>
            <w:tcW w:w="818"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数量指标</w:t>
            </w:r>
          </w:p>
        </w:tc>
        <w:tc>
          <w:tcPr>
            <w:tcW w:w="1568" w:type="dxa"/>
            <w:noWrap w:val="0"/>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 w:val="18"/>
                <w:szCs w:val="18"/>
              </w:rPr>
              <w:t>实际财政供养人员数</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16人</w:t>
            </w:r>
          </w:p>
        </w:tc>
        <w:tc>
          <w:tcPr>
            <w:tcW w:w="1064"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16人</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66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rPr>
                <w:rFonts w:hint="eastAsia" w:ascii="宋体" w:hAnsi="宋体" w:cs="宋体"/>
                <w:color w:val="000000"/>
                <w:kern w:val="0"/>
                <w:szCs w:val="21"/>
              </w:rPr>
            </w:pPr>
            <w:r>
              <w:rPr>
                <w:rFonts w:hint="eastAsia" w:ascii="宋体" w:hAnsi="宋体" w:cs="宋体"/>
                <w:color w:val="000000"/>
                <w:kern w:val="0"/>
                <w:sz w:val="18"/>
                <w:szCs w:val="18"/>
              </w:rPr>
              <w:t>部门整体支出预算总额</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329.56</w:t>
            </w:r>
          </w:p>
        </w:tc>
        <w:tc>
          <w:tcPr>
            <w:tcW w:w="1064"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329.56</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66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rPr>
                <w:rFonts w:hint="eastAsia" w:ascii="宋体" w:hAnsi="宋体" w:cs="宋体"/>
                <w:color w:val="000000"/>
                <w:kern w:val="0"/>
                <w:szCs w:val="21"/>
              </w:rPr>
            </w:pPr>
            <w:r>
              <w:rPr>
                <w:rFonts w:hint="eastAsia" w:ascii="宋体" w:cs="宋体"/>
                <w:kern w:val="0"/>
                <w:sz w:val="18"/>
                <w:szCs w:val="18"/>
                <w:lang w:val="en-US" w:eastAsia="zh-CN"/>
              </w:rPr>
              <w:t>接待参观人次</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50000</w:t>
            </w:r>
          </w:p>
        </w:tc>
        <w:tc>
          <w:tcPr>
            <w:tcW w:w="1064"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50000</w:t>
            </w:r>
          </w:p>
        </w:tc>
        <w:tc>
          <w:tcPr>
            <w:tcW w:w="695"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文艺创作辅导情况</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30件</w:t>
            </w:r>
          </w:p>
        </w:tc>
        <w:tc>
          <w:tcPr>
            <w:tcW w:w="1064"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60件</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66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质量指标</w:t>
            </w:r>
          </w:p>
        </w:tc>
        <w:tc>
          <w:tcPr>
            <w:tcW w:w="1568" w:type="dxa"/>
            <w:noWrap w:val="0"/>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lang w:eastAsia="zh-CN"/>
              </w:rPr>
              <w:t>专项完成效果</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提升“两馆”免费开放水平，丰富展陈内涵</w:t>
            </w:r>
          </w:p>
        </w:tc>
        <w:tc>
          <w:tcPr>
            <w:tcW w:w="1064"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66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公用经费控制率</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064"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100</w:t>
            </w:r>
            <w:bookmarkStart w:id="0" w:name="_GoBack"/>
            <w:bookmarkEnd w:id="0"/>
            <w:r>
              <w:rPr>
                <w:rFonts w:hint="eastAsia" w:ascii="宋体" w:hAnsi="宋体" w:cs="宋体"/>
                <w:color w:val="000000"/>
                <w:kern w:val="0"/>
                <w:sz w:val="18"/>
                <w:szCs w:val="18"/>
                <w:lang w:val="en-US" w:eastAsia="zh-CN"/>
              </w:rPr>
              <w:t>%</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66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rPr>
                <w:rFonts w:hint="eastAsia" w:ascii="宋体" w:hAnsi="宋体" w:cs="宋体"/>
                <w:color w:val="000000"/>
                <w:kern w:val="0"/>
                <w:szCs w:val="21"/>
              </w:rPr>
            </w:pPr>
            <w:r>
              <w:rPr>
                <w:rFonts w:hint="eastAsia" w:ascii="宋体" w:cs="宋体"/>
                <w:kern w:val="0"/>
                <w:sz w:val="18"/>
                <w:szCs w:val="18"/>
                <w:lang w:eastAsia="zh-CN"/>
              </w:rPr>
              <w:t>全年预算执行进度</w:t>
            </w:r>
          </w:p>
        </w:tc>
        <w:tc>
          <w:tcPr>
            <w:tcW w:w="2659"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100%</w:t>
            </w:r>
          </w:p>
        </w:tc>
        <w:tc>
          <w:tcPr>
            <w:tcW w:w="1064"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100%</w:t>
            </w:r>
          </w:p>
        </w:tc>
        <w:tc>
          <w:tcPr>
            <w:tcW w:w="695"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时效指标</w:t>
            </w:r>
          </w:p>
        </w:tc>
        <w:tc>
          <w:tcPr>
            <w:tcW w:w="1568" w:type="dxa"/>
            <w:noWrap w:val="0"/>
            <w:vAlign w:val="center"/>
          </w:tcPr>
          <w:p>
            <w:pPr>
              <w:widowControl/>
              <w:rPr>
                <w:rFonts w:hint="eastAsia" w:ascii="宋体" w:hAnsi="宋体" w:eastAsia="宋体" w:cs="宋体"/>
                <w:color w:val="000000"/>
                <w:kern w:val="0"/>
                <w:szCs w:val="21"/>
                <w:lang w:eastAsia="zh-CN"/>
              </w:rPr>
            </w:pPr>
            <w:r>
              <w:rPr>
                <w:rFonts w:hint="eastAsia" w:ascii="宋体" w:cs="宋体"/>
                <w:kern w:val="0"/>
                <w:sz w:val="18"/>
                <w:szCs w:val="18"/>
                <w:lang w:eastAsia="zh-CN"/>
              </w:rPr>
              <w:t>政府采购执行率</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064"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100%</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66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jc w:val="both"/>
              <w:rPr>
                <w:rFonts w:hint="eastAsia" w:ascii="宋体" w:hAnsi="宋体" w:eastAsia="宋体" w:cs="宋体"/>
                <w:color w:val="000000"/>
                <w:kern w:val="0"/>
                <w:sz w:val="18"/>
                <w:szCs w:val="18"/>
                <w:lang w:eastAsia="zh-CN"/>
              </w:rPr>
            </w:pPr>
            <w:r>
              <w:rPr>
                <w:rFonts w:hint="eastAsia" w:ascii="宋体" w:hAnsi="Times New Roman" w:cs="宋体"/>
                <w:kern w:val="0"/>
                <w:sz w:val="18"/>
                <w:szCs w:val="18"/>
                <w:lang w:eastAsia="zh-CN"/>
              </w:rPr>
              <w:t>半年预算执行进度</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064" w:type="dxa"/>
            <w:noWrap w:val="0"/>
            <w:vAlign w:val="center"/>
          </w:tcPr>
          <w:p>
            <w:pPr>
              <w:widowControl/>
              <w:jc w:val="center"/>
              <w:rPr>
                <w:rFonts w:hint="eastAsia" w:ascii="宋体" w:hAnsi="宋体" w:cs="宋体"/>
                <w:color w:val="000000"/>
                <w:kern w:val="0"/>
                <w:sz w:val="21"/>
                <w:szCs w:val="21"/>
              </w:rPr>
            </w:pPr>
            <w:r>
              <w:rPr>
                <w:rFonts w:hint="eastAsia" w:ascii="宋体" w:hAnsi="宋体" w:cs="宋体"/>
                <w:color w:val="000000"/>
                <w:kern w:val="0"/>
                <w:sz w:val="18"/>
                <w:szCs w:val="18"/>
                <w:lang w:val="en-US" w:eastAsia="zh-CN"/>
              </w:rPr>
              <w:t>100%</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66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部门预决算和三公经费预决算信息公开</w:t>
            </w:r>
          </w:p>
        </w:tc>
        <w:tc>
          <w:tcPr>
            <w:tcW w:w="2659"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100%</w:t>
            </w:r>
          </w:p>
        </w:tc>
        <w:tc>
          <w:tcPr>
            <w:tcW w:w="1064"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100%</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66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成本指标</w:t>
            </w:r>
          </w:p>
        </w:tc>
        <w:tc>
          <w:tcPr>
            <w:tcW w:w="1568" w:type="dxa"/>
            <w:noWrap w:val="0"/>
            <w:vAlign w:val="center"/>
          </w:tcPr>
          <w:p>
            <w:pPr>
              <w:widowControl/>
              <w:jc w:val="both"/>
              <w:rPr>
                <w:rFonts w:hint="eastAsia" w:ascii="宋体" w:hAnsi="宋体" w:cs="宋体"/>
                <w:color w:val="000000"/>
                <w:kern w:val="0"/>
                <w:sz w:val="18"/>
                <w:szCs w:val="18"/>
              </w:rPr>
            </w:pPr>
            <w:r>
              <w:rPr>
                <w:rFonts w:hint="eastAsia" w:ascii="宋体" w:cs="宋体"/>
                <w:kern w:val="0"/>
                <w:sz w:val="18"/>
                <w:szCs w:val="18"/>
                <w:lang w:eastAsia="zh-CN"/>
              </w:rPr>
              <w:t>财政拨款收入</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329.56万元</w:t>
            </w:r>
          </w:p>
        </w:tc>
        <w:tc>
          <w:tcPr>
            <w:tcW w:w="1064"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329.56万元</w:t>
            </w:r>
          </w:p>
        </w:tc>
        <w:tc>
          <w:tcPr>
            <w:tcW w:w="695"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kern w:val="0"/>
                <w:sz w:val="18"/>
                <w:szCs w:val="18"/>
              </w:rPr>
              <w:t>工程变更审查</w:t>
            </w:r>
          </w:p>
        </w:tc>
        <w:tc>
          <w:tcPr>
            <w:tcW w:w="265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严格执行</w:t>
            </w:r>
          </w:p>
        </w:tc>
        <w:tc>
          <w:tcPr>
            <w:tcW w:w="1064"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严格执行</w:t>
            </w:r>
          </w:p>
        </w:tc>
        <w:tc>
          <w:tcPr>
            <w:tcW w:w="695"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kern w:val="0"/>
                <w:sz w:val="18"/>
                <w:szCs w:val="18"/>
              </w:rPr>
              <w:t>项目的工程决算</w:t>
            </w:r>
          </w:p>
        </w:tc>
        <w:tc>
          <w:tcPr>
            <w:tcW w:w="265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rPr>
              <w:t>严格执行</w:t>
            </w:r>
          </w:p>
        </w:tc>
        <w:tc>
          <w:tcPr>
            <w:tcW w:w="1064"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严格执行</w:t>
            </w:r>
          </w:p>
        </w:tc>
        <w:tc>
          <w:tcPr>
            <w:tcW w:w="695"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545"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 w:val="28"/>
                <w:szCs w:val="28"/>
              </w:rPr>
              <w:t>绩效指标</w:t>
            </w:r>
          </w:p>
        </w:tc>
        <w:tc>
          <w:tcPr>
            <w:tcW w:w="1193" w:type="dxa"/>
            <w:vMerge w:val="restart"/>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2"/>
                <w:szCs w:val="22"/>
              </w:rPr>
              <w:t>效益</w:t>
            </w:r>
          </w:p>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w:t>
            </w:r>
          </w:p>
          <w:p>
            <w:pPr>
              <w:widowControl/>
              <w:jc w:val="center"/>
              <w:rPr>
                <w:rFonts w:hint="eastAsia" w:ascii="宋体" w:hAnsi="宋体" w:cs="宋体"/>
                <w:color w:val="000000"/>
                <w:kern w:val="0"/>
                <w:szCs w:val="21"/>
              </w:rPr>
            </w:pPr>
            <w:r>
              <w:rPr>
                <w:rFonts w:hint="eastAsia" w:ascii="宋体" w:hAnsi="宋体" w:cs="宋体"/>
                <w:color w:val="000000"/>
                <w:kern w:val="0"/>
                <w:sz w:val="22"/>
                <w:szCs w:val="22"/>
              </w:rPr>
              <w:t>（</w:t>
            </w:r>
            <w:r>
              <w:rPr>
                <w:rFonts w:hint="eastAsia" w:ascii="宋体" w:hAnsi="宋体" w:cs="宋体"/>
                <w:color w:val="000000"/>
                <w:kern w:val="0"/>
                <w:sz w:val="22"/>
                <w:szCs w:val="22"/>
                <w:lang w:val="en-US" w:eastAsia="zh-CN"/>
              </w:rPr>
              <w:t>4</w:t>
            </w:r>
            <w:r>
              <w:rPr>
                <w:rFonts w:hint="eastAsia" w:ascii="宋体" w:hAnsi="宋体" w:cs="宋体"/>
                <w:color w:val="000000"/>
                <w:kern w:val="0"/>
                <w:sz w:val="22"/>
                <w:szCs w:val="22"/>
              </w:rPr>
              <w:t>0分）</w:t>
            </w:r>
          </w:p>
        </w:tc>
        <w:tc>
          <w:tcPr>
            <w:tcW w:w="818"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社会效益指标</w:t>
            </w:r>
          </w:p>
        </w:tc>
        <w:tc>
          <w:tcPr>
            <w:tcW w:w="1568" w:type="dxa"/>
            <w:noWrap w:val="0"/>
            <w:vAlign w:val="center"/>
          </w:tcPr>
          <w:p>
            <w:pPr>
              <w:widowControl/>
              <w:rPr>
                <w:rFonts w:hint="eastAsia" w:ascii="宋体" w:hAnsi="宋体" w:eastAsia="宋体" w:cs="宋体"/>
                <w:color w:val="000000"/>
                <w:kern w:val="0"/>
                <w:sz w:val="18"/>
                <w:szCs w:val="18"/>
              </w:rPr>
            </w:pPr>
            <w:r>
              <w:rPr>
                <w:rFonts w:hint="eastAsia" w:ascii="宋体" w:hAnsi="宋体" w:eastAsia="宋体" w:cs="宋体"/>
                <w:kern w:val="0"/>
                <w:sz w:val="18"/>
                <w:szCs w:val="18"/>
              </w:rPr>
              <w:t>厉行节约</w:t>
            </w:r>
          </w:p>
        </w:tc>
        <w:tc>
          <w:tcPr>
            <w:tcW w:w="2659" w:type="dxa"/>
            <w:noWrap w:val="0"/>
            <w:vAlign w:val="center"/>
          </w:tcPr>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完成</w:t>
            </w:r>
          </w:p>
        </w:tc>
        <w:tc>
          <w:tcPr>
            <w:tcW w:w="1064" w:type="dxa"/>
            <w:noWrap w:val="0"/>
            <w:vAlign w:val="center"/>
          </w:tcPr>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完成</w:t>
            </w:r>
          </w:p>
        </w:tc>
        <w:tc>
          <w:tcPr>
            <w:tcW w:w="695"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exact"/>
          <w:jc w:val="center"/>
        </w:trPr>
        <w:tc>
          <w:tcPr>
            <w:tcW w:w="545" w:type="dxa"/>
            <w:vMerge w:val="continue"/>
            <w:noWrap w:val="0"/>
            <w:vAlign w:val="center"/>
          </w:tcPr>
          <w:p>
            <w:pPr>
              <w:jc w:val="left"/>
              <w:rPr>
                <w:rFonts w:hint="eastAsia" w:ascii="宋体" w:hAnsi="宋体" w:cs="宋体"/>
                <w:color w:val="000000"/>
                <w:kern w:val="0"/>
                <w:szCs w:val="21"/>
              </w:rPr>
            </w:pPr>
          </w:p>
        </w:tc>
        <w:tc>
          <w:tcPr>
            <w:tcW w:w="1193" w:type="dxa"/>
            <w:vMerge w:val="continue"/>
            <w:noWrap w:val="0"/>
            <w:vAlign w:val="center"/>
          </w:tcPr>
          <w:p>
            <w:pPr>
              <w:jc w:val="left"/>
              <w:rPr>
                <w:rFonts w:hint="eastAsia" w:ascii="宋体" w:hAnsi="宋体" w:cs="宋体"/>
                <w:color w:val="000000"/>
                <w:kern w:val="0"/>
                <w:szCs w:val="21"/>
              </w:rPr>
            </w:pPr>
          </w:p>
        </w:tc>
        <w:tc>
          <w:tcPr>
            <w:tcW w:w="818" w:type="dxa"/>
            <w:vMerge w:val="continue"/>
            <w:noWrap w:val="0"/>
            <w:vAlign w:val="center"/>
          </w:tcPr>
          <w:p>
            <w:pPr>
              <w:widowControl/>
              <w:jc w:val="center"/>
              <w:rPr>
                <w:rFonts w:hint="eastAsia" w:ascii="宋体" w:hAnsi="宋体" w:cs="宋体"/>
                <w:color w:val="000000"/>
                <w:kern w:val="0"/>
                <w:szCs w:val="21"/>
              </w:rPr>
            </w:pPr>
          </w:p>
        </w:tc>
        <w:tc>
          <w:tcPr>
            <w:tcW w:w="1568" w:type="dxa"/>
            <w:noWrap w:val="0"/>
            <w:vAlign w:val="center"/>
          </w:tcPr>
          <w:p>
            <w:pPr>
              <w:widowControl/>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吸引更多的观众走进“两馆”，在“两馆”更好的体验衡南县的历史文化。提高政府为全社会提供公共文</w:t>
            </w:r>
          </w:p>
        </w:tc>
        <w:tc>
          <w:tcPr>
            <w:tcW w:w="2659" w:type="dxa"/>
            <w:noWrap w:val="0"/>
            <w:vAlign w:val="center"/>
          </w:tcPr>
          <w:p>
            <w:pPr>
              <w:widowControl/>
              <w:jc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参观人数、媒体报道</w:t>
            </w:r>
          </w:p>
        </w:tc>
        <w:tc>
          <w:tcPr>
            <w:tcW w:w="1064"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吸引更多观众走进“两馆”</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exact"/>
          <w:jc w:val="center"/>
        </w:trPr>
        <w:tc>
          <w:tcPr>
            <w:tcW w:w="545" w:type="dxa"/>
            <w:vMerge w:val="continue"/>
            <w:noWrap w:val="0"/>
            <w:vAlign w:val="center"/>
          </w:tcPr>
          <w:p>
            <w:pPr>
              <w:jc w:val="left"/>
              <w:rPr>
                <w:rFonts w:hint="eastAsia" w:ascii="宋体" w:hAnsi="宋体" w:cs="宋体"/>
                <w:color w:val="000000"/>
                <w:kern w:val="0"/>
                <w:szCs w:val="21"/>
              </w:rPr>
            </w:pPr>
          </w:p>
        </w:tc>
        <w:tc>
          <w:tcPr>
            <w:tcW w:w="1193" w:type="dxa"/>
            <w:vMerge w:val="continue"/>
            <w:noWrap w:val="0"/>
            <w:vAlign w:val="center"/>
          </w:tcPr>
          <w:p>
            <w:pPr>
              <w:jc w:val="left"/>
              <w:rPr>
                <w:rFonts w:hint="eastAsia" w:ascii="宋体" w:hAnsi="宋体" w:cs="宋体"/>
                <w:color w:val="000000"/>
                <w:kern w:val="0"/>
                <w:szCs w:val="21"/>
              </w:rPr>
            </w:pPr>
          </w:p>
        </w:tc>
        <w:tc>
          <w:tcPr>
            <w:tcW w:w="818"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生态效益指标</w:t>
            </w:r>
          </w:p>
        </w:tc>
        <w:tc>
          <w:tcPr>
            <w:tcW w:w="1568" w:type="dxa"/>
            <w:noWrap w:val="0"/>
            <w:vAlign w:val="center"/>
          </w:tcPr>
          <w:p>
            <w:pPr>
              <w:widowControl/>
              <w:rPr>
                <w:rFonts w:hint="eastAsia" w:ascii="宋体" w:hAnsi="宋体" w:cs="宋体"/>
                <w:color w:val="000000"/>
                <w:kern w:val="0"/>
                <w:szCs w:val="21"/>
              </w:rPr>
            </w:pPr>
            <w:r>
              <w:rPr>
                <w:rFonts w:hint="eastAsia" w:ascii="宋体" w:hAnsi="宋体" w:cs="宋体"/>
                <w:color w:val="000000"/>
                <w:kern w:val="0"/>
                <w:sz w:val="18"/>
                <w:szCs w:val="18"/>
                <w:lang w:val="en-US" w:eastAsia="zh-CN"/>
              </w:rPr>
              <w:t>宣传和传承中国历史文化，开展爱国主义教育。</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100%</w:t>
            </w:r>
          </w:p>
        </w:tc>
        <w:tc>
          <w:tcPr>
            <w:tcW w:w="1064"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98%</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rPr>
                <w:rFonts w:hint="eastAsia" w:ascii="宋体" w:hAnsi="宋体" w:eastAsia="宋体" w:cs="宋体"/>
                <w:color w:val="000000"/>
                <w:kern w:val="0"/>
                <w:szCs w:val="21"/>
                <w:lang w:eastAsia="zh-CN"/>
              </w:rPr>
            </w:pPr>
            <w:r>
              <w:rPr>
                <w:rFonts w:hint="eastAsia" w:ascii="宋体" w:hAnsi="宋体" w:cs="宋体"/>
                <w:color w:val="000000"/>
                <w:kern w:val="0"/>
                <w:sz w:val="18"/>
                <w:szCs w:val="18"/>
                <w:lang w:eastAsia="zh-CN"/>
              </w:rPr>
              <w:t>各项宣传、教育指标达标</w:t>
            </w:r>
          </w:p>
        </w:tc>
        <w:tc>
          <w:tcPr>
            <w:tcW w:w="2659"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100%</w:t>
            </w:r>
          </w:p>
        </w:tc>
        <w:tc>
          <w:tcPr>
            <w:tcW w:w="1064" w:type="dxa"/>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98%</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66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restart"/>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可持续影响指标</w:t>
            </w:r>
          </w:p>
        </w:tc>
        <w:tc>
          <w:tcPr>
            <w:tcW w:w="1568" w:type="dxa"/>
            <w:noWrap w:val="0"/>
            <w:vAlign w:val="center"/>
          </w:tcPr>
          <w:p>
            <w:pPr>
              <w:widowControl/>
              <w:spacing w:line="280" w:lineRule="exac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教育功能</w:t>
            </w:r>
          </w:p>
        </w:tc>
        <w:tc>
          <w:tcPr>
            <w:tcW w:w="2659" w:type="dxa"/>
            <w:noWrap w:val="0"/>
            <w:vAlign w:val="center"/>
          </w:tcPr>
          <w:p>
            <w:pPr>
              <w:widowControl/>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有利于完善我县现代国民教育体系和履行教育功能</w:t>
            </w:r>
          </w:p>
        </w:tc>
        <w:tc>
          <w:tcPr>
            <w:tcW w:w="1064"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95%</w:t>
            </w:r>
          </w:p>
        </w:tc>
        <w:tc>
          <w:tcPr>
            <w:tcW w:w="695"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vMerge w:val="continue"/>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spacing w:line="280" w:lineRule="exac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社会价值</w:t>
            </w:r>
          </w:p>
        </w:tc>
        <w:tc>
          <w:tcPr>
            <w:tcW w:w="2659" w:type="dxa"/>
            <w:noWrap w:val="0"/>
            <w:vAlign w:val="center"/>
          </w:tcPr>
          <w:p>
            <w:pPr>
              <w:widowControl/>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有利于发挥“两馆”作为公益文化机构的社会责任</w:t>
            </w:r>
          </w:p>
        </w:tc>
        <w:tc>
          <w:tcPr>
            <w:tcW w:w="1064" w:type="dxa"/>
            <w:noWrap w:val="0"/>
            <w:vAlign w:val="center"/>
          </w:tcPr>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val="en-US" w:eastAsia="zh-CN"/>
              </w:rPr>
              <w:t>98%</w:t>
            </w:r>
          </w:p>
        </w:tc>
        <w:tc>
          <w:tcPr>
            <w:tcW w:w="695"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noWrap w:val="0"/>
            <w:vAlign w:val="center"/>
          </w:tcPr>
          <w:p>
            <w:pPr>
              <w:widowControl/>
              <w:jc w:val="left"/>
              <w:rPr>
                <w:rFonts w:hint="eastAsia" w:ascii="宋体" w:hAnsi="宋体" w:cs="宋体"/>
                <w:color w:val="000000"/>
                <w:kern w:val="0"/>
                <w:szCs w:val="21"/>
              </w:rPr>
            </w:pPr>
          </w:p>
        </w:tc>
        <w:tc>
          <w:tcPr>
            <w:tcW w:w="818" w:type="dxa"/>
            <w:vMerge w:val="continue"/>
            <w:noWrap w:val="0"/>
            <w:vAlign w:val="center"/>
          </w:tcPr>
          <w:p>
            <w:pPr>
              <w:widowControl/>
              <w:jc w:val="left"/>
              <w:rPr>
                <w:rFonts w:hint="eastAsia" w:ascii="宋体" w:hAnsi="宋体" w:cs="宋体"/>
                <w:color w:val="000000"/>
                <w:kern w:val="0"/>
                <w:szCs w:val="21"/>
              </w:rPr>
            </w:pPr>
          </w:p>
        </w:tc>
        <w:tc>
          <w:tcPr>
            <w:tcW w:w="1568" w:type="dxa"/>
            <w:noWrap w:val="0"/>
            <w:vAlign w:val="center"/>
          </w:tcPr>
          <w:p>
            <w:pPr>
              <w:widowControl/>
              <w:spacing w:line="280" w:lineRule="exac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宣传推广</w:t>
            </w:r>
          </w:p>
        </w:tc>
        <w:tc>
          <w:tcPr>
            <w:tcW w:w="2659" w:type="dxa"/>
            <w:noWrap w:val="0"/>
            <w:vAlign w:val="center"/>
          </w:tcPr>
          <w:p>
            <w:pPr>
              <w:widowControl/>
              <w:jc w:val="left"/>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有利于加强我县文化交流和中华民族优秀文化的宣传推广</w:t>
            </w:r>
          </w:p>
        </w:tc>
        <w:tc>
          <w:tcPr>
            <w:tcW w:w="1064" w:type="dxa"/>
            <w:noWrap w:val="0"/>
            <w:vAlign w:val="center"/>
          </w:tcPr>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val="en-US" w:eastAsia="zh-CN"/>
              </w:rPr>
              <w:t>98%</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66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545" w:type="dxa"/>
            <w:vMerge w:val="continue"/>
            <w:noWrap w:val="0"/>
            <w:vAlign w:val="center"/>
          </w:tcPr>
          <w:p>
            <w:pPr>
              <w:widowControl/>
              <w:jc w:val="left"/>
              <w:rPr>
                <w:rFonts w:hint="eastAsia" w:ascii="宋体" w:hAnsi="宋体" w:cs="宋体"/>
                <w:color w:val="000000"/>
                <w:kern w:val="0"/>
                <w:szCs w:val="21"/>
              </w:rPr>
            </w:pPr>
          </w:p>
        </w:tc>
        <w:tc>
          <w:tcPr>
            <w:tcW w:w="1193" w:type="dxa"/>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满意度</w:t>
            </w:r>
          </w:p>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指标</w:t>
            </w:r>
          </w:p>
          <w:p>
            <w:pPr>
              <w:widowControl/>
              <w:jc w:val="center"/>
              <w:rPr>
                <w:rFonts w:hint="eastAsia" w:ascii="宋体" w:hAnsi="宋体" w:cs="宋体"/>
                <w:color w:val="000000"/>
                <w:kern w:val="0"/>
                <w:szCs w:val="21"/>
              </w:rPr>
            </w:pPr>
            <w:r>
              <w:rPr>
                <w:rFonts w:hint="eastAsia" w:ascii="宋体" w:hAnsi="宋体" w:cs="宋体"/>
                <w:color w:val="000000"/>
                <w:kern w:val="0"/>
                <w:sz w:val="22"/>
                <w:szCs w:val="22"/>
              </w:rPr>
              <w:t>（10分）</w:t>
            </w:r>
          </w:p>
        </w:tc>
        <w:tc>
          <w:tcPr>
            <w:tcW w:w="818"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社会公众或服务对象满意度指标</w:t>
            </w:r>
          </w:p>
        </w:tc>
        <w:tc>
          <w:tcPr>
            <w:tcW w:w="1568" w:type="dxa"/>
            <w:noWrap w:val="0"/>
            <w:vAlign w:val="center"/>
          </w:tcPr>
          <w:p>
            <w:pPr>
              <w:widowControl/>
              <w:rPr>
                <w:rFonts w:hint="eastAsia" w:ascii="宋体" w:hAnsi="宋体" w:eastAsia="宋体" w:cs="宋体"/>
                <w:color w:val="000000"/>
                <w:kern w:val="0"/>
                <w:sz w:val="18"/>
                <w:szCs w:val="18"/>
                <w:lang w:val="en-US" w:eastAsia="zh-CN"/>
              </w:rPr>
            </w:pPr>
            <w:r>
              <w:rPr>
                <w:rFonts w:hint="eastAsia" w:ascii="宋体" w:hAnsi="宋体" w:cs="宋体"/>
                <w:kern w:val="0"/>
                <w:sz w:val="18"/>
                <w:szCs w:val="18"/>
                <w:lang w:eastAsia="zh-CN"/>
              </w:rPr>
              <w:t>参观群众满意度</w:t>
            </w:r>
          </w:p>
        </w:tc>
        <w:tc>
          <w:tcPr>
            <w:tcW w:w="2659"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观众留言、观众满意度调查表</w:t>
            </w:r>
          </w:p>
        </w:tc>
        <w:tc>
          <w:tcPr>
            <w:tcW w:w="1064"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95%</w:t>
            </w:r>
          </w:p>
        </w:tc>
        <w:tc>
          <w:tcPr>
            <w:tcW w:w="695" w:type="dxa"/>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669" w:type="dxa"/>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6" w:type="dxa"/>
            <w:gridSpan w:val="3"/>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综合评定等级</w:t>
            </w:r>
          </w:p>
        </w:tc>
        <w:tc>
          <w:tcPr>
            <w:tcW w:w="1568" w:type="dxa"/>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优</w:t>
            </w:r>
          </w:p>
        </w:tc>
        <w:tc>
          <w:tcPr>
            <w:tcW w:w="3723" w:type="dxa"/>
            <w:gridSpan w:val="2"/>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总  分</w:t>
            </w:r>
          </w:p>
        </w:tc>
        <w:tc>
          <w:tcPr>
            <w:tcW w:w="695" w:type="dxa"/>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100</w:t>
            </w:r>
          </w:p>
        </w:tc>
        <w:tc>
          <w:tcPr>
            <w:tcW w:w="669" w:type="dxa"/>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45" w:type="dxa"/>
            <w:vMerge w:val="restart"/>
            <w:noWrap w:val="0"/>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 w:val="28"/>
                <w:szCs w:val="28"/>
              </w:rPr>
              <w:t>说明</w:t>
            </w:r>
          </w:p>
        </w:tc>
        <w:tc>
          <w:tcPr>
            <w:tcW w:w="3579" w:type="dxa"/>
            <w:gridSpan w:val="3"/>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偏差及原因分析</w:t>
            </w:r>
          </w:p>
        </w:tc>
        <w:tc>
          <w:tcPr>
            <w:tcW w:w="5087" w:type="dxa"/>
            <w:gridSpan w:val="4"/>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545" w:type="dxa"/>
            <w:vMerge w:val="continue"/>
            <w:noWrap w:val="0"/>
            <w:vAlign w:val="center"/>
          </w:tcPr>
          <w:p>
            <w:pPr>
              <w:widowControl/>
              <w:jc w:val="center"/>
            </w:pPr>
          </w:p>
        </w:tc>
        <w:tc>
          <w:tcPr>
            <w:tcW w:w="3579" w:type="dxa"/>
            <w:gridSpan w:val="3"/>
            <w:noWrap w:val="0"/>
            <w:vAlign w:val="top"/>
          </w:tcPr>
          <w:p>
            <w:pPr>
              <w:widowControl/>
              <w:jc w:val="both"/>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1、服务水平亟待提高。</w:t>
            </w:r>
          </w:p>
          <w:p>
            <w:pPr>
              <w:widowControl/>
              <w:jc w:val="both"/>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2、文化设施仍需完善。</w:t>
            </w:r>
          </w:p>
          <w:p>
            <w:pPr>
              <w:widowControl/>
              <w:jc w:val="both"/>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3、文化精品较为欠缺。</w:t>
            </w:r>
          </w:p>
          <w:p>
            <w:pPr>
              <w:widowControl/>
              <w:jc w:val="both"/>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4、专业人才严重匮乏。</w:t>
            </w:r>
          </w:p>
          <w:p>
            <w:pPr>
              <w:widowControl/>
              <w:jc w:val="both"/>
              <w:rPr>
                <w:rFonts w:hint="default"/>
                <w:lang w:val="en-US" w:eastAsia="zh-CN"/>
              </w:rPr>
            </w:pPr>
            <w:r>
              <w:rPr>
                <w:rFonts w:hint="eastAsia" w:ascii="宋体" w:hAnsi="宋体" w:cs="宋体"/>
                <w:color w:val="000000"/>
                <w:kern w:val="0"/>
                <w:szCs w:val="21"/>
                <w:lang w:val="en-US" w:eastAsia="zh-CN"/>
              </w:rPr>
              <w:t>5、资金投入缺口较大。</w:t>
            </w:r>
          </w:p>
        </w:tc>
        <w:tc>
          <w:tcPr>
            <w:tcW w:w="5087" w:type="dxa"/>
            <w:gridSpan w:val="4"/>
            <w:noWrap w:val="0"/>
            <w:vAlign w:val="top"/>
          </w:tcPr>
          <w:p>
            <w:pPr>
              <w:widowControl/>
              <w:jc w:val="both"/>
              <w:rPr>
                <w:rFonts w:hint="eastAsia" w:ascii="宋体" w:hAnsi="宋体" w:eastAsia="仿宋" w:cs="宋体"/>
                <w:color w:val="000000"/>
                <w:kern w:val="0"/>
                <w:szCs w:val="21"/>
                <w:lang w:val="en-US" w:eastAsia="zh-CN"/>
              </w:rPr>
            </w:pPr>
            <w:r>
              <w:rPr>
                <w:rFonts w:hint="eastAsia" w:ascii="宋体" w:hAnsi="宋体" w:cs="宋体"/>
                <w:color w:val="000000"/>
                <w:kern w:val="0"/>
                <w:szCs w:val="21"/>
                <w:lang w:val="en-US" w:eastAsia="zh-CN"/>
              </w:rPr>
              <w:t>改进措施：1、加大投入，加快公共文化服务设施建设。2、创新方式，促进公共文化服务均等化。3、精心组织，丰富城乡群众文化生活。4、大力培训，切实加强文化人才队伍建设。</w:t>
            </w:r>
          </w:p>
        </w:tc>
      </w:tr>
    </w:tbl>
    <w:p>
      <w:pPr>
        <w:spacing w:before="312" w:beforeLines="100" w:line="300" w:lineRule="exact"/>
        <w:rPr>
          <w:rFonts w:hint="eastAsia" w:ascii="宋体" w:hAnsi="宋体" w:cs="宋体"/>
          <w:sz w:val="24"/>
        </w:rPr>
      </w:pPr>
      <w:r>
        <w:rPr>
          <w:rFonts w:hint="eastAsia" w:ascii="宋体" w:hAnsi="宋体" w:cs="宋体"/>
          <w:sz w:val="22"/>
          <w:szCs w:val="22"/>
        </w:rPr>
        <w:t>填表人：              联系电话：                 单位负责人签字</w:t>
      </w:r>
      <w:r>
        <w:rPr>
          <w:rFonts w:hint="eastAsia" w:ascii="宋体" w:hAnsi="宋体" w:cs="宋体"/>
          <w:sz w:val="24"/>
        </w:rPr>
        <w:t>：</w:t>
      </w:r>
    </w:p>
    <w:p>
      <w:pPr>
        <w:spacing w:line="300" w:lineRule="exact"/>
        <w:rPr>
          <w:rFonts w:hint="eastAsia" w:ascii="仿宋_GB2312" w:hAnsi="仿宋_GB2312" w:eastAsia="仿宋_GB2312" w:cs="仿宋_GB2312"/>
          <w:sz w:val="24"/>
        </w:rPr>
      </w:pP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说明：1.评价等级分为优秀（S≥90）、良好（90＞S≥80）、较差（80＞S≥60）、 </w:t>
      </w: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差（S＜60）</w:t>
      </w:r>
      <w:r>
        <w:rPr>
          <w:rFonts w:hint="eastAsia" w:eastAsia="仿宋_GB2312"/>
          <w:sz w:val="24"/>
        </w:rPr>
        <w:t>。</w:t>
      </w:r>
    </w:p>
    <w:p>
      <w:pPr>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2.三级绩效指标按需自行增减行。不涉及的二级指标可删除不要。</w:t>
      </w:r>
    </w:p>
    <w:p>
      <w:pPr>
        <w:spacing w:before="156" w:beforeLines="50"/>
        <w:rPr>
          <w:rFonts w:hint="eastAsia" w:ascii="仿宋_GB2312" w:hAnsi="宋体" w:eastAsia="仿宋_GB2312" w:cs="宋体"/>
          <w:kern w:val="0"/>
          <w:szCs w:val="21"/>
        </w:rPr>
      </w:pPr>
    </w:p>
    <w:p>
      <w:pPr>
        <w:spacing w:line="600" w:lineRule="exact"/>
        <w:ind w:firstLine="542" w:firstLineChars="200"/>
        <w:rPr>
          <w:rFonts w:hint="eastAsia" w:asciiTheme="minorEastAsia" w:hAnsiTheme="minorEastAsia" w:eastAsiaTheme="minorEastAsia" w:cstheme="minorEastAsia"/>
          <w:sz w:val="28"/>
          <w:szCs w:val="28"/>
          <w:lang w:val="en-US" w:eastAsia="zh-CN"/>
        </w:rPr>
      </w:pPr>
    </w:p>
    <w:p>
      <w:pPr>
        <w:spacing w:line="600" w:lineRule="exact"/>
        <w:ind w:firstLine="542" w:firstLineChars="200"/>
        <w:rPr>
          <w:rFonts w:hint="eastAsia" w:asciiTheme="minorEastAsia" w:hAnsiTheme="minorEastAsia" w:eastAsiaTheme="minorEastAsia" w:cstheme="minorEastAsia"/>
          <w:sz w:val="28"/>
          <w:szCs w:val="28"/>
          <w:lang w:val="en-US" w:eastAsia="zh-CN"/>
        </w:rPr>
      </w:pPr>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18</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94E74"/>
    <w:multiLevelType w:val="singleLevel"/>
    <w:tmpl w:val="97694E74"/>
    <w:lvl w:ilvl="0" w:tentative="0">
      <w:start w:val="1"/>
      <w:numFmt w:val="chineseCounting"/>
      <w:suff w:val="nothing"/>
      <w:lvlText w:val="（%1）"/>
      <w:lvlJc w:val="left"/>
      <w:rPr>
        <w:rFonts w:hint="eastAsia"/>
      </w:rPr>
    </w:lvl>
  </w:abstractNum>
  <w:abstractNum w:abstractNumId="1">
    <w:nsid w:val="D0EC07E9"/>
    <w:multiLevelType w:val="singleLevel"/>
    <w:tmpl w:val="D0EC07E9"/>
    <w:lvl w:ilvl="0" w:tentative="0">
      <w:start w:val="1"/>
      <w:numFmt w:val="decimal"/>
      <w:suff w:val="nothing"/>
      <w:lvlText w:val="%1、"/>
      <w:lvlJc w:val="left"/>
    </w:lvl>
  </w:abstractNum>
  <w:abstractNum w:abstractNumId="2">
    <w:nsid w:val="24080A0A"/>
    <w:multiLevelType w:val="multilevel"/>
    <w:tmpl w:val="24080A0A"/>
    <w:lvl w:ilvl="0" w:tentative="0">
      <w:start w:val="1"/>
      <w:numFmt w:val="japaneseCounting"/>
      <w:lvlText w:val="%1、"/>
      <w:lvlJc w:val="left"/>
      <w:pPr>
        <w:ind w:left="1340" w:hanging="720"/>
      </w:pPr>
      <w:rPr>
        <w:rFonts w:hint="default"/>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843C7"/>
    <w:rsid w:val="00014E6E"/>
    <w:rsid w:val="00050D1D"/>
    <w:rsid w:val="00073D55"/>
    <w:rsid w:val="000C0358"/>
    <w:rsid w:val="000D369C"/>
    <w:rsid w:val="000D6FF6"/>
    <w:rsid w:val="00144823"/>
    <w:rsid w:val="0014763C"/>
    <w:rsid w:val="001C6A45"/>
    <w:rsid w:val="001D0712"/>
    <w:rsid w:val="00201244"/>
    <w:rsid w:val="00201531"/>
    <w:rsid w:val="0022488F"/>
    <w:rsid w:val="002328D0"/>
    <w:rsid w:val="002363C3"/>
    <w:rsid w:val="00255F32"/>
    <w:rsid w:val="002615B4"/>
    <w:rsid w:val="002668AA"/>
    <w:rsid w:val="00283BBB"/>
    <w:rsid w:val="002A5B65"/>
    <w:rsid w:val="002C3F4C"/>
    <w:rsid w:val="002C670C"/>
    <w:rsid w:val="002D50A5"/>
    <w:rsid w:val="002D577F"/>
    <w:rsid w:val="002E0BD9"/>
    <w:rsid w:val="002E0C96"/>
    <w:rsid w:val="002F0A30"/>
    <w:rsid w:val="003067DC"/>
    <w:rsid w:val="003143C5"/>
    <w:rsid w:val="00356230"/>
    <w:rsid w:val="00361B4E"/>
    <w:rsid w:val="003B6FC5"/>
    <w:rsid w:val="003D2B7D"/>
    <w:rsid w:val="003D4EA3"/>
    <w:rsid w:val="00406C45"/>
    <w:rsid w:val="00441580"/>
    <w:rsid w:val="004530A5"/>
    <w:rsid w:val="00460B27"/>
    <w:rsid w:val="004807E9"/>
    <w:rsid w:val="004F19B8"/>
    <w:rsid w:val="005129BF"/>
    <w:rsid w:val="00523D2A"/>
    <w:rsid w:val="00524457"/>
    <w:rsid w:val="0053174A"/>
    <w:rsid w:val="0055792B"/>
    <w:rsid w:val="005B343B"/>
    <w:rsid w:val="005D0F55"/>
    <w:rsid w:val="005E5320"/>
    <w:rsid w:val="00603C1B"/>
    <w:rsid w:val="00604693"/>
    <w:rsid w:val="00635442"/>
    <w:rsid w:val="00666085"/>
    <w:rsid w:val="00673270"/>
    <w:rsid w:val="00680E6F"/>
    <w:rsid w:val="0068448B"/>
    <w:rsid w:val="006C1FD1"/>
    <w:rsid w:val="006C2306"/>
    <w:rsid w:val="006E55AC"/>
    <w:rsid w:val="0070610E"/>
    <w:rsid w:val="00722E44"/>
    <w:rsid w:val="00730832"/>
    <w:rsid w:val="007416F1"/>
    <w:rsid w:val="00760862"/>
    <w:rsid w:val="00774704"/>
    <w:rsid w:val="007F2790"/>
    <w:rsid w:val="008A740B"/>
    <w:rsid w:val="00975263"/>
    <w:rsid w:val="00985826"/>
    <w:rsid w:val="009B3FCE"/>
    <w:rsid w:val="009B5053"/>
    <w:rsid w:val="009D72BC"/>
    <w:rsid w:val="009F3291"/>
    <w:rsid w:val="00A026CB"/>
    <w:rsid w:val="00A34793"/>
    <w:rsid w:val="00A4488B"/>
    <w:rsid w:val="00A5434A"/>
    <w:rsid w:val="00A71002"/>
    <w:rsid w:val="00A76F36"/>
    <w:rsid w:val="00A839FB"/>
    <w:rsid w:val="00AD27F1"/>
    <w:rsid w:val="00B4596F"/>
    <w:rsid w:val="00B8341F"/>
    <w:rsid w:val="00B843C7"/>
    <w:rsid w:val="00C03295"/>
    <w:rsid w:val="00C3144D"/>
    <w:rsid w:val="00C41DC4"/>
    <w:rsid w:val="00C476AF"/>
    <w:rsid w:val="00C55887"/>
    <w:rsid w:val="00C65C25"/>
    <w:rsid w:val="00C755C6"/>
    <w:rsid w:val="00C94CE2"/>
    <w:rsid w:val="00CD568F"/>
    <w:rsid w:val="00CD72BC"/>
    <w:rsid w:val="00CE1683"/>
    <w:rsid w:val="00D31D11"/>
    <w:rsid w:val="00DA3C02"/>
    <w:rsid w:val="00DB4976"/>
    <w:rsid w:val="00DB52C0"/>
    <w:rsid w:val="00DC2177"/>
    <w:rsid w:val="00E069E5"/>
    <w:rsid w:val="00E2418F"/>
    <w:rsid w:val="00E42011"/>
    <w:rsid w:val="00E728E2"/>
    <w:rsid w:val="00EA046D"/>
    <w:rsid w:val="00F03755"/>
    <w:rsid w:val="00F31FD4"/>
    <w:rsid w:val="00F43D48"/>
    <w:rsid w:val="00F47795"/>
    <w:rsid w:val="00F6233F"/>
    <w:rsid w:val="00F97A85"/>
    <w:rsid w:val="00FD5133"/>
    <w:rsid w:val="00FE49EB"/>
    <w:rsid w:val="00FF1A55"/>
    <w:rsid w:val="00FF7B91"/>
    <w:rsid w:val="016D47C9"/>
    <w:rsid w:val="0182165A"/>
    <w:rsid w:val="018F288D"/>
    <w:rsid w:val="01900359"/>
    <w:rsid w:val="01AA435B"/>
    <w:rsid w:val="01DA290A"/>
    <w:rsid w:val="02686B2D"/>
    <w:rsid w:val="026F3E10"/>
    <w:rsid w:val="02781EBE"/>
    <w:rsid w:val="029D33DC"/>
    <w:rsid w:val="02B36958"/>
    <w:rsid w:val="02BE0B3D"/>
    <w:rsid w:val="02C01B9F"/>
    <w:rsid w:val="035C4D5F"/>
    <w:rsid w:val="038B058F"/>
    <w:rsid w:val="03F35D1F"/>
    <w:rsid w:val="03FD14BE"/>
    <w:rsid w:val="040626E8"/>
    <w:rsid w:val="040A27EA"/>
    <w:rsid w:val="047E65A4"/>
    <w:rsid w:val="048A6E37"/>
    <w:rsid w:val="04D3335E"/>
    <w:rsid w:val="05034D5D"/>
    <w:rsid w:val="050701AB"/>
    <w:rsid w:val="05767D3B"/>
    <w:rsid w:val="05DA2490"/>
    <w:rsid w:val="060275FD"/>
    <w:rsid w:val="060F6E75"/>
    <w:rsid w:val="07095BF8"/>
    <w:rsid w:val="073D0E36"/>
    <w:rsid w:val="074A2DEA"/>
    <w:rsid w:val="075B43C1"/>
    <w:rsid w:val="08434F52"/>
    <w:rsid w:val="087D1E0A"/>
    <w:rsid w:val="08A729AF"/>
    <w:rsid w:val="08EB6C4F"/>
    <w:rsid w:val="09173578"/>
    <w:rsid w:val="092051BC"/>
    <w:rsid w:val="095E2CD1"/>
    <w:rsid w:val="09F16EA8"/>
    <w:rsid w:val="0A173A74"/>
    <w:rsid w:val="0A3C40D6"/>
    <w:rsid w:val="0A462A4D"/>
    <w:rsid w:val="0A912DAF"/>
    <w:rsid w:val="0B1408C1"/>
    <w:rsid w:val="0B8A0F1D"/>
    <w:rsid w:val="0BA00BD8"/>
    <w:rsid w:val="0BB00AFE"/>
    <w:rsid w:val="0BB87D06"/>
    <w:rsid w:val="0BE11B92"/>
    <w:rsid w:val="0C103EDA"/>
    <w:rsid w:val="0C2159CB"/>
    <w:rsid w:val="0C517911"/>
    <w:rsid w:val="0C52219D"/>
    <w:rsid w:val="0CA6599C"/>
    <w:rsid w:val="0CFB518F"/>
    <w:rsid w:val="0D0F1CBB"/>
    <w:rsid w:val="0D5D17CB"/>
    <w:rsid w:val="0D7254BF"/>
    <w:rsid w:val="0DCD0581"/>
    <w:rsid w:val="0DFF2C91"/>
    <w:rsid w:val="0E226322"/>
    <w:rsid w:val="0E3057C1"/>
    <w:rsid w:val="0E821359"/>
    <w:rsid w:val="0F5D017B"/>
    <w:rsid w:val="0F635E61"/>
    <w:rsid w:val="0FC62AE9"/>
    <w:rsid w:val="0FD415FA"/>
    <w:rsid w:val="106F0E5F"/>
    <w:rsid w:val="1077625D"/>
    <w:rsid w:val="109B53FF"/>
    <w:rsid w:val="111F088F"/>
    <w:rsid w:val="113E5D8A"/>
    <w:rsid w:val="11476806"/>
    <w:rsid w:val="11E1762C"/>
    <w:rsid w:val="12753A2E"/>
    <w:rsid w:val="132D60B6"/>
    <w:rsid w:val="13472D07"/>
    <w:rsid w:val="1370286E"/>
    <w:rsid w:val="13B247C1"/>
    <w:rsid w:val="13FB546D"/>
    <w:rsid w:val="14B71108"/>
    <w:rsid w:val="1503001E"/>
    <w:rsid w:val="150F3CA7"/>
    <w:rsid w:val="15891CCA"/>
    <w:rsid w:val="159308FB"/>
    <w:rsid w:val="159E2D1B"/>
    <w:rsid w:val="15DB6F44"/>
    <w:rsid w:val="15FE136C"/>
    <w:rsid w:val="16097C3A"/>
    <w:rsid w:val="16230541"/>
    <w:rsid w:val="164D68EE"/>
    <w:rsid w:val="16B47B76"/>
    <w:rsid w:val="16B50174"/>
    <w:rsid w:val="16B73C96"/>
    <w:rsid w:val="16CB72FE"/>
    <w:rsid w:val="171B0B8E"/>
    <w:rsid w:val="181C3419"/>
    <w:rsid w:val="18604080"/>
    <w:rsid w:val="19032410"/>
    <w:rsid w:val="19063B32"/>
    <w:rsid w:val="19115E65"/>
    <w:rsid w:val="19B20ADD"/>
    <w:rsid w:val="19BC55BD"/>
    <w:rsid w:val="19F26A0B"/>
    <w:rsid w:val="1AB5556E"/>
    <w:rsid w:val="1ABC5844"/>
    <w:rsid w:val="1AEF6A73"/>
    <w:rsid w:val="1B965F4E"/>
    <w:rsid w:val="1BB53C13"/>
    <w:rsid w:val="1C551466"/>
    <w:rsid w:val="1CC60963"/>
    <w:rsid w:val="1CF64B09"/>
    <w:rsid w:val="1D440587"/>
    <w:rsid w:val="1DEC60F3"/>
    <w:rsid w:val="1E29579F"/>
    <w:rsid w:val="1E7A3316"/>
    <w:rsid w:val="1EC56A78"/>
    <w:rsid w:val="1EEC40F1"/>
    <w:rsid w:val="1F2C09AC"/>
    <w:rsid w:val="1FF24652"/>
    <w:rsid w:val="1FF757EC"/>
    <w:rsid w:val="20235F80"/>
    <w:rsid w:val="203120D9"/>
    <w:rsid w:val="203F1257"/>
    <w:rsid w:val="204C0723"/>
    <w:rsid w:val="205B2C83"/>
    <w:rsid w:val="2081662F"/>
    <w:rsid w:val="209F3794"/>
    <w:rsid w:val="21043305"/>
    <w:rsid w:val="210F5AE3"/>
    <w:rsid w:val="21417B2B"/>
    <w:rsid w:val="21B26026"/>
    <w:rsid w:val="21C055A7"/>
    <w:rsid w:val="21C97858"/>
    <w:rsid w:val="21DD2C53"/>
    <w:rsid w:val="22893B7C"/>
    <w:rsid w:val="236C2C8F"/>
    <w:rsid w:val="23784FA1"/>
    <w:rsid w:val="237B40AF"/>
    <w:rsid w:val="23CF073A"/>
    <w:rsid w:val="23E05115"/>
    <w:rsid w:val="23E80BCD"/>
    <w:rsid w:val="24216770"/>
    <w:rsid w:val="2429670D"/>
    <w:rsid w:val="24432C28"/>
    <w:rsid w:val="24822706"/>
    <w:rsid w:val="24E56458"/>
    <w:rsid w:val="24E95010"/>
    <w:rsid w:val="25524889"/>
    <w:rsid w:val="255511FD"/>
    <w:rsid w:val="25D17A6D"/>
    <w:rsid w:val="26105170"/>
    <w:rsid w:val="27BE69B4"/>
    <w:rsid w:val="27C85858"/>
    <w:rsid w:val="27D635F6"/>
    <w:rsid w:val="282C384C"/>
    <w:rsid w:val="283820C1"/>
    <w:rsid w:val="28494B67"/>
    <w:rsid w:val="287005CD"/>
    <w:rsid w:val="289A7777"/>
    <w:rsid w:val="28BD6F54"/>
    <w:rsid w:val="28DF57AF"/>
    <w:rsid w:val="28EF0649"/>
    <w:rsid w:val="291235BE"/>
    <w:rsid w:val="291F0508"/>
    <w:rsid w:val="29480176"/>
    <w:rsid w:val="29602183"/>
    <w:rsid w:val="29A47436"/>
    <w:rsid w:val="2A2E3E15"/>
    <w:rsid w:val="2A2F5948"/>
    <w:rsid w:val="2A850EF0"/>
    <w:rsid w:val="2AA35184"/>
    <w:rsid w:val="2B0049F0"/>
    <w:rsid w:val="2B1A0168"/>
    <w:rsid w:val="2B9E7FC8"/>
    <w:rsid w:val="2BA00B21"/>
    <w:rsid w:val="2BBB3A07"/>
    <w:rsid w:val="2BBC32E1"/>
    <w:rsid w:val="2C3768EE"/>
    <w:rsid w:val="2C491F06"/>
    <w:rsid w:val="2C4A1610"/>
    <w:rsid w:val="2C794298"/>
    <w:rsid w:val="2CD954D3"/>
    <w:rsid w:val="2D6A01DB"/>
    <w:rsid w:val="2DAB2B85"/>
    <w:rsid w:val="2DBA67A6"/>
    <w:rsid w:val="2E2418FE"/>
    <w:rsid w:val="2E4200BD"/>
    <w:rsid w:val="2E7F7FCF"/>
    <w:rsid w:val="2F1720D2"/>
    <w:rsid w:val="2F697751"/>
    <w:rsid w:val="2F7306AC"/>
    <w:rsid w:val="2F8B3642"/>
    <w:rsid w:val="2FA76993"/>
    <w:rsid w:val="2FF8219F"/>
    <w:rsid w:val="2FFA3109"/>
    <w:rsid w:val="308E5F44"/>
    <w:rsid w:val="30B0385E"/>
    <w:rsid w:val="31172473"/>
    <w:rsid w:val="311F021B"/>
    <w:rsid w:val="31412A24"/>
    <w:rsid w:val="31596978"/>
    <w:rsid w:val="31692558"/>
    <w:rsid w:val="316D1AE5"/>
    <w:rsid w:val="319E392E"/>
    <w:rsid w:val="31BD5071"/>
    <w:rsid w:val="32BF59DF"/>
    <w:rsid w:val="32FF69F4"/>
    <w:rsid w:val="330C4EAE"/>
    <w:rsid w:val="33601B46"/>
    <w:rsid w:val="33714570"/>
    <w:rsid w:val="338342C7"/>
    <w:rsid w:val="34233967"/>
    <w:rsid w:val="34621C0C"/>
    <w:rsid w:val="347E6F9C"/>
    <w:rsid w:val="34917010"/>
    <w:rsid w:val="349C4BC4"/>
    <w:rsid w:val="34E06479"/>
    <w:rsid w:val="350651EE"/>
    <w:rsid w:val="351574A3"/>
    <w:rsid w:val="354B3F67"/>
    <w:rsid w:val="355D4D38"/>
    <w:rsid w:val="35731BF7"/>
    <w:rsid w:val="3592207D"/>
    <w:rsid w:val="36355906"/>
    <w:rsid w:val="36723C5D"/>
    <w:rsid w:val="371B5060"/>
    <w:rsid w:val="37834FBC"/>
    <w:rsid w:val="37DE0AE7"/>
    <w:rsid w:val="38194E53"/>
    <w:rsid w:val="381C20D2"/>
    <w:rsid w:val="3820629B"/>
    <w:rsid w:val="382B498B"/>
    <w:rsid w:val="3907572F"/>
    <w:rsid w:val="397A0196"/>
    <w:rsid w:val="39DC305B"/>
    <w:rsid w:val="39FC40D1"/>
    <w:rsid w:val="3A45399A"/>
    <w:rsid w:val="3ABE4A8F"/>
    <w:rsid w:val="3AC069B8"/>
    <w:rsid w:val="3B3B5506"/>
    <w:rsid w:val="3C414629"/>
    <w:rsid w:val="3C681C18"/>
    <w:rsid w:val="3D925DB4"/>
    <w:rsid w:val="3DB559E9"/>
    <w:rsid w:val="3DCA6C39"/>
    <w:rsid w:val="3E06414B"/>
    <w:rsid w:val="3ECA434E"/>
    <w:rsid w:val="3ED46E35"/>
    <w:rsid w:val="3F3F49F4"/>
    <w:rsid w:val="40BF1951"/>
    <w:rsid w:val="40FE2CBD"/>
    <w:rsid w:val="412B5AE1"/>
    <w:rsid w:val="414A7CB0"/>
    <w:rsid w:val="419C3990"/>
    <w:rsid w:val="41B425DB"/>
    <w:rsid w:val="41CC12CD"/>
    <w:rsid w:val="41E9698F"/>
    <w:rsid w:val="41FD496E"/>
    <w:rsid w:val="41FD6B3B"/>
    <w:rsid w:val="41FF2D77"/>
    <w:rsid w:val="42211C4D"/>
    <w:rsid w:val="42465772"/>
    <w:rsid w:val="428B37A5"/>
    <w:rsid w:val="42AA1E8B"/>
    <w:rsid w:val="43037EF5"/>
    <w:rsid w:val="4331610D"/>
    <w:rsid w:val="43724DEA"/>
    <w:rsid w:val="43822EC7"/>
    <w:rsid w:val="43B6162D"/>
    <w:rsid w:val="43E63353"/>
    <w:rsid w:val="44513178"/>
    <w:rsid w:val="448371E1"/>
    <w:rsid w:val="449648D1"/>
    <w:rsid w:val="456B517C"/>
    <w:rsid w:val="4588349D"/>
    <w:rsid w:val="45D347BC"/>
    <w:rsid w:val="468A7ACF"/>
    <w:rsid w:val="469A65B3"/>
    <w:rsid w:val="469D4663"/>
    <w:rsid w:val="469E66AC"/>
    <w:rsid w:val="46CA23FA"/>
    <w:rsid w:val="46D46743"/>
    <w:rsid w:val="47E14B18"/>
    <w:rsid w:val="47F2608A"/>
    <w:rsid w:val="480C5CBF"/>
    <w:rsid w:val="48276F9D"/>
    <w:rsid w:val="489408B0"/>
    <w:rsid w:val="49064E04"/>
    <w:rsid w:val="49772965"/>
    <w:rsid w:val="49FC4875"/>
    <w:rsid w:val="4A6E5C87"/>
    <w:rsid w:val="4AA069D5"/>
    <w:rsid w:val="4AA20A4B"/>
    <w:rsid w:val="4ADC1AE3"/>
    <w:rsid w:val="4AF8025B"/>
    <w:rsid w:val="4B7B7DAF"/>
    <w:rsid w:val="4B9D29BD"/>
    <w:rsid w:val="4BBE132D"/>
    <w:rsid w:val="4BD07EA3"/>
    <w:rsid w:val="4CAD7BFD"/>
    <w:rsid w:val="4CEE387C"/>
    <w:rsid w:val="4D1D2D31"/>
    <w:rsid w:val="4D5D054B"/>
    <w:rsid w:val="4D746C37"/>
    <w:rsid w:val="4DA07EEF"/>
    <w:rsid w:val="4E0847DF"/>
    <w:rsid w:val="4E491EA4"/>
    <w:rsid w:val="4E5A3E96"/>
    <w:rsid w:val="4E8A64EF"/>
    <w:rsid w:val="4E90480D"/>
    <w:rsid w:val="4F3A2A60"/>
    <w:rsid w:val="4F620B20"/>
    <w:rsid w:val="50210D71"/>
    <w:rsid w:val="50676F1C"/>
    <w:rsid w:val="50A875E4"/>
    <w:rsid w:val="50D55950"/>
    <w:rsid w:val="50F26E4A"/>
    <w:rsid w:val="50F86586"/>
    <w:rsid w:val="51D04CBB"/>
    <w:rsid w:val="52154D19"/>
    <w:rsid w:val="522E140F"/>
    <w:rsid w:val="524C793A"/>
    <w:rsid w:val="524F15CA"/>
    <w:rsid w:val="527602C7"/>
    <w:rsid w:val="528024FB"/>
    <w:rsid w:val="52C601B8"/>
    <w:rsid w:val="52D516EA"/>
    <w:rsid w:val="52D82E91"/>
    <w:rsid w:val="53391695"/>
    <w:rsid w:val="53475734"/>
    <w:rsid w:val="53554C77"/>
    <w:rsid w:val="539107AA"/>
    <w:rsid w:val="546E7189"/>
    <w:rsid w:val="54B54D6E"/>
    <w:rsid w:val="55292492"/>
    <w:rsid w:val="5556655C"/>
    <w:rsid w:val="55794BB0"/>
    <w:rsid w:val="55A16646"/>
    <w:rsid w:val="55AC0926"/>
    <w:rsid w:val="55B633D5"/>
    <w:rsid w:val="56855C04"/>
    <w:rsid w:val="56943826"/>
    <w:rsid w:val="5698059B"/>
    <w:rsid w:val="570D55B0"/>
    <w:rsid w:val="575A7A25"/>
    <w:rsid w:val="577B0FE1"/>
    <w:rsid w:val="579951E3"/>
    <w:rsid w:val="57D13DA7"/>
    <w:rsid w:val="580132D4"/>
    <w:rsid w:val="585C48B5"/>
    <w:rsid w:val="587742C9"/>
    <w:rsid w:val="594159E5"/>
    <w:rsid w:val="594A300B"/>
    <w:rsid w:val="594F1868"/>
    <w:rsid w:val="598A0401"/>
    <w:rsid w:val="599C01FB"/>
    <w:rsid w:val="59CA63B4"/>
    <w:rsid w:val="5A973B2D"/>
    <w:rsid w:val="5AC16FAC"/>
    <w:rsid w:val="5AD30440"/>
    <w:rsid w:val="5AFB7C62"/>
    <w:rsid w:val="5AFD51A0"/>
    <w:rsid w:val="5B3122F6"/>
    <w:rsid w:val="5BE544C8"/>
    <w:rsid w:val="5C2F7698"/>
    <w:rsid w:val="5C491ADD"/>
    <w:rsid w:val="5C713B4F"/>
    <w:rsid w:val="5CB564CD"/>
    <w:rsid w:val="5CF827DC"/>
    <w:rsid w:val="5DB3182C"/>
    <w:rsid w:val="5DB52CAF"/>
    <w:rsid w:val="5DD20FA9"/>
    <w:rsid w:val="5DD24E5D"/>
    <w:rsid w:val="5DFB347F"/>
    <w:rsid w:val="5E427AE5"/>
    <w:rsid w:val="5E5105E9"/>
    <w:rsid w:val="5E6455DA"/>
    <w:rsid w:val="5E8C5954"/>
    <w:rsid w:val="5EE749B5"/>
    <w:rsid w:val="5F775FC8"/>
    <w:rsid w:val="5FC15FDD"/>
    <w:rsid w:val="5FD1017A"/>
    <w:rsid w:val="60517F12"/>
    <w:rsid w:val="605C4699"/>
    <w:rsid w:val="60B50314"/>
    <w:rsid w:val="60EF5D26"/>
    <w:rsid w:val="617373C8"/>
    <w:rsid w:val="6199344A"/>
    <w:rsid w:val="619F0DCC"/>
    <w:rsid w:val="61DD0548"/>
    <w:rsid w:val="63291AF7"/>
    <w:rsid w:val="638E0D2E"/>
    <w:rsid w:val="63C86B61"/>
    <w:rsid w:val="64175CC0"/>
    <w:rsid w:val="6418534C"/>
    <w:rsid w:val="6466112E"/>
    <w:rsid w:val="64A07F8B"/>
    <w:rsid w:val="64A27C08"/>
    <w:rsid w:val="64CC201F"/>
    <w:rsid w:val="64DA7699"/>
    <w:rsid w:val="64E046DE"/>
    <w:rsid w:val="65127F2D"/>
    <w:rsid w:val="659F3559"/>
    <w:rsid w:val="65BF03BD"/>
    <w:rsid w:val="65FD1943"/>
    <w:rsid w:val="66435A22"/>
    <w:rsid w:val="66452B66"/>
    <w:rsid w:val="667B7134"/>
    <w:rsid w:val="66AE5D2F"/>
    <w:rsid w:val="66DE2AC5"/>
    <w:rsid w:val="671874F1"/>
    <w:rsid w:val="67363BB0"/>
    <w:rsid w:val="673E5EF5"/>
    <w:rsid w:val="67694D5A"/>
    <w:rsid w:val="67B52E73"/>
    <w:rsid w:val="680B4A81"/>
    <w:rsid w:val="68764CAD"/>
    <w:rsid w:val="694E5D13"/>
    <w:rsid w:val="6A9A68A9"/>
    <w:rsid w:val="6B1102D6"/>
    <w:rsid w:val="6B5F13AB"/>
    <w:rsid w:val="6B64183C"/>
    <w:rsid w:val="6BAD2468"/>
    <w:rsid w:val="6C0646E9"/>
    <w:rsid w:val="6C4A5890"/>
    <w:rsid w:val="6C4E1F68"/>
    <w:rsid w:val="6CD40BF2"/>
    <w:rsid w:val="6CEC0CBD"/>
    <w:rsid w:val="6D1E00BF"/>
    <w:rsid w:val="6E354D6A"/>
    <w:rsid w:val="6E5451BE"/>
    <w:rsid w:val="6ECD0EE2"/>
    <w:rsid w:val="6ECE37AB"/>
    <w:rsid w:val="6EFB7F68"/>
    <w:rsid w:val="6F346B32"/>
    <w:rsid w:val="6F8C03BF"/>
    <w:rsid w:val="6FAE1B92"/>
    <w:rsid w:val="6FC24A2C"/>
    <w:rsid w:val="6FED2124"/>
    <w:rsid w:val="705B5FDB"/>
    <w:rsid w:val="70906E2E"/>
    <w:rsid w:val="70DA4A8B"/>
    <w:rsid w:val="712958B8"/>
    <w:rsid w:val="717B4FE0"/>
    <w:rsid w:val="71B077E3"/>
    <w:rsid w:val="71BD011D"/>
    <w:rsid w:val="71C65D1B"/>
    <w:rsid w:val="71CA611F"/>
    <w:rsid w:val="7274142B"/>
    <w:rsid w:val="72863049"/>
    <w:rsid w:val="72874010"/>
    <w:rsid w:val="72CC0DA8"/>
    <w:rsid w:val="72D47780"/>
    <w:rsid w:val="733F4028"/>
    <w:rsid w:val="737C578B"/>
    <w:rsid w:val="74466692"/>
    <w:rsid w:val="74C70755"/>
    <w:rsid w:val="74DF6386"/>
    <w:rsid w:val="75146BA9"/>
    <w:rsid w:val="751766E8"/>
    <w:rsid w:val="76334EBF"/>
    <w:rsid w:val="76433C09"/>
    <w:rsid w:val="768838EB"/>
    <w:rsid w:val="77437C26"/>
    <w:rsid w:val="77457AF1"/>
    <w:rsid w:val="77741FFB"/>
    <w:rsid w:val="77A86F6D"/>
    <w:rsid w:val="77BD0544"/>
    <w:rsid w:val="77E25534"/>
    <w:rsid w:val="7804209D"/>
    <w:rsid w:val="780D0478"/>
    <w:rsid w:val="78DB2711"/>
    <w:rsid w:val="78F82C73"/>
    <w:rsid w:val="79030169"/>
    <w:rsid w:val="7904476E"/>
    <w:rsid w:val="79136370"/>
    <w:rsid w:val="79336CA0"/>
    <w:rsid w:val="79422037"/>
    <w:rsid w:val="79507852"/>
    <w:rsid w:val="795409C4"/>
    <w:rsid w:val="796F62A7"/>
    <w:rsid w:val="7A560C0A"/>
    <w:rsid w:val="7A9748A9"/>
    <w:rsid w:val="7AA93CE3"/>
    <w:rsid w:val="7AED122F"/>
    <w:rsid w:val="7B3867F0"/>
    <w:rsid w:val="7B6A5130"/>
    <w:rsid w:val="7B7A71C1"/>
    <w:rsid w:val="7B7C16FF"/>
    <w:rsid w:val="7BD0195D"/>
    <w:rsid w:val="7C380996"/>
    <w:rsid w:val="7C500572"/>
    <w:rsid w:val="7D3B12C2"/>
    <w:rsid w:val="7D422777"/>
    <w:rsid w:val="7D7062C0"/>
    <w:rsid w:val="7D782718"/>
    <w:rsid w:val="7D9F3364"/>
    <w:rsid w:val="7DA1776C"/>
    <w:rsid w:val="7DB56B06"/>
    <w:rsid w:val="7DD34175"/>
    <w:rsid w:val="7E4F5AC0"/>
    <w:rsid w:val="7E555498"/>
    <w:rsid w:val="7E65175D"/>
    <w:rsid w:val="7E933D3D"/>
    <w:rsid w:val="7EDA1DAE"/>
    <w:rsid w:val="7F6F2B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1"/>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sz w:val="18"/>
      <w:szCs w:val="18"/>
    </w:rPr>
  </w:style>
  <w:style w:type="paragraph" w:styleId="3">
    <w:name w:val="annotation text"/>
    <w:basedOn w:val="1"/>
    <w:link w:val="18"/>
    <w:qFormat/>
    <w:uiPriority w:val="99"/>
    <w:pPr>
      <w:jc w:val="left"/>
    </w:pPr>
    <w:rPr>
      <w:rFonts w:asciiTheme="minorHAnsi" w:hAnsiTheme="minorHAnsi" w:eastAsiaTheme="minorEastAsia"/>
      <w:sz w:val="24"/>
    </w:rPr>
  </w:style>
  <w:style w:type="paragraph" w:styleId="4">
    <w:name w:val="Body Text"/>
    <w:basedOn w:val="1"/>
    <w:link w:val="19"/>
    <w:qFormat/>
    <w:uiPriority w:val="99"/>
    <w:rPr>
      <w:rFonts w:asciiTheme="minorHAnsi" w:hAnsiTheme="minorHAnsi" w:eastAsiaTheme="minorEastAsia"/>
      <w:sz w:val="24"/>
    </w:rPr>
  </w:style>
  <w:style w:type="paragraph" w:styleId="5">
    <w:name w:val="Plain Text"/>
    <w:basedOn w:val="1"/>
    <w:qFormat/>
    <w:uiPriority w:val="0"/>
    <w:rPr>
      <w:rFonts w:ascii="宋体" w:hAnsi="Courier New" w:cs="Courier New"/>
      <w:szCs w:val="21"/>
    </w:rPr>
  </w:style>
  <w:style w:type="paragraph" w:styleId="6">
    <w:name w:val="Balloon Text"/>
    <w:basedOn w:val="1"/>
    <w:link w:val="20"/>
    <w:semiHidden/>
    <w:qFormat/>
    <w:uiPriority w:val="99"/>
    <w:rPr>
      <w:rFonts w:asciiTheme="minorHAnsi" w:hAnsiTheme="minorHAnsi" w:eastAsiaTheme="minorEastAsia" w:cstheme="minorBidi"/>
      <w:sz w:val="16"/>
      <w:szCs w:val="16"/>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rPr>
  </w:style>
  <w:style w:type="character" w:styleId="13">
    <w:name w:val="page number"/>
    <w:basedOn w:val="11"/>
    <w:qFormat/>
    <w:uiPriority w:val="99"/>
    <w:rPr>
      <w:rFonts w:cs="Times New Roman"/>
    </w:rPr>
  </w:style>
  <w:style w:type="character" w:styleId="14">
    <w:name w:val="Emphasis"/>
    <w:basedOn w:val="11"/>
    <w:qFormat/>
    <w:uiPriority w:val="0"/>
    <w:rPr>
      <w:i/>
      <w:iCs/>
    </w:rPr>
  </w:style>
  <w:style w:type="character" w:styleId="15">
    <w:name w:val="annotation reference"/>
    <w:basedOn w:val="11"/>
    <w:qFormat/>
    <w:uiPriority w:val="99"/>
    <w:rPr>
      <w:rFonts w:cs="Times New Roman"/>
      <w:sz w:val="21"/>
      <w:szCs w:val="21"/>
    </w:rPr>
  </w:style>
  <w:style w:type="character" w:customStyle="1" w:styleId="16">
    <w:name w:val="页眉 Char"/>
    <w:basedOn w:val="11"/>
    <w:link w:val="8"/>
    <w:qFormat/>
    <w:uiPriority w:val="99"/>
    <w:rPr>
      <w:sz w:val="18"/>
      <w:szCs w:val="18"/>
    </w:rPr>
  </w:style>
  <w:style w:type="character" w:customStyle="1" w:styleId="17">
    <w:name w:val="页脚 Char"/>
    <w:basedOn w:val="11"/>
    <w:link w:val="7"/>
    <w:qFormat/>
    <w:uiPriority w:val="99"/>
    <w:rPr>
      <w:sz w:val="18"/>
      <w:szCs w:val="18"/>
    </w:rPr>
  </w:style>
  <w:style w:type="character" w:customStyle="1" w:styleId="18">
    <w:name w:val="批注文字 Char"/>
    <w:basedOn w:val="11"/>
    <w:link w:val="3"/>
    <w:qFormat/>
    <w:locked/>
    <w:uiPriority w:val="99"/>
    <w:rPr>
      <w:rFonts w:cs="Times New Roman"/>
      <w:sz w:val="24"/>
      <w:szCs w:val="24"/>
    </w:rPr>
  </w:style>
  <w:style w:type="character" w:customStyle="1" w:styleId="19">
    <w:name w:val="正文文本 Char"/>
    <w:basedOn w:val="11"/>
    <w:link w:val="4"/>
    <w:qFormat/>
    <w:locked/>
    <w:uiPriority w:val="99"/>
    <w:rPr>
      <w:rFonts w:cs="Times New Roman"/>
      <w:sz w:val="24"/>
      <w:szCs w:val="24"/>
    </w:rPr>
  </w:style>
  <w:style w:type="character" w:customStyle="1" w:styleId="20">
    <w:name w:val="批注框文本 Char"/>
    <w:basedOn w:val="11"/>
    <w:link w:val="6"/>
    <w:semiHidden/>
    <w:qFormat/>
    <w:uiPriority w:val="99"/>
    <w:rPr>
      <w:sz w:val="16"/>
      <w:szCs w:val="16"/>
    </w:rPr>
  </w:style>
  <w:style w:type="character" w:customStyle="1" w:styleId="21">
    <w:name w:val="正文文本 Char1"/>
    <w:basedOn w:val="11"/>
    <w:semiHidden/>
    <w:qFormat/>
    <w:uiPriority w:val="99"/>
    <w:rPr>
      <w:rFonts w:ascii="Times New Roman" w:hAnsi="Times New Roman" w:eastAsia="宋体" w:cs="Times New Roman"/>
      <w:szCs w:val="24"/>
    </w:rPr>
  </w:style>
  <w:style w:type="character" w:customStyle="1" w:styleId="22">
    <w:name w:val="批注文字 Char1"/>
    <w:basedOn w:val="11"/>
    <w:semiHidden/>
    <w:qFormat/>
    <w:uiPriority w:val="99"/>
    <w:rPr>
      <w:rFonts w:ascii="Times New Roman" w:hAnsi="Times New Roman" w:eastAsia="宋体" w:cs="Times New Roman"/>
      <w:szCs w:val="24"/>
    </w:rPr>
  </w:style>
  <w:style w:type="character" w:customStyle="1" w:styleId="23">
    <w:name w:val="批注框文本 Char1"/>
    <w:basedOn w:val="11"/>
    <w:semiHidden/>
    <w:qFormat/>
    <w:uiPriority w:val="99"/>
    <w:rPr>
      <w:rFonts w:ascii="Times New Roman" w:hAnsi="Times New Roman" w:eastAsia="宋体" w:cs="Times New Roman"/>
      <w:sz w:val="18"/>
      <w:szCs w:val="18"/>
    </w:rPr>
  </w:style>
  <w:style w:type="paragraph" w:styleId="24">
    <w:name w:val="List Paragraph"/>
    <w:basedOn w:val="1"/>
    <w:qFormat/>
    <w:uiPriority w:val="99"/>
    <w:pPr>
      <w:ind w:firstLine="420" w:firstLineChars="200"/>
    </w:pPr>
  </w:style>
  <w:style w:type="paragraph" w:customStyle="1" w:styleId="25">
    <w:name w:val="列出段落1"/>
    <w:basedOn w:val="1"/>
    <w:qFormat/>
    <w:uiPriority w:val="99"/>
    <w:pPr>
      <w:ind w:firstLine="420" w:firstLineChars="200"/>
    </w:pPr>
  </w:style>
  <w:style w:type="character" w:customStyle="1" w:styleId="26">
    <w:name w:val="font51"/>
    <w:qFormat/>
    <w:uiPriority w:val="99"/>
    <w:rPr>
      <w:rFonts w:ascii="宋体" w:hAnsi="宋体" w:eastAsia="宋体"/>
      <w:color w:val="000000"/>
      <w:sz w:val="20"/>
      <w:u w:val="none"/>
    </w:rPr>
  </w:style>
  <w:style w:type="character" w:customStyle="1" w:styleId="27">
    <w:name w:val="font101"/>
    <w:qFormat/>
    <w:uiPriority w:val="99"/>
    <w:rPr>
      <w:rFonts w:ascii="仿宋_GB2312" w:eastAsia="仿宋_GB2312"/>
      <w:color w:val="000000"/>
      <w:sz w:val="20"/>
      <w:u w:val="none"/>
    </w:rPr>
  </w:style>
  <w:style w:type="character" w:customStyle="1" w:styleId="28">
    <w:name w:val="font31"/>
    <w:qFormat/>
    <w:uiPriority w:val="99"/>
    <w:rPr>
      <w:rFonts w:ascii="Times New Roman" w:hAnsi="Times New Roman"/>
      <w:color w:val="000000"/>
      <w:sz w:val="20"/>
      <w:u w:val="none"/>
    </w:rPr>
  </w:style>
  <w:style w:type="character" w:customStyle="1" w:styleId="29">
    <w:name w:val="font01"/>
    <w:qFormat/>
    <w:uiPriority w:val="99"/>
    <w:rPr>
      <w:rFonts w:ascii="Times New Roman" w:hAnsi="Times New Roman"/>
      <w:color w:val="000000"/>
      <w:sz w:val="20"/>
      <w:u w:val="none"/>
    </w:rPr>
  </w:style>
  <w:style w:type="paragraph" w:customStyle="1" w:styleId="30">
    <w:name w:val="PlainText"/>
    <w:basedOn w:val="1"/>
    <w:qFormat/>
    <w:uiPriority w:val="0"/>
    <w:pPr>
      <w:spacing w:line="240" w:lineRule="auto"/>
      <w:jc w:val="both"/>
      <w:textAlignment w:val="baseline"/>
    </w:pPr>
    <w:rPr>
      <w:rFonts w:ascii="宋体" w:hAnsi="Courier New"/>
      <w:kern w:val="2"/>
      <w:sz w:val="21"/>
      <w:szCs w:val="21"/>
      <w:lang w:val="en-US" w:eastAsia="zh-CN" w:bidi="ar-SA"/>
    </w:rPr>
  </w:style>
  <w:style w:type="character" w:customStyle="1" w:styleId="31">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211246-EB58-4AC5-A2B6-960889E0ADF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5204</Words>
  <Characters>5647</Characters>
  <Lines>78</Lines>
  <Paragraphs>22</Paragraphs>
  <TotalTime>1</TotalTime>
  <ScaleCrop>false</ScaleCrop>
  <LinksUpToDate>false</LinksUpToDate>
  <CharactersWithSpaces>6757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2020-10-10T00:47:00Z</dcterms:created>
  <dc:creator>Lenovo</dc:creator>
  <cp:lastModifiedBy>衡山县城市管理行政执法局</cp:lastModifiedBy>
  <dcterms:modified xsi:type="dcterms:W3CDTF">2022-04-20T08:31:12Z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709AE2A91066492FA076474FC69F0D78</vt:lpwstr>
  </property>
</Properties>
</file>