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eastAsia="方正小标宋简体"/>
          <w:sz w:val="44"/>
          <w:szCs w:val="44"/>
        </w:rPr>
      </w:pPr>
      <w:r>
        <w:rPr>
          <w:rFonts w:hint="eastAsia" w:eastAsia="方正小标宋简体"/>
          <w:sz w:val="44"/>
          <w:szCs w:val="44"/>
        </w:rPr>
        <w:t>衡南县文化旅游广电体育局</w:t>
      </w:r>
    </w:p>
    <w:p>
      <w:pPr>
        <w:spacing w:line="600" w:lineRule="exact"/>
        <w:jc w:val="center"/>
        <w:rPr>
          <w:rFonts w:eastAsia="方正小标宋简体"/>
          <w:sz w:val="44"/>
          <w:szCs w:val="44"/>
        </w:rPr>
      </w:pPr>
      <w:r>
        <w:rPr>
          <w:rFonts w:eastAsia="方正小标宋简体"/>
          <w:sz w:val="44"/>
          <w:szCs w:val="44"/>
        </w:rPr>
        <w:t>20</w:t>
      </w:r>
      <w:r>
        <w:rPr>
          <w:rFonts w:hint="eastAsia" w:eastAsia="方正小标宋简体"/>
          <w:sz w:val="44"/>
          <w:szCs w:val="44"/>
        </w:rPr>
        <w:t>21年</w:t>
      </w:r>
      <w:r>
        <w:rPr>
          <w:rFonts w:eastAsia="方正小标宋简体"/>
          <w:sz w:val="44"/>
          <w:szCs w:val="44"/>
        </w:rPr>
        <w:t>整体支出绩效评价报告</w:t>
      </w:r>
    </w:p>
    <w:p>
      <w:pPr>
        <w:spacing w:line="600" w:lineRule="exact"/>
        <w:jc w:val="left"/>
        <w:rPr>
          <w:rFonts w:ascii="仿宋" w:hAnsi="仿宋" w:eastAsia="仿宋" w:cs="仿宋_GB2312"/>
          <w:sz w:val="32"/>
          <w:szCs w:val="32"/>
        </w:rPr>
      </w:pPr>
    </w:p>
    <w:p>
      <w:pPr>
        <w:pStyle w:val="4"/>
        <w:spacing w:line="360" w:lineRule="atLeast"/>
        <w:ind w:firstLine="640" w:firstLineChars="200"/>
        <w:rPr>
          <w:rFonts w:ascii="仿宋" w:hAnsi="仿宋" w:eastAsia="仿宋" w:cs="仿宋_GB2312"/>
          <w:kern w:val="2"/>
          <w:sz w:val="32"/>
          <w:szCs w:val="32"/>
        </w:rPr>
      </w:pPr>
      <w:r>
        <w:rPr>
          <w:rFonts w:hint="eastAsia" w:ascii="仿宋" w:hAnsi="仿宋" w:eastAsia="仿宋" w:cs="Times New Roman"/>
          <w:kern w:val="2"/>
          <w:sz w:val="32"/>
          <w:szCs w:val="32"/>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我局对2021年度部门整体支出绩效进行了全面综合评价，现将情况报告如下：</w:t>
      </w:r>
      <w:r>
        <w:rPr>
          <w:rFonts w:hint="eastAsia" w:ascii="仿宋" w:hAnsi="仿宋" w:eastAsia="仿宋" w:cs="仿宋_GB2312"/>
          <w:kern w:val="2"/>
          <w:sz w:val="32"/>
          <w:szCs w:val="32"/>
        </w:rPr>
        <w:t>：</w:t>
      </w:r>
    </w:p>
    <w:p>
      <w:pPr>
        <w:pStyle w:val="4"/>
        <w:spacing w:line="360" w:lineRule="atLeast"/>
        <w:ind w:firstLine="480"/>
        <w:rPr>
          <w:rFonts w:ascii="黑体" w:hAnsi="黑体" w:eastAsia="黑体" w:cs="黑体"/>
          <w:b/>
          <w:color w:val="000000" w:themeColor="text1"/>
          <w:sz w:val="32"/>
          <w:szCs w:val="32"/>
        </w:rPr>
      </w:pPr>
      <w:r>
        <w:rPr>
          <w:rFonts w:hint="eastAsia" w:ascii="黑体" w:hAnsi="黑体" w:eastAsia="黑体" w:cs="黑体"/>
          <w:b/>
          <w:color w:val="000000" w:themeColor="text1"/>
          <w:sz w:val="32"/>
          <w:szCs w:val="32"/>
        </w:rPr>
        <w:t>一、部门概况</w:t>
      </w:r>
    </w:p>
    <w:p>
      <w:pPr>
        <w:pStyle w:val="4"/>
        <w:spacing w:line="360" w:lineRule="atLeast"/>
        <w:ind w:firstLine="480"/>
        <w:rPr>
          <w:rFonts w:ascii="楷体" w:hAnsi="楷体" w:eastAsia="楷体" w:cs="楷体"/>
          <w:b/>
          <w:color w:val="000000" w:themeColor="text1"/>
          <w:sz w:val="32"/>
          <w:szCs w:val="32"/>
        </w:rPr>
      </w:pPr>
      <w:r>
        <w:rPr>
          <w:rFonts w:hint="eastAsia" w:ascii="楷体" w:hAnsi="楷体" w:eastAsia="楷体" w:cs="楷体"/>
          <w:b/>
          <w:color w:val="000000" w:themeColor="text1"/>
          <w:sz w:val="32"/>
          <w:szCs w:val="32"/>
        </w:rPr>
        <w:t>（一）部门主要职能</w:t>
      </w:r>
    </w:p>
    <w:p>
      <w:pPr>
        <w:ind w:firstLine="640" w:firstLineChars="200"/>
        <w:rPr>
          <w:rFonts w:ascii="仿宋" w:hAnsi="仿宋" w:eastAsia="仿宋"/>
          <w:sz w:val="32"/>
          <w:szCs w:val="32"/>
        </w:rPr>
      </w:pPr>
      <w:r>
        <w:rPr>
          <w:rFonts w:hint="eastAsia" w:ascii="仿宋" w:hAnsi="仿宋" w:eastAsia="仿宋"/>
          <w:sz w:val="32"/>
          <w:szCs w:val="32"/>
        </w:rPr>
        <w:t>衡南县文化旅游广电体育局属全额财政拨款的政府一个级预算部门。其</w:t>
      </w:r>
      <w:r>
        <w:rPr>
          <w:rFonts w:hint="eastAsia" w:ascii="仿宋" w:hAnsi="仿宋" w:eastAsia="仿宋" w:cs="黑体"/>
          <w:sz w:val="32"/>
          <w:szCs w:val="32"/>
        </w:rPr>
        <w:t>主要工作职责如下：</w:t>
      </w:r>
    </w:p>
    <w:p>
      <w:pPr>
        <w:numPr>
          <w:ilvl w:val="0"/>
          <w:numId w:val="1"/>
        </w:numPr>
        <w:ind w:firstLine="640"/>
        <w:rPr>
          <w:rFonts w:ascii="仿宋" w:hAnsi="仿宋" w:eastAsia="仿宋" w:cs="仿宋_GB2312"/>
          <w:sz w:val="32"/>
          <w:szCs w:val="32"/>
        </w:rPr>
      </w:pPr>
      <w:r>
        <w:rPr>
          <w:rFonts w:ascii="仿宋" w:hAnsi="仿宋" w:eastAsia="仿宋"/>
          <w:sz w:val="32"/>
          <w:szCs w:val="32"/>
        </w:rPr>
        <w:t>贯彻执行党和国家有关文化（文物）、旅游、</w:t>
      </w:r>
      <w:r>
        <w:rPr>
          <w:rFonts w:hint="eastAsia" w:ascii="仿宋" w:hAnsi="仿宋" w:eastAsia="仿宋"/>
          <w:sz w:val="32"/>
          <w:szCs w:val="32"/>
        </w:rPr>
        <w:t>广</w:t>
      </w:r>
      <w:r>
        <w:rPr>
          <w:rFonts w:ascii="仿宋" w:hAnsi="仿宋" w:eastAsia="仿宋"/>
          <w:sz w:val="32"/>
          <w:szCs w:val="32"/>
        </w:rPr>
        <w:t>播电视、体育工作的方针、政策和法律、法规，拟订全县文化（文物）、旅游、广播电视、体育事业发展战略、规划并组织实施；推进文化旅游广电体育领域体制机制改革。</w:t>
      </w:r>
    </w:p>
    <w:p>
      <w:pPr>
        <w:numPr>
          <w:ilvl w:val="0"/>
          <w:numId w:val="1"/>
        </w:numPr>
        <w:ind w:firstLine="640"/>
        <w:rPr>
          <w:rFonts w:ascii="仿宋" w:hAnsi="仿宋" w:eastAsia="仿宋"/>
          <w:sz w:val="32"/>
          <w:szCs w:val="32"/>
        </w:rPr>
      </w:pPr>
      <w:r>
        <w:rPr>
          <w:rFonts w:ascii="仿宋" w:hAnsi="仿宋" w:eastAsia="仿宋"/>
          <w:sz w:val="32"/>
          <w:szCs w:val="32"/>
        </w:rPr>
        <w:t>管理全县性重大文体</w:t>
      </w:r>
      <w:r>
        <w:rPr>
          <w:rFonts w:hint="eastAsia" w:ascii="仿宋" w:hAnsi="仿宋" w:eastAsia="仿宋"/>
          <w:sz w:val="32"/>
          <w:szCs w:val="32"/>
        </w:rPr>
        <w:t>旅游</w:t>
      </w:r>
      <w:r>
        <w:rPr>
          <w:rFonts w:ascii="仿宋" w:hAnsi="仿宋" w:eastAsia="仿宋"/>
          <w:sz w:val="32"/>
          <w:szCs w:val="32"/>
        </w:rPr>
        <w:t>活动，指导重点文体设施建设，统筹规划文化产业、旅游、广电、体育产业，组织实施文化、旅游、广电、体育资源普查、挖掘、保护和利用工作，促进文化、旅游、广电、体育产业发展。</w:t>
      </w:r>
    </w:p>
    <w:p>
      <w:pPr>
        <w:numPr>
          <w:ilvl w:val="0"/>
          <w:numId w:val="1"/>
        </w:numPr>
        <w:ind w:firstLine="640"/>
        <w:rPr>
          <w:rFonts w:ascii="仿宋" w:hAnsi="仿宋" w:eastAsia="仿宋" w:cs="仿宋_GB2312"/>
          <w:sz w:val="32"/>
          <w:szCs w:val="32"/>
        </w:rPr>
      </w:pPr>
      <w:r>
        <w:rPr>
          <w:rFonts w:ascii="仿宋" w:hAnsi="仿宋" w:eastAsia="仿宋"/>
          <w:sz w:val="32"/>
          <w:szCs w:val="32"/>
        </w:rPr>
        <w:t>指导文化、旅游、广电、体育市场发展，对文化（文物）、旅游、广电、体育、新闻出版（版权）市场经营进行行业监管，推进行业信用体系建设，依法规范文化、文物、旅游、广电、体育市场。</w:t>
      </w:r>
    </w:p>
    <w:p>
      <w:pPr>
        <w:numPr>
          <w:ilvl w:val="0"/>
          <w:numId w:val="1"/>
        </w:numPr>
        <w:ind w:firstLine="640"/>
        <w:rPr>
          <w:rFonts w:ascii="仿宋" w:hAnsi="仿宋" w:eastAsia="仿宋" w:cs="仿宋_GB2312"/>
          <w:sz w:val="32"/>
          <w:szCs w:val="32"/>
        </w:rPr>
      </w:pPr>
      <w:r>
        <w:rPr>
          <w:rFonts w:ascii="仿宋" w:hAnsi="仿宋" w:eastAsia="仿宋"/>
          <w:sz w:val="32"/>
          <w:szCs w:val="32"/>
        </w:rPr>
        <w:t>指导、推进文化（文物）、旅游、广电、体育科 技创新发展，推进文化、旅游、广电、体育行业信息化、标 准化建设。</w:t>
      </w:r>
    </w:p>
    <w:p>
      <w:pPr>
        <w:numPr>
          <w:ilvl w:val="0"/>
          <w:numId w:val="1"/>
        </w:numPr>
        <w:ind w:firstLine="640"/>
        <w:rPr>
          <w:rFonts w:ascii="仿宋" w:hAnsi="仿宋" w:eastAsia="仿宋"/>
          <w:sz w:val="32"/>
          <w:szCs w:val="32"/>
        </w:rPr>
      </w:pPr>
      <w:r>
        <w:rPr>
          <w:rFonts w:ascii="仿宋" w:hAnsi="仿宋" w:eastAsia="仿宋"/>
          <w:sz w:val="32"/>
          <w:szCs w:val="32"/>
        </w:rPr>
        <w:t>推进文化（文物）、旅游、广电、体育领域的公 共服务，会同有关部门统筹安排文旅广体相关事业经费：规 划、指导全县文化旅游广电体育产品生产；组织、指导、协调全县重点公共文化、旅游、广电、体育设施建设和基层公共文化、体育设施建设：负责指导公共图书馆、文化馆（站）、美术馆、博物馆、纪念馆、体育场（馆）等基层公共文化 体育事业建设。</w:t>
      </w:r>
    </w:p>
    <w:p>
      <w:pPr>
        <w:numPr>
          <w:ilvl w:val="0"/>
          <w:numId w:val="1"/>
        </w:numPr>
        <w:ind w:firstLine="640"/>
        <w:rPr>
          <w:rFonts w:ascii="仿宋" w:hAnsi="仿宋" w:eastAsia="仿宋"/>
          <w:sz w:val="32"/>
          <w:szCs w:val="32"/>
        </w:rPr>
      </w:pPr>
      <w:r>
        <w:rPr>
          <w:rFonts w:ascii="仿宋" w:hAnsi="仿宋" w:eastAsia="仿宋"/>
          <w:sz w:val="32"/>
          <w:szCs w:val="32"/>
        </w:rPr>
        <w:t>管理全县文化（文物）、旅游、体育、艺术事业；指导、协调艺术创作与艺术生产：扶持地方性、代表性、示 范性、实验性文化艺术品种和体育项目，推动各门类艺术的发展；管理、指导艺术教育事业：指导、组织、协调全县性重大文化和体育活动。负责监测全县文化、旅游、广电、体有经济运行和全县文化、旅游、广电、体育统计及行业信息发布。</w:t>
      </w:r>
    </w:p>
    <w:p>
      <w:pPr>
        <w:numPr>
          <w:ilvl w:val="0"/>
          <w:numId w:val="1"/>
        </w:numPr>
        <w:ind w:firstLine="640"/>
        <w:rPr>
          <w:rFonts w:ascii="仿宋" w:hAnsi="仿宋" w:eastAsia="仿宋"/>
          <w:sz w:val="32"/>
          <w:szCs w:val="32"/>
        </w:rPr>
      </w:pPr>
      <w:r>
        <w:rPr>
          <w:rFonts w:ascii="仿宋" w:hAnsi="仿宋" w:eastAsia="仿宋"/>
          <w:sz w:val="32"/>
          <w:szCs w:val="32"/>
        </w:rPr>
        <w:t>指导、监督管理全县文化市场综合执法和文物、旅游、体育、新闻出版（版权）行政执法工作；负责对从事演艺活动的民办机构和网络游戏服务进行监管（不含网络游戏的网上出版前置审批）。</w:t>
      </w:r>
    </w:p>
    <w:p>
      <w:pPr>
        <w:numPr>
          <w:ilvl w:val="0"/>
          <w:numId w:val="1"/>
        </w:numPr>
        <w:ind w:firstLine="640"/>
        <w:rPr>
          <w:rFonts w:ascii="仿宋" w:hAnsi="仿宋" w:eastAsia="仿宋"/>
          <w:sz w:val="32"/>
          <w:szCs w:val="32"/>
        </w:rPr>
      </w:pPr>
      <w:r>
        <w:rPr>
          <w:rFonts w:ascii="仿宋" w:hAnsi="仿宋" w:eastAsia="仿宋"/>
          <w:sz w:val="32"/>
          <w:szCs w:val="32"/>
        </w:rPr>
        <w:t>统筹规划指导全县群众体育发展及活动开展：负 责推行全民健身计划，监督实施国家体育锻炼标准：推动国 民体质监测和社会体育指导工作队伍制度建设</w:t>
      </w:r>
      <w:r>
        <w:rPr>
          <w:rFonts w:hint="eastAsia" w:ascii="仿宋" w:hAnsi="仿宋" w:eastAsia="仿宋"/>
          <w:sz w:val="32"/>
          <w:szCs w:val="32"/>
        </w:rPr>
        <w:t>。</w:t>
      </w:r>
    </w:p>
    <w:p>
      <w:pPr>
        <w:numPr>
          <w:ilvl w:val="0"/>
          <w:numId w:val="1"/>
        </w:numPr>
        <w:ind w:firstLine="640"/>
        <w:rPr>
          <w:rFonts w:ascii="仿宋" w:hAnsi="仿宋" w:eastAsia="仿宋"/>
          <w:sz w:val="32"/>
          <w:szCs w:val="32"/>
        </w:rPr>
      </w:pPr>
      <w:r>
        <w:rPr>
          <w:rFonts w:ascii="仿宋" w:hAnsi="仿宋" w:eastAsia="仿宋"/>
          <w:sz w:val="32"/>
          <w:szCs w:val="32"/>
        </w:rPr>
        <w:t>组织管理体育训练、体育竞赛、运动队伍建设，协调运动员社会保障工作；统筹规划青少年体育发展，加强 体育后备人才建设，指导和推进青少年体育工作。</w:t>
      </w:r>
    </w:p>
    <w:p>
      <w:pPr>
        <w:numPr>
          <w:ilvl w:val="0"/>
          <w:numId w:val="1"/>
        </w:numPr>
        <w:ind w:firstLine="640"/>
        <w:rPr>
          <w:rFonts w:ascii="仿宋" w:hAnsi="仿宋" w:eastAsia="仿宋"/>
          <w:sz w:val="32"/>
          <w:szCs w:val="32"/>
        </w:rPr>
      </w:pPr>
      <w:r>
        <w:rPr>
          <w:rFonts w:ascii="仿宋" w:hAnsi="仿宋" w:eastAsia="仿宋"/>
          <w:sz w:val="32"/>
          <w:szCs w:val="32"/>
        </w:rPr>
        <w:t>指导和监督全县广播电视事业，实施准入和退出管理：拟订发展规划；负责对广播电视摇出机构所播出的节目内容、质量及传输、监测、播出、覆益等进行监管；指导、协调电信网、广播电视网、互联网融合中的相关工作。</w:t>
      </w:r>
    </w:p>
    <w:p>
      <w:pPr>
        <w:numPr>
          <w:ilvl w:val="0"/>
          <w:numId w:val="1"/>
        </w:numPr>
        <w:ind w:firstLine="640"/>
        <w:rPr>
          <w:rFonts w:ascii="仿宋" w:hAnsi="仿宋" w:eastAsia="仿宋"/>
          <w:sz w:val="32"/>
          <w:szCs w:val="32"/>
        </w:rPr>
      </w:pPr>
      <w:r>
        <w:rPr>
          <w:rFonts w:ascii="仿宋" w:hAnsi="仿宋" w:eastAsia="仿宋"/>
          <w:sz w:val="32"/>
          <w:szCs w:val="32"/>
        </w:rPr>
        <w:t>协调和指导全县文物的保护、管理和利用工作。 照行文物行政执法督察职责，依法组织协调重大文物违法案 件的查处，协同有关部门查处文物犯罪的重大案件：负责文化遗产申报及保护、管理的监督工作，协同有关部门负责历史文化名城（镇、村）保护和监督管理工作。</w:t>
      </w:r>
    </w:p>
    <w:p>
      <w:pPr>
        <w:numPr>
          <w:ilvl w:val="0"/>
          <w:numId w:val="1"/>
        </w:numPr>
        <w:ind w:firstLine="640"/>
        <w:rPr>
          <w:rFonts w:ascii="仿宋" w:hAnsi="仿宋" w:eastAsia="仿宋"/>
          <w:sz w:val="32"/>
          <w:szCs w:val="32"/>
        </w:rPr>
      </w:pPr>
      <w:r>
        <w:rPr>
          <w:rFonts w:ascii="仿宋" w:hAnsi="仿宋" w:eastAsia="仿宋"/>
          <w:sz w:val="32"/>
          <w:szCs w:val="32"/>
        </w:rPr>
        <w:t>管理全县非物质文化遗产保护工作，拟订非物质文化遗产保护规划并组织实施：负责优秀民族文化的传承普及工作。</w:t>
      </w:r>
    </w:p>
    <w:p>
      <w:pPr>
        <w:numPr>
          <w:ilvl w:val="0"/>
          <w:numId w:val="1"/>
        </w:numPr>
        <w:ind w:firstLine="640"/>
        <w:rPr>
          <w:rFonts w:ascii="仿宋" w:hAnsi="仿宋" w:eastAsia="仿宋"/>
          <w:sz w:val="32"/>
          <w:szCs w:val="32"/>
        </w:rPr>
      </w:pPr>
      <w:r>
        <w:rPr>
          <w:rFonts w:ascii="仿宋" w:hAnsi="仿宋" w:eastAsia="仿宋"/>
          <w:sz w:val="32"/>
          <w:szCs w:val="32"/>
        </w:rPr>
        <w:t>拟订全县文旅广体系统人才教育、培训规划并组织实施：负责相关系列专业技术职称申报工作。</w:t>
      </w:r>
    </w:p>
    <w:p>
      <w:pPr>
        <w:numPr>
          <w:ilvl w:val="0"/>
          <w:numId w:val="1"/>
        </w:numPr>
        <w:ind w:firstLine="640"/>
        <w:rPr>
          <w:rFonts w:ascii="仿宋" w:hAnsi="仿宋" w:eastAsia="仿宋"/>
          <w:sz w:val="32"/>
          <w:szCs w:val="32"/>
        </w:rPr>
      </w:pPr>
      <w:r>
        <w:rPr>
          <w:rFonts w:ascii="仿宋" w:hAnsi="仿宋" w:eastAsia="仿宋"/>
          <w:sz w:val="32"/>
          <w:szCs w:val="32"/>
        </w:rPr>
        <w:t>承办县委、县政府交办的其他事项。</w:t>
      </w:r>
    </w:p>
    <w:p>
      <w:pPr>
        <w:ind w:firstLine="321" w:firstLineChars="100"/>
        <w:rPr>
          <w:rFonts w:ascii="楷体" w:hAnsi="楷体" w:eastAsia="楷体" w:cs="楷体"/>
          <w:b/>
          <w:sz w:val="32"/>
          <w:szCs w:val="32"/>
        </w:rPr>
      </w:pPr>
      <w:r>
        <w:rPr>
          <w:rFonts w:hint="eastAsia" w:ascii="楷体" w:hAnsi="楷体" w:eastAsia="楷体" w:cs="楷体"/>
          <w:b/>
          <w:sz w:val="32"/>
          <w:szCs w:val="32"/>
        </w:rPr>
        <w:t>（二）部门组织机构及人员情况</w:t>
      </w:r>
    </w:p>
    <w:p>
      <w:pPr>
        <w:spacing w:line="600" w:lineRule="exact"/>
        <w:ind w:firstLine="643" w:firstLineChars="200"/>
        <w:rPr>
          <w:rFonts w:ascii="仿宋" w:hAnsi="仿宋" w:eastAsia="仿宋" w:cs="仿宋"/>
          <w:b/>
          <w:sz w:val="32"/>
          <w:szCs w:val="32"/>
        </w:rPr>
      </w:pPr>
      <w:r>
        <w:rPr>
          <w:rFonts w:hint="eastAsia" w:ascii="仿宋" w:hAnsi="仿宋" w:eastAsia="仿宋" w:cs="仿宋"/>
          <w:b/>
          <w:sz w:val="32"/>
          <w:szCs w:val="32"/>
        </w:rPr>
        <w:t>1.机构设置情况</w:t>
      </w:r>
    </w:p>
    <w:p>
      <w:pPr>
        <w:spacing w:line="600" w:lineRule="exact"/>
        <w:ind w:firstLine="640" w:firstLineChars="200"/>
        <w:rPr>
          <w:rFonts w:ascii="仿宋" w:hAnsi="仿宋" w:eastAsia="仿宋" w:cs="仿宋"/>
          <w:sz w:val="32"/>
          <w:szCs w:val="32"/>
        </w:rPr>
      </w:pPr>
      <w:r>
        <w:rPr>
          <w:rFonts w:hint="eastAsia" w:ascii="仿宋" w:hAnsi="仿宋" w:eastAsia="仿宋" w:cs="仿宋_GB2312"/>
          <w:sz w:val="32"/>
          <w:szCs w:val="32"/>
        </w:rPr>
        <w:t>我局现设有办公室、政策法规与组织人事股、行政审批服务股、公共文化艺术服务股、旅游与文化遗产管理股、广播电视与科技规划发展股、群体竞争训股、审计与财务股8个股室</w:t>
      </w:r>
      <w:r>
        <w:rPr>
          <w:rFonts w:hint="eastAsia" w:ascii="仿宋" w:hAnsi="仿宋" w:eastAsia="仿宋" w:cs="仿宋"/>
          <w:sz w:val="32"/>
          <w:szCs w:val="32"/>
        </w:rPr>
        <w:t>。</w:t>
      </w:r>
      <w:r>
        <w:rPr>
          <w:rFonts w:hint="eastAsia" w:ascii="仿宋" w:hAnsi="仿宋" w:eastAsia="仿宋" w:cs="仿宋_GB2312"/>
          <w:sz w:val="32"/>
          <w:szCs w:val="32"/>
        </w:rPr>
        <w:t>有文化馆、图书馆、全民健身服务中心、旅游服务中心、文化市场综合执法大队、衡南县红色教育基地服务中心6个二级机构</w:t>
      </w:r>
      <w:r>
        <w:rPr>
          <w:rFonts w:hint="eastAsia" w:ascii="仿宋" w:hAnsi="仿宋" w:eastAsia="仿宋"/>
          <w:sz w:val="32"/>
          <w:szCs w:val="32"/>
        </w:rPr>
        <w:t>。</w:t>
      </w:r>
    </w:p>
    <w:p>
      <w:pPr>
        <w:spacing w:line="600" w:lineRule="exact"/>
        <w:ind w:firstLine="643" w:firstLineChars="200"/>
        <w:rPr>
          <w:rFonts w:ascii="仿宋" w:hAnsi="仿宋" w:eastAsia="仿宋" w:cs="仿宋"/>
          <w:b/>
          <w:sz w:val="32"/>
          <w:szCs w:val="32"/>
        </w:rPr>
      </w:pPr>
      <w:r>
        <w:rPr>
          <w:rFonts w:hint="eastAsia" w:ascii="仿宋" w:hAnsi="仿宋" w:eastAsia="仿宋" w:cs="仿宋"/>
          <w:b/>
          <w:sz w:val="32"/>
          <w:szCs w:val="32"/>
        </w:rPr>
        <w:t>2.人员编制情况</w:t>
      </w:r>
    </w:p>
    <w:p>
      <w:pPr>
        <w:widowControl/>
        <w:wordWrap w:val="0"/>
        <w:spacing w:line="450" w:lineRule="atLeast"/>
        <w:ind w:firstLine="640"/>
        <w:rPr>
          <w:rFonts w:ascii="仿宋" w:hAnsi="仿宋" w:eastAsia="仿宋" w:cs="仿宋"/>
          <w:sz w:val="32"/>
          <w:szCs w:val="32"/>
        </w:rPr>
      </w:pPr>
      <w:r>
        <w:rPr>
          <w:rFonts w:hint="eastAsia" w:ascii="仿宋" w:hAnsi="仿宋" w:eastAsia="仿宋" w:cs="仿宋"/>
          <w:kern w:val="0"/>
          <w:sz w:val="32"/>
          <w:szCs w:val="32"/>
        </w:rPr>
        <w:t>2021年年初有干部职工117人，截止2021年末，我单位实有</w:t>
      </w:r>
      <w:r>
        <w:rPr>
          <w:rFonts w:hint="eastAsia" w:ascii="仿宋" w:hAnsi="仿宋" w:eastAsia="仿宋" w:cs="仿宋"/>
          <w:sz w:val="32"/>
          <w:szCs w:val="32"/>
        </w:rPr>
        <w:t>在职人员110人、退休人员7人。</w:t>
      </w:r>
    </w:p>
    <w:p>
      <w:pPr>
        <w:widowControl/>
        <w:wordWrap w:val="0"/>
        <w:spacing w:line="450" w:lineRule="atLeast"/>
        <w:ind w:firstLine="640" w:firstLineChars="200"/>
        <w:rPr>
          <w:rFonts w:ascii="黑体" w:hAnsi="黑体" w:eastAsia="黑体" w:cs="黑体"/>
          <w:bCs/>
          <w:kern w:val="0"/>
          <w:sz w:val="32"/>
          <w:szCs w:val="32"/>
        </w:rPr>
      </w:pPr>
      <w:r>
        <w:rPr>
          <w:rFonts w:hint="eastAsia" w:ascii="黑体" w:hAnsi="黑体" w:eastAsia="黑体" w:cs="黑体"/>
          <w:bCs/>
          <w:kern w:val="0"/>
          <w:sz w:val="32"/>
          <w:szCs w:val="32"/>
        </w:rPr>
        <w:t>二、部门整体支出管理及使用情况</w:t>
      </w:r>
    </w:p>
    <w:p>
      <w:pPr>
        <w:spacing w:line="600" w:lineRule="exact"/>
        <w:ind w:firstLine="643" w:firstLineChars="200"/>
        <w:rPr>
          <w:rFonts w:ascii="楷体" w:hAnsi="楷体" w:eastAsia="楷体" w:cs="楷体"/>
          <w:b/>
          <w:sz w:val="32"/>
          <w:szCs w:val="32"/>
        </w:rPr>
      </w:pPr>
      <w:r>
        <w:rPr>
          <w:rFonts w:hint="eastAsia" w:ascii="楷体" w:hAnsi="楷体" w:eastAsia="楷体" w:cs="楷体"/>
          <w:b/>
          <w:sz w:val="32"/>
          <w:szCs w:val="32"/>
        </w:rPr>
        <w:t>（一）2021年部门预算收支情况</w:t>
      </w:r>
    </w:p>
    <w:p>
      <w:pPr>
        <w:spacing w:line="600" w:lineRule="exact"/>
        <w:ind w:firstLine="800" w:firstLineChars="250"/>
        <w:rPr>
          <w:rFonts w:ascii="仿宋" w:hAnsi="仿宋" w:eastAsia="仿宋" w:cs="仿宋"/>
          <w:sz w:val="30"/>
          <w:szCs w:val="30"/>
        </w:rPr>
      </w:pPr>
      <w:r>
        <w:rPr>
          <w:rFonts w:hint="eastAsia" w:ascii="仿宋" w:hAnsi="仿宋" w:eastAsia="仿宋" w:cs="宋体"/>
          <w:kern w:val="0"/>
          <w:sz w:val="32"/>
          <w:szCs w:val="32"/>
        </w:rPr>
        <w:t>按照综合预算的原则，所有收入和支出均纳入预算管理。2021年,县文旅广体育局年初预算为1454.72万元，均为财政拨款，比上年1215.84万元增加238.88万元，增加了19.65%，主要原因是增加了“一门四忠烈”归园项目的预算拨款。</w:t>
      </w:r>
    </w:p>
    <w:p>
      <w:pPr>
        <w:pStyle w:val="4"/>
        <w:spacing w:line="360" w:lineRule="atLeas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2021年预算收入调整数为2</w:t>
      </w:r>
      <w:r>
        <w:rPr>
          <w:rFonts w:hint="eastAsia" w:ascii="仿宋" w:hAnsi="仿宋" w:eastAsia="仿宋" w:cs="仿宋"/>
          <w:color w:val="333333"/>
          <w:sz w:val="30"/>
          <w:szCs w:val="30"/>
          <w:lang w:val="en-US" w:eastAsia="zh-CN"/>
        </w:rPr>
        <w:t>762.56</w:t>
      </w:r>
      <w:r>
        <w:rPr>
          <w:rFonts w:hint="eastAsia" w:ascii="仿宋" w:hAnsi="仿宋" w:eastAsia="仿宋" w:cs="仿宋"/>
          <w:color w:val="333333"/>
          <w:sz w:val="30"/>
          <w:szCs w:val="30"/>
        </w:rPr>
        <w:t>万元，其中：</w:t>
      </w:r>
      <w:r>
        <w:rPr>
          <w:rFonts w:hint="eastAsia" w:ascii="仿宋" w:hAnsi="仿宋" w:eastAsia="仿宋" w:cs="仿宋"/>
          <w:color w:val="000000" w:themeColor="text1"/>
          <w:sz w:val="32"/>
          <w:szCs w:val="32"/>
        </w:rPr>
        <w:t>一般公共预算拔款资金</w:t>
      </w:r>
      <w:r>
        <w:rPr>
          <w:rFonts w:hint="eastAsia" w:ascii="仿宋" w:hAnsi="仿宋" w:eastAsia="仿宋" w:cs="仿宋"/>
          <w:color w:val="000000" w:themeColor="text1"/>
          <w:sz w:val="32"/>
          <w:szCs w:val="32"/>
          <w:lang w:val="en-US" w:eastAsia="zh-CN"/>
        </w:rPr>
        <w:t>2571.56</w:t>
      </w:r>
      <w:r>
        <w:rPr>
          <w:rFonts w:hint="eastAsia" w:ascii="仿宋" w:hAnsi="仿宋" w:eastAsia="仿宋" w:cs="仿宋"/>
          <w:color w:val="000000" w:themeColor="text1"/>
          <w:sz w:val="32"/>
          <w:szCs w:val="32"/>
        </w:rPr>
        <w:t>万元（其中：本级追加593万元，上级补助700万元。），</w:t>
      </w:r>
      <w:r>
        <w:rPr>
          <w:rFonts w:hint="eastAsia" w:ascii="仿宋" w:hAnsi="仿宋" w:eastAsia="仿宋"/>
          <w:color w:val="000000" w:themeColor="text1"/>
          <w:sz w:val="32"/>
          <w:szCs w:val="32"/>
        </w:rPr>
        <w:t>占收支总比9</w:t>
      </w:r>
      <w:r>
        <w:rPr>
          <w:rFonts w:hint="eastAsia" w:ascii="仿宋" w:hAnsi="仿宋" w:eastAsia="仿宋"/>
          <w:color w:val="000000" w:themeColor="text1"/>
          <w:sz w:val="32"/>
          <w:szCs w:val="32"/>
          <w:lang w:val="en-US" w:eastAsia="zh-CN"/>
        </w:rPr>
        <w:t>3</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1</w:t>
      </w:r>
      <w:r>
        <w:rPr>
          <w:rFonts w:hint="eastAsia" w:ascii="仿宋" w:hAnsi="仿宋" w:eastAsia="仿宋"/>
          <w:color w:val="000000" w:themeColor="text1"/>
          <w:sz w:val="32"/>
          <w:szCs w:val="32"/>
        </w:rPr>
        <w:t>%；</w:t>
      </w:r>
      <w:r>
        <w:rPr>
          <w:rFonts w:hint="eastAsia" w:ascii="仿宋" w:hAnsi="仿宋" w:eastAsia="仿宋" w:cs="仿宋"/>
          <w:color w:val="000000" w:themeColor="text1"/>
          <w:sz w:val="32"/>
          <w:szCs w:val="32"/>
        </w:rPr>
        <w:t>政府性基金19</w:t>
      </w:r>
      <w:r>
        <w:rPr>
          <w:rFonts w:hint="eastAsia" w:ascii="仿宋" w:hAnsi="仿宋" w:eastAsia="仿宋" w:cs="仿宋"/>
          <w:color w:val="000000" w:themeColor="text1"/>
          <w:sz w:val="32"/>
          <w:szCs w:val="32"/>
          <w:lang w:val="en-US" w:eastAsia="zh-CN"/>
        </w:rPr>
        <w:t>1</w:t>
      </w:r>
      <w:r>
        <w:rPr>
          <w:rFonts w:hint="eastAsia" w:ascii="仿宋" w:hAnsi="仿宋" w:eastAsia="仿宋" w:cs="仿宋"/>
          <w:color w:val="000000" w:themeColor="text1"/>
          <w:sz w:val="32"/>
          <w:szCs w:val="32"/>
        </w:rPr>
        <w:t>万元（来源于体育彩票县级分成、省体彩中心的全民健身赛事经费），</w:t>
      </w:r>
      <w:r>
        <w:rPr>
          <w:rFonts w:hint="eastAsia" w:ascii="仿宋" w:hAnsi="仿宋" w:eastAsia="仿宋"/>
          <w:color w:val="000000" w:themeColor="text1"/>
          <w:sz w:val="32"/>
          <w:szCs w:val="32"/>
        </w:rPr>
        <w:t>占收支总比</w:t>
      </w:r>
      <w:r>
        <w:rPr>
          <w:rFonts w:hint="eastAsia" w:ascii="仿宋" w:hAnsi="仿宋" w:eastAsia="仿宋"/>
          <w:color w:val="000000" w:themeColor="text1"/>
          <w:sz w:val="32"/>
          <w:szCs w:val="32"/>
          <w:lang w:val="en-US" w:eastAsia="zh-CN"/>
        </w:rPr>
        <w:t>6.9</w:t>
      </w:r>
      <w:r>
        <w:rPr>
          <w:rFonts w:hint="eastAsia" w:ascii="仿宋" w:hAnsi="仿宋" w:eastAsia="仿宋"/>
          <w:color w:val="000000" w:themeColor="text1"/>
          <w:sz w:val="32"/>
          <w:szCs w:val="32"/>
        </w:rPr>
        <w:t>%</w:t>
      </w:r>
      <w:r>
        <w:rPr>
          <w:rFonts w:hint="eastAsia" w:ascii="仿宋" w:hAnsi="仿宋" w:eastAsia="仿宋" w:cs="仿宋"/>
          <w:color w:val="000000" w:themeColor="text1"/>
          <w:sz w:val="32"/>
          <w:szCs w:val="32"/>
        </w:rPr>
        <w:t>；其他收入</w:t>
      </w:r>
      <w:r>
        <w:rPr>
          <w:rFonts w:hint="eastAsia" w:ascii="仿宋" w:hAnsi="仿宋" w:eastAsia="仿宋" w:cs="仿宋"/>
          <w:color w:val="000000" w:themeColor="text1"/>
          <w:sz w:val="32"/>
          <w:szCs w:val="32"/>
          <w:lang w:val="en-US" w:eastAsia="zh-CN"/>
        </w:rPr>
        <w:t>0</w:t>
      </w:r>
      <w:r>
        <w:rPr>
          <w:rFonts w:hint="eastAsia" w:ascii="仿宋" w:hAnsi="仿宋" w:eastAsia="仿宋" w:cs="仿宋"/>
          <w:color w:val="000000" w:themeColor="text1"/>
          <w:sz w:val="32"/>
          <w:szCs w:val="32"/>
        </w:rPr>
        <w:t>万元，</w:t>
      </w:r>
      <w:r>
        <w:rPr>
          <w:rFonts w:hint="eastAsia" w:ascii="仿宋" w:hAnsi="仿宋" w:eastAsia="仿宋"/>
          <w:color w:val="000000" w:themeColor="text1"/>
          <w:sz w:val="32"/>
          <w:szCs w:val="32"/>
        </w:rPr>
        <w:t>占收支总比</w:t>
      </w:r>
      <w:r>
        <w:rPr>
          <w:rFonts w:hint="eastAsia" w:ascii="仿宋" w:hAnsi="仿宋" w:eastAsia="仿宋"/>
          <w:color w:val="000000" w:themeColor="text1"/>
          <w:sz w:val="32"/>
          <w:szCs w:val="32"/>
          <w:lang w:val="en-US" w:eastAsia="zh-CN"/>
        </w:rPr>
        <w:t>0</w:t>
      </w:r>
      <w:r>
        <w:rPr>
          <w:rFonts w:hint="eastAsia" w:ascii="仿宋" w:hAnsi="仿宋" w:eastAsia="仿宋"/>
          <w:color w:val="000000" w:themeColor="text1"/>
          <w:sz w:val="32"/>
          <w:szCs w:val="32"/>
        </w:rPr>
        <w:t>%。</w:t>
      </w:r>
      <w:r>
        <w:rPr>
          <w:rFonts w:hint="eastAsia" w:ascii="仿宋" w:hAnsi="仿宋" w:eastAsia="仿宋" w:cs="仿宋"/>
          <w:color w:val="333333"/>
          <w:sz w:val="30"/>
          <w:szCs w:val="30"/>
        </w:rPr>
        <w:t>。</w:t>
      </w:r>
    </w:p>
    <w:p>
      <w:pPr>
        <w:spacing w:line="600" w:lineRule="exact"/>
        <w:ind w:firstLine="643" w:firstLineChars="200"/>
        <w:rPr>
          <w:rFonts w:ascii="楷体" w:hAnsi="楷体" w:eastAsia="楷体" w:cs="楷体"/>
          <w:b/>
          <w:color w:val="000000" w:themeColor="text1"/>
          <w:sz w:val="32"/>
          <w:szCs w:val="32"/>
        </w:rPr>
      </w:pPr>
      <w:r>
        <w:rPr>
          <w:rFonts w:hint="eastAsia" w:ascii="楷体" w:hAnsi="楷体" w:eastAsia="楷体" w:cs="楷体"/>
          <w:b/>
          <w:color w:val="000000" w:themeColor="text1"/>
          <w:sz w:val="32"/>
          <w:szCs w:val="32"/>
        </w:rPr>
        <w:t>（二）2021年部门决算情况</w:t>
      </w:r>
    </w:p>
    <w:p>
      <w:pPr>
        <w:pStyle w:val="4"/>
        <w:spacing w:line="360" w:lineRule="atLeast"/>
        <w:ind w:firstLine="803" w:firstLineChars="250"/>
        <w:rPr>
          <w:rFonts w:ascii="仿宋" w:hAnsi="仿宋" w:eastAsia="仿宋" w:cs="仿宋"/>
          <w:b/>
          <w:color w:val="000000" w:themeColor="text1"/>
          <w:sz w:val="32"/>
          <w:szCs w:val="32"/>
        </w:rPr>
      </w:pPr>
      <w:r>
        <w:rPr>
          <w:rFonts w:hint="eastAsia" w:ascii="仿宋" w:hAnsi="仿宋" w:eastAsia="仿宋" w:cs="仿宋"/>
          <w:b/>
          <w:color w:val="000000" w:themeColor="text1"/>
          <w:sz w:val="32"/>
          <w:szCs w:val="32"/>
        </w:rPr>
        <w:t>1.决算资金</w:t>
      </w:r>
      <w:r>
        <w:rPr>
          <w:rFonts w:hint="eastAsia" w:ascii="仿宋" w:hAnsi="仿宋" w:eastAsia="仿宋"/>
          <w:b/>
          <w:color w:val="000000" w:themeColor="text1"/>
          <w:sz w:val="32"/>
          <w:szCs w:val="32"/>
        </w:rPr>
        <w:t>来源情况</w:t>
      </w:r>
    </w:p>
    <w:p>
      <w:pPr>
        <w:spacing w:line="60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衡南县文化旅游广电体育局2021年决算资金来源共</w:t>
      </w:r>
      <w:r>
        <w:rPr>
          <w:rFonts w:hint="eastAsia" w:ascii="仿宋" w:hAnsi="仿宋" w:eastAsia="仿宋" w:cs="仿宋"/>
          <w:color w:val="000000" w:themeColor="text1"/>
          <w:sz w:val="32"/>
          <w:szCs w:val="32"/>
          <w:lang w:val="en-US" w:eastAsia="zh-CN"/>
        </w:rPr>
        <w:t>2762.56</w:t>
      </w:r>
      <w:r>
        <w:rPr>
          <w:rFonts w:hint="eastAsia" w:ascii="仿宋" w:hAnsi="仿宋" w:eastAsia="仿宋" w:cs="仿宋"/>
          <w:color w:val="000000" w:themeColor="text1"/>
          <w:sz w:val="32"/>
          <w:szCs w:val="32"/>
        </w:rPr>
        <w:t>万元，其中：一般公共预算拔款资金</w:t>
      </w:r>
      <w:r>
        <w:rPr>
          <w:rFonts w:hint="eastAsia" w:ascii="仿宋" w:hAnsi="仿宋" w:eastAsia="仿宋" w:cs="仿宋"/>
          <w:color w:val="000000" w:themeColor="text1"/>
          <w:sz w:val="32"/>
          <w:szCs w:val="32"/>
          <w:lang w:val="en-US" w:eastAsia="zh-CN"/>
        </w:rPr>
        <w:t>2571.56</w:t>
      </w:r>
      <w:r>
        <w:rPr>
          <w:rFonts w:hint="eastAsia" w:ascii="仿宋" w:hAnsi="仿宋" w:eastAsia="仿宋" w:cs="仿宋"/>
          <w:color w:val="000000" w:themeColor="text1"/>
          <w:sz w:val="32"/>
          <w:szCs w:val="32"/>
        </w:rPr>
        <w:t>万元（其中：本级追加593万元，上级补助700万元。），</w:t>
      </w:r>
      <w:r>
        <w:rPr>
          <w:rFonts w:hint="eastAsia" w:ascii="仿宋" w:hAnsi="仿宋" w:eastAsia="仿宋"/>
          <w:color w:val="000000" w:themeColor="text1"/>
          <w:sz w:val="32"/>
          <w:szCs w:val="32"/>
        </w:rPr>
        <w:t>占收支总比9</w:t>
      </w:r>
      <w:r>
        <w:rPr>
          <w:rFonts w:hint="eastAsia" w:ascii="仿宋" w:hAnsi="仿宋" w:eastAsia="仿宋"/>
          <w:color w:val="000000" w:themeColor="text1"/>
          <w:sz w:val="32"/>
          <w:szCs w:val="32"/>
          <w:lang w:val="en-US" w:eastAsia="zh-CN"/>
        </w:rPr>
        <w:t>3.1</w:t>
      </w:r>
      <w:r>
        <w:rPr>
          <w:rFonts w:hint="eastAsia" w:ascii="仿宋" w:hAnsi="仿宋" w:eastAsia="仿宋"/>
          <w:color w:val="000000" w:themeColor="text1"/>
          <w:sz w:val="32"/>
          <w:szCs w:val="32"/>
        </w:rPr>
        <w:t>%；</w:t>
      </w:r>
      <w:r>
        <w:rPr>
          <w:rFonts w:hint="eastAsia" w:ascii="仿宋" w:hAnsi="仿宋" w:eastAsia="仿宋" w:cs="仿宋"/>
          <w:color w:val="000000" w:themeColor="text1"/>
          <w:sz w:val="32"/>
          <w:szCs w:val="32"/>
        </w:rPr>
        <w:t>政府性基金19</w:t>
      </w:r>
      <w:r>
        <w:rPr>
          <w:rFonts w:hint="eastAsia" w:ascii="仿宋" w:hAnsi="仿宋" w:eastAsia="仿宋" w:cs="仿宋"/>
          <w:color w:val="000000" w:themeColor="text1"/>
          <w:sz w:val="32"/>
          <w:szCs w:val="32"/>
          <w:lang w:val="en-US" w:eastAsia="zh-CN"/>
        </w:rPr>
        <w:t>1</w:t>
      </w:r>
      <w:r>
        <w:rPr>
          <w:rFonts w:hint="eastAsia" w:ascii="仿宋" w:hAnsi="仿宋" w:eastAsia="仿宋" w:cs="仿宋"/>
          <w:color w:val="000000" w:themeColor="text1"/>
          <w:sz w:val="32"/>
          <w:szCs w:val="32"/>
        </w:rPr>
        <w:t>万元（来源于体育彩票县级分成、省体彩中心的全民健身赛事经费），</w:t>
      </w:r>
      <w:r>
        <w:rPr>
          <w:rFonts w:hint="eastAsia" w:ascii="仿宋" w:hAnsi="仿宋" w:eastAsia="仿宋"/>
          <w:color w:val="000000" w:themeColor="text1"/>
          <w:sz w:val="32"/>
          <w:szCs w:val="32"/>
        </w:rPr>
        <w:t>占收支总比</w:t>
      </w:r>
      <w:r>
        <w:rPr>
          <w:rFonts w:hint="eastAsia" w:ascii="仿宋" w:hAnsi="仿宋" w:eastAsia="仿宋"/>
          <w:color w:val="000000" w:themeColor="text1"/>
          <w:sz w:val="32"/>
          <w:szCs w:val="32"/>
          <w:lang w:val="en-US" w:eastAsia="zh-CN"/>
        </w:rPr>
        <w:t>6.9</w:t>
      </w:r>
      <w:r>
        <w:rPr>
          <w:rFonts w:hint="eastAsia" w:ascii="仿宋" w:hAnsi="仿宋" w:eastAsia="仿宋"/>
          <w:color w:val="000000" w:themeColor="text1"/>
          <w:sz w:val="32"/>
          <w:szCs w:val="32"/>
        </w:rPr>
        <w:t>%</w:t>
      </w:r>
      <w:r>
        <w:rPr>
          <w:rFonts w:hint="eastAsia" w:ascii="仿宋" w:hAnsi="仿宋" w:eastAsia="仿宋" w:cs="仿宋"/>
          <w:color w:val="000000" w:themeColor="text1"/>
          <w:sz w:val="32"/>
          <w:szCs w:val="32"/>
        </w:rPr>
        <w:t>；其他收入</w:t>
      </w:r>
      <w:r>
        <w:rPr>
          <w:rFonts w:hint="eastAsia" w:ascii="仿宋" w:hAnsi="仿宋" w:eastAsia="仿宋" w:cs="仿宋"/>
          <w:color w:val="000000" w:themeColor="text1"/>
          <w:sz w:val="32"/>
          <w:szCs w:val="32"/>
          <w:lang w:val="en-US" w:eastAsia="zh-CN"/>
        </w:rPr>
        <w:t>0</w:t>
      </w:r>
      <w:r>
        <w:rPr>
          <w:rFonts w:hint="eastAsia" w:ascii="仿宋" w:hAnsi="仿宋" w:eastAsia="仿宋" w:cs="仿宋"/>
          <w:color w:val="000000" w:themeColor="text1"/>
          <w:sz w:val="32"/>
          <w:szCs w:val="32"/>
        </w:rPr>
        <w:t>万元，</w:t>
      </w:r>
      <w:r>
        <w:rPr>
          <w:rFonts w:hint="eastAsia" w:ascii="仿宋" w:hAnsi="仿宋" w:eastAsia="仿宋"/>
          <w:color w:val="000000" w:themeColor="text1"/>
          <w:sz w:val="32"/>
          <w:szCs w:val="32"/>
        </w:rPr>
        <w:t>占收支总比</w:t>
      </w:r>
      <w:r>
        <w:rPr>
          <w:rFonts w:hint="eastAsia" w:ascii="仿宋" w:hAnsi="仿宋" w:eastAsia="仿宋"/>
          <w:color w:val="000000" w:themeColor="text1"/>
          <w:sz w:val="32"/>
          <w:szCs w:val="32"/>
          <w:lang w:val="en-US" w:eastAsia="zh-CN"/>
        </w:rPr>
        <w:t>0</w:t>
      </w:r>
      <w:r>
        <w:rPr>
          <w:rFonts w:hint="eastAsia" w:ascii="仿宋" w:hAnsi="仿宋" w:eastAsia="仿宋"/>
          <w:color w:val="000000" w:themeColor="text1"/>
          <w:sz w:val="32"/>
          <w:szCs w:val="32"/>
        </w:rPr>
        <w:t>%。</w:t>
      </w:r>
    </w:p>
    <w:p>
      <w:pPr>
        <w:spacing w:line="600" w:lineRule="exact"/>
        <w:ind w:firstLine="643" w:firstLineChars="200"/>
        <w:rPr>
          <w:rFonts w:ascii="仿宋" w:hAnsi="仿宋" w:eastAsia="仿宋"/>
          <w:b/>
          <w:color w:val="000000" w:themeColor="text1"/>
          <w:sz w:val="32"/>
          <w:szCs w:val="32"/>
        </w:rPr>
      </w:pPr>
      <w:r>
        <w:rPr>
          <w:rFonts w:hint="eastAsia" w:ascii="仿宋" w:hAnsi="仿宋" w:eastAsia="仿宋" w:cs="仿宋"/>
          <w:b/>
          <w:color w:val="000000" w:themeColor="text1"/>
          <w:sz w:val="32"/>
          <w:szCs w:val="32"/>
        </w:rPr>
        <w:t>2.决算</w:t>
      </w:r>
      <w:r>
        <w:rPr>
          <w:rFonts w:hint="eastAsia" w:ascii="仿宋" w:hAnsi="仿宋" w:eastAsia="仿宋"/>
          <w:b/>
          <w:color w:val="000000" w:themeColor="text1"/>
          <w:sz w:val="32"/>
          <w:szCs w:val="32"/>
        </w:rPr>
        <w:t>资金使用情况</w:t>
      </w:r>
    </w:p>
    <w:p>
      <w:pPr>
        <w:pStyle w:val="4"/>
        <w:spacing w:line="360" w:lineRule="atLeast"/>
        <w:ind w:firstLine="480"/>
        <w:rPr>
          <w:rFonts w:ascii="仿宋" w:hAnsi="仿宋" w:eastAsia="仿宋" w:cs="仿宋"/>
          <w:color w:val="000000" w:themeColor="text1"/>
          <w:kern w:val="2"/>
          <w:sz w:val="32"/>
          <w:szCs w:val="32"/>
        </w:rPr>
      </w:pPr>
      <w:r>
        <w:rPr>
          <w:rFonts w:hint="eastAsia" w:ascii="仿宋" w:hAnsi="仿宋" w:eastAsia="仿宋" w:cs="仿宋"/>
          <w:color w:val="000000" w:themeColor="text1"/>
          <w:sz w:val="32"/>
          <w:szCs w:val="32"/>
        </w:rPr>
        <w:t>衡南县文化旅游广电体育局</w:t>
      </w:r>
      <w:r>
        <w:rPr>
          <w:rFonts w:hint="eastAsia" w:ascii="仿宋" w:hAnsi="仿宋" w:eastAsia="仿宋" w:cs="仿宋"/>
          <w:color w:val="000000" w:themeColor="text1"/>
          <w:kern w:val="2"/>
          <w:sz w:val="32"/>
          <w:szCs w:val="32"/>
        </w:rPr>
        <w:t>2021年度支出合计</w:t>
      </w:r>
      <w:r>
        <w:rPr>
          <w:rFonts w:hint="eastAsia" w:ascii="仿宋" w:hAnsi="仿宋" w:eastAsia="仿宋" w:cs="仿宋"/>
          <w:color w:val="000000" w:themeColor="text1"/>
          <w:sz w:val="32"/>
          <w:szCs w:val="32"/>
        </w:rPr>
        <w:t>2762.56</w:t>
      </w:r>
      <w:r>
        <w:rPr>
          <w:rFonts w:hint="eastAsia" w:ascii="仿宋" w:hAnsi="仿宋" w:eastAsia="仿宋" w:cs="仿宋"/>
          <w:color w:val="000000" w:themeColor="text1"/>
          <w:kern w:val="2"/>
          <w:sz w:val="32"/>
          <w:szCs w:val="32"/>
        </w:rPr>
        <w:t>万元。其中：基本支出611.76万元，占总支出的22.14％；项目支出2150.8万元，占总支出的77.86％；2020年度决算总支出合计为2019.4万元，2021年与上年对比总支出上升了36.8%，其中：基本支出下降36.82%（上年度基本支出968.28万元），主要原因是原乡镇文化站人员预算在2021年年划归各乡镇（街道办事处）；项目支出上升104.62%（上年度项目支出1051.12万元），主要原因是：2021年增加“一门四烈”归园、社会足球场等公共基础设施的投入及市十一届运动会参赛及承办费。</w:t>
      </w:r>
    </w:p>
    <w:p>
      <w:pPr>
        <w:spacing w:line="600" w:lineRule="exact"/>
        <w:ind w:firstLine="643" w:firstLineChars="200"/>
        <w:rPr>
          <w:rFonts w:ascii="楷体" w:hAnsi="楷体" w:eastAsia="楷体" w:cs="楷体"/>
          <w:b/>
          <w:color w:val="000000" w:themeColor="text1"/>
          <w:sz w:val="32"/>
          <w:szCs w:val="32"/>
        </w:rPr>
      </w:pPr>
      <w:r>
        <w:rPr>
          <w:rFonts w:hint="eastAsia" w:ascii="楷体" w:hAnsi="楷体" w:eastAsia="楷体" w:cs="楷体"/>
          <w:b/>
          <w:color w:val="000000" w:themeColor="text1"/>
          <w:sz w:val="32"/>
          <w:szCs w:val="32"/>
        </w:rPr>
        <w:t>（三）2021年决算支出分类情况</w:t>
      </w:r>
    </w:p>
    <w:p>
      <w:pPr>
        <w:spacing w:line="600" w:lineRule="exact"/>
        <w:ind w:firstLine="643" w:firstLineChars="200"/>
        <w:rPr>
          <w:rFonts w:ascii="楷体" w:hAnsi="楷体" w:eastAsia="楷体" w:cs="楷体"/>
          <w:b/>
          <w:color w:val="000000" w:themeColor="text1"/>
          <w:sz w:val="32"/>
          <w:szCs w:val="32"/>
        </w:rPr>
      </w:pPr>
      <w:r>
        <w:rPr>
          <w:rFonts w:hint="eastAsia" w:ascii="楷体" w:hAnsi="楷体" w:eastAsia="楷体" w:cs="楷体"/>
          <w:b/>
          <w:color w:val="000000" w:themeColor="text1"/>
          <w:sz w:val="32"/>
          <w:szCs w:val="32"/>
        </w:rPr>
        <w:t>（1）基本支出情况</w:t>
      </w:r>
    </w:p>
    <w:p>
      <w:pPr>
        <w:rPr>
          <w:color w:val="000000" w:themeColor="text1"/>
        </w:rPr>
      </w:pPr>
      <w:r>
        <w:rPr>
          <w:rFonts w:hint="eastAsia" w:ascii="仿宋" w:hAnsi="仿宋" w:eastAsia="仿宋" w:cs="仿宋"/>
          <w:color w:val="000000" w:themeColor="text1"/>
          <w:sz w:val="32"/>
          <w:szCs w:val="32"/>
        </w:rPr>
        <w:t>2021年度用于保障衡南县文化旅游广电体育局正常运转的日常支出611.76万元。</w:t>
      </w:r>
      <w:r>
        <w:rPr>
          <w:rFonts w:hint="eastAsia" w:ascii="仿宋" w:hAnsi="仿宋" w:eastAsia="仿宋"/>
          <w:color w:val="000000" w:themeColor="text1"/>
          <w:sz w:val="32"/>
          <w:szCs w:val="32"/>
        </w:rPr>
        <w:t>包括基本工资、津贴补贴等人员经费支出547.88万元，占基本支出的89.56％；</w:t>
      </w:r>
    </w:p>
    <w:p>
      <w:pPr>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办公费、印刷费、水电费、办公设备购置等日常公用经费支出63.89万元，占基本支出的10.44％；</w:t>
      </w:r>
    </w:p>
    <w:p>
      <w:pPr>
        <w:pStyle w:val="4"/>
        <w:spacing w:line="360" w:lineRule="atLeast"/>
        <w:rPr>
          <w:rFonts w:ascii="仿宋" w:hAnsi="仿宋" w:eastAsia="仿宋"/>
          <w:b/>
          <w:color w:val="000000" w:themeColor="text1"/>
          <w:sz w:val="32"/>
          <w:szCs w:val="32"/>
        </w:rPr>
      </w:pPr>
      <w:r>
        <w:rPr>
          <w:rFonts w:hint="eastAsia" w:ascii="仿宋" w:hAnsi="仿宋" w:eastAsia="仿宋"/>
          <w:color w:val="000000" w:themeColor="text1"/>
          <w:sz w:val="32"/>
          <w:szCs w:val="32"/>
        </w:rPr>
        <w:t xml:space="preserve">   </w:t>
      </w:r>
      <w:r>
        <w:rPr>
          <w:rFonts w:hint="eastAsia" w:ascii="仿宋" w:hAnsi="仿宋" w:eastAsia="仿宋"/>
          <w:b/>
          <w:color w:val="000000" w:themeColor="text1"/>
          <w:sz w:val="32"/>
          <w:szCs w:val="32"/>
        </w:rPr>
        <w:t>（2）项目支出情况</w:t>
      </w:r>
    </w:p>
    <w:p>
      <w:pPr>
        <w:pStyle w:val="4"/>
        <w:spacing w:line="360" w:lineRule="atLeast"/>
        <w:rPr>
          <w:rFonts w:ascii="仿宋" w:hAnsi="仿宋" w:eastAsia="仿宋"/>
          <w:b/>
          <w:color w:val="000000" w:themeColor="text1"/>
          <w:sz w:val="32"/>
          <w:szCs w:val="32"/>
        </w:rPr>
      </w:pPr>
      <w:r>
        <w:rPr>
          <w:rFonts w:hint="eastAsia" w:ascii="仿宋" w:hAnsi="仿宋" w:eastAsia="仿宋"/>
          <w:b/>
          <w:color w:val="000000" w:themeColor="text1"/>
          <w:sz w:val="32"/>
          <w:szCs w:val="32"/>
        </w:rPr>
        <w:t xml:space="preserve">    </w:t>
      </w:r>
      <w:r>
        <w:rPr>
          <w:rFonts w:hint="eastAsia" w:ascii="仿宋" w:hAnsi="仿宋" w:eastAsia="仿宋" w:cs="仿宋"/>
          <w:color w:val="000000" w:themeColor="text1"/>
          <w:sz w:val="30"/>
          <w:szCs w:val="30"/>
        </w:rPr>
        <w:t>项目支出系我局为完成文化、旅游、体育、广电等工作而发生的支出， 2021年项目支出</w:t>
      </w:r>
      <w:r>
        <w:rPr>
          <w:rFonts w:hint="eastAsia" w:ascii="仿宋" w:hAnsi="仿宋" w:eastAsia="仿宋" w:cs="仿宋"/>
          <w:color w:val="000000" w:themeColor="text1"/>
          <w:kern w:val="2"/>
          <w:sz w:val="32"/>
          <w:szCs w:val="32"/>
        </w:rPr>
        <w:t>2150.8</w:t>
      </w:r>
      <w:r>
        <w:rPr>
          <w:rFonts w:hint="eastAsia" w:ascii="仿宋" w:hAnsi="仿宋" w:eastAsia="仿宋" w:cs="仿宋"/>
          <w:color w:val="000000" w:themeColor="text1"/>
          <w:sz w:val="30"/>
          <w:szCs w:val="30"/>
        </w:rPr>
        <w:t>万元，2020年项目支出1051.12万元，较上年增加了1099.68万元。2021年项目支出主要有：</w:t>
      </w:r>
      <w:r>
        <w:rPr>
          <w:rFonts w:hint="eastAsia" w:ascii="仿宋" w:hAnsi="仿宋" w:eastAsia="仿宋" w:cs="仿宋"/>
          <w:color w:val="000000" w:themeColor="text1"/>
          <w:kern w:val="2"/>
          <w:sz w:val="32"/>
          <w:szCs w:val="32"/>
        </w:rPr>
        <w:t>“一门四烈”归园布展及开园</w:t>
      </w:r>
      <w:r>
        <w:rPr>
          <w:rFonts w:hint="eastAsia" w:ascii="仿宋" w:hAnsi="仿宋" w:eastAsia="仿宋" w:cs="仿宋"/>
          <w:color w:val="000000" w:themeColor="text1"/>
          <w:sz w:val="30"/>
          <w:szCs w:val="30"/>
        </w:rPr>
        <w:t>、</w:t>
      </w:r>
      <w:r>
        <w:rPr>
          <w:rFonts w:hint="eastAsia" w:ascii="仿宋" w:hAnsi="仿宋" w:eastAsia="仿宋" w:cs="仿宋"/>
          <w:color w:val="000000" w:themeColor="text1"/>
          <w:kern w:val="2"/>
          <w:sz w:val="32"/>
          <w:szCs w:val="32"/>
        </w:rPr>
        <w:t>市十一届运动会参赛及承办费、</w:t>
      </w:r>
      <w:r>
        <w:rPr>
          <w:rFonts w:hint="eastAsia" w:ascii="仿宋" w:hAnsi="仿宋" w:eastAsia="仿宋" w:cs="仿宋"/>
          <w:color w:val="000000" w:themeColor="text1"/>
          <w:sz w:val="30"/>
          <w:szCs w:val="30"/>
        </w:rPr>
        <w:t>社会足球场建设、健身设施添置、湖南省青少年射击锦标赛等发生的支出。</w:t>
      </w:r>
    </w:p>
    <w:p>
      <w:pPr>
        <w:spacing w:line="600" w:lineRule="exact"/>
        <w:ind w:firstLine="643" w:firstLineChars="200"/>
        <w:rPr>
          <w:rFonts w:cs="仿宋" w:asciiTheme="minorEastAsia" w:hAnsiTheme="minorEastAsia" w:eastAsiaTheme="minorEastAsia"/>
          <w:b/>
          <w:sz w:val="30"/>
          <w:szCs w:val="30"/>
        </w:rPr>
      </w:pPr>
      <w:r>
        <w:rPr>
          <w:rFonts w:hint="eastAsia" w:ascii="楷体" w:hAnsi="楷体" w:eastAsia="楷体" w:cs="楷体"/>
          <w:b/>
          <w:color w:val="666666"/>
          <w:sz w:val="32"/>
          <w:szCs w:val="32"/>
        </w:rPr>
        <w:t>（二）</w:t>
      </w:r>
      <w:r>
        <w:rPr>
          <w:rFonts w:hint="eastAsia" w:cs="仿宋" w:asciiTheme="minorEastAsia" w:hAnsiTheme="minorEastAsia" w:eastAsiaTheme="minorEastAsia"/>
          <w:b/>
          <w:sz w:val="30"/>
          <w:szCs w:val="30"/>
        </w:rPr>
        <w:t>“三公”经费支出使用和管理情况</w:t>
      </w:r>
    </w:p>
    <w:p>
      <w:pPr>
        <w:pStyle w:val="4"/>
        <w:spacing w:line="360" w:lineRule="atLeast"/>
        <w:ind w:firstLine="643" w:firstLineChars="200"/>
        <w:rPr>
          <w:rFonts w:ascii="仿宋" w:hAnsi="仿宋" w:eastAsia="仿宋"/>
          <w:sz w:val="32"/>
          <w:szCs w:val="32"/>
        </w:rPr>
      </w:pPr>
      <w:r>
        <w:rPr>
          <w:rFonts w:hint="eastAsia" w:ascii="仿宋" w:hAnsi="仿宋" w:eastAsia="仿宋"/>
          <w:b/>
          <w:color w:val="666666"/>
          <w:sz w:val="32"/>
          <w:szCs w:val="32"/>
        </w:rPr>
        <w:t>1.</w:t>
      </w:r>
      <w:r>
        <w:rPr>
          <w:rFonts w:hint="eastAsia" w:ascii="仿宋" w:hAnsi="仿宋" w:eastAsia="仿宋"/>
          <w:sz w:val="32"/>
          <w:szCs w:val="32"/>
        </w:rPr>
        <w:t xml:space="preserve"> 因公出国（境）经费</w:t>
      </w:r>
    </w:p>
    <w:p>
      <w:pPr>
        <w:widowControl/>
        <w:shd w:val="clear" w:color="auto" w:fill="FFFFFF"/>
        <w:spacing w:line="450" w:lineRule="atLeast"/>
        <w:ind w:firstLine="640" w:firstLineChars="200"/>
        <w:jc w:val="left"/>
        <w:rPr>
          <w:rFonts w:ascii="仿宋" w:hAnsi="仿宋" w:eastAsia="仿宋" w:cs="宋体"/>
          <w:kern w:val="0"/>
          <w:sz w:val="32"/>
          <w:szCs w:val="32"/>
        </w:rPr>
      </w:pPr>
      <w:r>
        <w:rPr>
          <w:rFonts w:hint="eastAsia" w:ascii="仿宋" w:hAnsi="仿宋" w:eastAsia="仿宋" w:cs="宋体"/>
          <w:kern w:val="0"/>
          <w:sz w:val="32"/>
          <w:szCs w:val="32"/>
        </w:rPr>
        <w:t>2021年预算安排</w:t>
      </w:r>
      <w:r>
        <w:rPr>
          <w:rFonts w:hint="eastAsia" w:ascii="仿宋" w:hAnsi="仿宋" w:eastAsia="仿宋" w:cs="宋体"/>
          <w:kern w:val="0"/>
          <w:sz w:val="32"/>
          <w:szCs w:val="32"/>
          <w:lang w:val="en-US" w:eastAsia="zh-CN"/>
        </w:rPr>
        <w:t>4</w:t>
      </w:r>
      <w:r>
        <w:rPr>
          <w:rFonts w:hint="eastAsia" w:ascii="仿宋" w:hAnsi="仿宋" w:eastAsia="仿宋" w:cs="宋体"/>
          <w:kern w:val="0"/>
          <w:sz w:val="32"/>
          <w:szCs w:val="32"/>
        </w:rPr>
        <w:t>万元。无安排因公出国(境)经费。</w:t>
      </w:r>
    </w:p>
    <w:p>
      <w:pPr>
        <w:widowControl/>
        <w:shd w:val="clear" w:color="auto" w:fill="FFFFFF"/>
        <w:spacing w:line="450" w:lineRule="atLeast"/>
        <w:ind w:firstLine="640" w:firstLineChars="200"/>
        <w:jc w:val="left"/>
        <w:rPr>
          <w:rFonts w:ascii="仿宋" w:hAnsi="仿宋" w:eastAsia="仿宋" w:cs="宋体"/>
          <w:kern w:val="0"/>
          <w:sz w:val="32"/>
          <w:szCs w:val="32"/>
        </w:rPr>
      </w:pPr>
      <w:r>
        <w:rPr>
          <w:rFonts w:hint="eastAsia" w:ascii="仿宋" w:hAnsi="仿宋" w:eastAsia="仿宋" w:cs="宋体"/>
          <w:kern w:val="0"/>
          <w:sz w:val="32"/>
          <w:szCs w:val="32"/>
        </w:rPr>
        <w:t>2.公务接待费</w:t>
      </w:r>
    </w:p>
    <w:p>
      <w:pPr>
        <w:widowControl/>
        <w:shd w:val="clear" w:color="auto" w:fill="FFFFFF"/>
        <w:spacing w:line="450" w:lineRule="atLeast"/>
        <w:ind w:firstLine="640" w:firstLineChars="200"/>
        <w:jc w:val="left"/>
        <w:rPr>
          <w:rFonts w:ascii="仿宋" w:hAnsi="仿宋" w:eastAsia="仿宋" w:cs="宋体"/>
          <w:kern w:val="0"/>
          <w:sz w:val="32"/>
          <w:szCs w:val="32"/>
        </w:rPr>
      </w:pPr>
      <w:r>
        <w:rPr>
          <w:rFonts w:hint="eastAsia" w:ascii="仿宋" w:hAnsi="仿宋" w:eastAsia="仿宋" w:cs="宋体"/>
          <w:kern w:val="0"/>
          <w:sz w:val="32"/>
          <w:szCs w:val="32"/>
        </w:rPr>
        <w:t>2021年公务接待费2.0</w:t>
      </w:r>
      <w:r>
        <w:rPr>
          <w:rFonts w:hint="eastAsia" w:ascii="仿宋" w:hAnsi="仿宋" w:eastAsia="仿宋" w:cs="宋体"/>
          <w:kern w:val="0"/>
          <w:sz w:val="32"/>
          <w:szCs w:val="32"/>
          <w:lang w:val="en-US" w:eastAsia="zh-CN"/>
        </w:rPr>
        <w:t>7</w:t>
      </w:r>
      <w:r>
        <w:rPr>
          <w:rFonts w:hint="eastAsia" w:ascii="仿宋" w:hAnsi="仿宋" w:eastAsia="仿宋" w:cs="宋体"/>
          <w:kern w:val="0"/>
          <w:sz w:val="32"/>
          <w:szCs w:val="32"/>
        </w:rPr>
        <w:t>万元。主要用于各类文化体育活动演职人员、工作人员及各兄弟单位互访学习交流工作餐支出。我局严格执行国家、省、市、县的相关规定，厉行节约，严控“三公”经费的支出。</w:t>
      </w:r>
    </w:p>
    <w:p>
      <w:pPr>
        <w:widowControl/>
        <w:shd w:val="clear" w:color="auto" w:fill="FFFFFF"/>
        <w:spacing w:line="450" w:lineRule="atLeast"/>
        <w:ind w:firstLine="480"/>
        <w:jc w:val="left"/>
        <w:rPr>
          <w:rFonts w:ascii="仿宋" w:hAnsi="仿宋" w:eastAsia="仿宋" w:cs="宋体"/>
          <w:kern w:val="0"/>
          <w:sz w:val="32"/>
          <w:szCs w:val="32"/>
        </w:rPr>
      </w:pPr>
      <w:r>
        <w:rPr>
          <w:rFonts w:hint="eastAsia" w:ascii="仿宋" w:hAnsi="仿宋" w:eastAsia="仿宋" w:cs="宋体"/>
          <w:kern w:val="0"/>
          <w:sz w:val="32"/>
          <w:szCs w:val="32"/>
        </w:rPr>
        <w:t>3. 公务用车购置及运行费</w:t>
      </w:r>
    </w:p>
    <w:p>
      <w:pPr>
        <w:widowControl/>
        <w:shd w:val="clear" w:color="auto" w:fill="FFFFFF"/>
        <w:spacing w:line="450" w:lineRule="atLeast"/>
        <w:ind w:firstLine="480"/>
        <w:jc w:val="left"/>
        <w:rPr>
          <w:rFonts w:ascii="仿宋" w:hAnsi="仿宋" w:eastAsia="仿宋" w:cs="宋体"/>
          <w:kern w:val="0"/>
          <w:sz w:val="32"/>
          <w:szCs w:val="32"/>
        </w:rPr>
      </w:pPr>
      <w:r>
        <w:rPr>
          <w:rFonts w:hint="eastAsia" w:ascii="仿宋" w:hAnsi="仿宋" w:eastAsia="仿宋" w:cs="宋体"/>
          <w:kern w:val="0"/>
          <w:sz w:val="32"/>
          <w:szCs w:val="32"/>
        </w:rPr>
        <w:t>2021年</w:t>
      </w:r>
      <w:r>
        <w:rPr>
          <w:rFonts w:hint="eastAsia" w:ascii="仿宋" w:hAnsi="仿宋" w:eastAsia="仿宋" w:cs="仿宋"/>
          <w:color w:val="000000" w:themeColor="text1"/>
          <w:sz w:val="32"/>
          <w:szCs w:val="32"/>
        </w:rPr>
        <w:t>衡南县文化旅游广电体育局</w:t>
      </w:r>
      <w:r>
        <w:rPr>
          <w:rFonts w:hint="eastAsia" w:ascii="仿宋" w:hAnsi="仿宋" w:eastAsia="仿宋" w:cs="宋体"/>
          <w:kern w:val="0"/>
          <w:sz w:val="32"/>
          <w:szCs w:val="32"/>
        </w:rPr>
        <w:t>本级现有车辆0辆，无公车运行费。</w:t>
      </w:r>
    </w:p>
    <w:p>
      <w:pPr>
        <w:widowControl/>
        <w:shd w:val="clear" w:color="auto" w:fill="FFFFFF"/>
        <w:spacing w:line="450" w:lineRule="atLeast"/>
        <w:ind w:firstLine="480"/>
        <w:jc w:val="left"/>
        <w:rPr>
          <w:rFonts w:ascii="楷体" w:hAnsi="楷体" w:eastAsia="楷体" w:cs="楷体"/>
          <w:b/>
          <w:kern w:val="0"/>
          <w:sz w:val="32"/>
          <w:szCs w:val="32"/>
        </w:rPr>
      </w:pPr>
      <w:r>
        <w:rPr>
          <w:rFonts w:hint="eastAsia" w:ascii="楷体" w:hAnsi="楷体" w:eastAsia="楷体" w:cs="楷体"/>
          <w:b/>
          <w:kern w:val="0"/>
          <w:sz w:val="32"/>
          <w:szCs w:val="32"/>
        </w:rPr>
        <w:t>（四）其他事项说明</w:t>
      </w:r>
    </w:p>
    <w:p>
      <w:pPr>
        <w:widowControl/>
        <w:shd w:val="clear" w:color="auto" w:fill="FFFFFF"/>
        <w:spacing w:line="450" w:lineRule="atLeast"/>
        <w:ind w:firstLine="480" w:firstLineChars="150"/>
        <w:jc w:val="left"/>
        <w:rPr>
          <w:rFonts w:ascii="仿宋" w:hAnsi="仿宋" w:eastAsia="仿宋" w:cs="宋体"/>
          <w:kern w:val="0"/>
          <w:sz w:val="32"/>
          <w:szCs w:val="32"/>
        </w:rPr>
      </w:pPr>
      <w:r>
        <w:rPr>
          <w:rFonts w:hint="eastAsia" w:ascii="仿宋" w:hAnsi="仿宋" w:eastAsia="仿宋" w:cs="宋体"/>
          <w:kern w:val="0"/>
          <w:sz w:val="32"/>
          <w:szCs w:val="32"/>
        </w:rPr>
        <w:t>1.日常公用经费</w:t>
      </w:r>
    </w:p>
    <w:p>
      <w:pPr>
        <w:widowControl/>
        <w:shd w:val="clear" w:color="auto" w:fill="FFFFFF"/>
        <w:spacing w:line="360" w:lineRule="auto"/>
        <w:ind w:firstLine="480"/>
        <w:jc w:val="left"/>
        <w:rPr>
          <w:rFonts w:ascii="仿宋" w:hAnsi="仿宋" w:eastAsia="仿宋" w:cs="宋体"/>
          <w:kern w:val="0"/>
          <w:sz w:val="32"/>
          <w:szCs w:val="32"/>
        </w:rPr>
      </w:pPr>
      <w:r>
        <w:rPr>
          <w:rFonts w:hint="eastAsia" w:ascii="仿宋" w:hAnsi="仿宋" w:eastAsia="仿宋" w:cs="宋体"/>
          <w:kern w:val="0"/>
          <w:sz w:val="32"/>
          <w:szCs w:val="32"/>
        </w:rPr>
        <w:t>2021年</w:t>
      </w:r>
      <w:r>
        <w:rPr>
          <w:rFonts w:hint="eastAsia" w:ascii="仿宋" w:hAnsi="仿宋" w:eastAsia="仿宋" w:cs="仿宋"/>
          <w:color w:val="000000" w:themeColor="text1"/>
          <w:sz w:val="32"/>
          <w:szCs w:val="32"/>
        </w:rPr>
        <w:t>衡南县文化旅游广电体育局</w:t>
      </w:r>
      <w:r>
        <w:rPr>
          <w:rFonts w:hint="eastAsia" w:ascii="仿宋" w:hAnsi="仿宋" w:eastAsia="仿宋" w:cs="宋体"/>
          <w:kern w:val="0"/>
          <w:sz w:val="32"/>
          <w:szCs w:val="32"/>
        </w:rPr>
        <w:t>一般公共预算拨款安排的机关运行经费支出25.8万元，与2020年12.6万增加4.2万元，增加104.78%，主要是增加了转隶人员。</w:t>
      </w:r>
    </w:p>
    <w:p>
      <w:pPr>
        <w:widowControl/>
        <w:shd w:val="clear" w:color="auto" w:fill="FFFFFF"/>
        <w:spacing w:line="450" w:lineRule="atLeast"/>
        <w:ind w:firstLine="480"/>
        <w:jc w:val="left"/>
        <w:rPr>
          <w:rFonts w:ascii="仿宋" w:hAnsi="仿宋" w:eastAsia="仿宋" w:cs="宋体"/>
          <w:kern w:val="0"/>
          <w:sz w:val="32"/>
          <w:szCs w:val="32"/>
        </w:rPr>
      </w:pPr>
      <w:r>
        <w:rPr>
          <w:rFonts w:hint="eastAsia" w:ascii="仿宋" w:hAnsi="仿宋" w:eastAsia="仿宋" w:cs="宋体"/>
          <w:kern w:val="0"/>
          <w:sz w:val="32"/>
          <w:szCs w:val="32"/>
        </w:rPr>
        <w:t>3.国有资产占用使用情况</w:t>
      </w:r>
    </w:p>
    <w:p>
      <w:pPr>
        <w:widowControl/>
        <w:shd w:val="clear" w:color="auto" w:fill="FFFFFF"/>
        <w:spacing w:line="450" w:lineRule="atLeast"/>
        <w:ind w:firstLine="480"/>
        <w:jc w:val="left"/>
        <w:rPr>
          <w:rFonts w:ascii="仿宋" w:hAnsi="仿宋" w:eastAsia="仿宋"/>
          <w:b/>
          <w:color w:val="666666"/>
          <w:sz w:val="32"/>
          <w:szCs w:val="32"/>
        </w:rPr>
      </w:pPr>
      <w:r>
        <w:rPr>
          <w:rFonts w:hint="eastAsia" w:ascii="仿宋" w:hAnsi="仿宋" w:eastAsia="仿宋" w:cs="宋体"/>
          <w:kern w:val="0"/>
          <w:sz w:val="32"/>
          <w:szCs w:val="32"/>
        </w:rPr>
        <w:t>截止2021年底，</w:t>
      </w:r>
      <w:r>
        <w:rPr>
          <w:rFonts w:hint="eastAsia" w:ascii="仿宋" w:hAnsi="仿宋" w:eastAsia="仿宋" w:cs="仿宋"/>
          <w:color w:val="000000" w:themeColor="text1"/>
          <w:sz w:val="32"/>
          <w:szCs w:val="32"/>
        </w:rPr>
        <w:t>衡南县文化旅游广电体育局</w:t>
      </w:r>
      <w:r>
        <w:rPr>
          <w:rFonts w:hint="eastAsia" w:ascii="仿宋" w:hAnsi="仿宋" w:eastAsia="仿宋" w:cs="宋体"/>
          <w:kern w:val="0"/>
          <w:sz w:val="32"/>
          <w:szCs w:val="32"/>
        </w:rPr>
        <w:t>本级现有车辆0辆，50万元的通用设备及专用设备为0。</w:t>
      </w:r>
    </w:p>
    <w:p>
      <w:pPr>
        <w:ind w:firstLine="640" w:firstLineChars="200"/>
        <w:rPr>
          <w:rFonts w:ascii="黑体" w:hAnsi="黑体" w:eastAsia="黑体" w:cs="黑体"/>
          <w:sz w:val="32"/>
          <w:szCs w:val="32"/>
        </w:rPr>
      </w:pPr>
      <w:r>
        <w:rPr>
          <w:rFonts w:hint="eastAsia" w:ascii="黑体" w:hAnsi="黑体" w:eastAsia="黑体" w:cs="黑体"/>
          <w:color w:val="333333"/>
          <w:kern w:val="0"/>
          <w:sz w:val="32"/>
          <w:szCs w:val="32"/>
        </w:rPr>
        <w:t>三、</w:t>
      </w:r>
      <w:r>
        <w:rPr>
          <w:rFonts w:hint="eastAsia" w:ascii="黑体" w:hAnsi="黑体" w:eastAsia="黑体" w:cs="黑体"/>
          <w:sz w:val="32"/>
          <w:szCs w:val="32"/>
        </w:rPr>
        <w:t>部门整体支出绩效情况</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对照有关规定，我局从预算编制、预算配置、预算执行和管理等方面对2021年部门整体支出绩效开展了评价，具体情况如下：</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（一）预算配置</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 xml:space="preserve">预算编制人数117人，在职人员110人，年中退休7人，在编制控制范围内。 </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（二）预算执行</w:t>
      </w:r>
    </w:p>
    <w:p>
      <w:pPr>
        <w:spacing w:line="600" w:lineRule="exact"/>
        <w:ind w:firstLine="600" w:firstLineChars="200"/>
        <w:rPr>
          <w:rFonts w:ascii="仿宋" w:hAnsi="仿宋" w:eastAsia="仿宋"/>
          <w:sz w:val="32"/>
          <w:szCs w:val="32"/>
        </w:rPr>
      </w:pPr>
      <w:r>
        <w:rPr>
          <w:rFonts w:hint="eastAsia" w:cs="仿宋" w:asciiTheme="minorEastAsia" w:hAnsiTheme="minorEastAsia" w:eastAsiaTheme="minorEastAsia"/>
          <w:sz w:val="30"/>
          <w:szCs w:val="30"/>
        </w:rPr>
        <w:t>2</w:t>
      </w:r>
      <w:r>
        <w:rPr>
          <w:rFonts w:hint="eastAsia" w:ascii="仿宋" w:hAnsi="仿宋" w:eastAsia="仿宋"/>
          <w:sz w:val="32"/>
          <w:szCs w:val="32"/>
        </w:rPr>
        <w:t>021年支出决算为</w:t>
      </w:r>
      <w:r>
        <w:rPr>
          <w:rFonts w:hint="eastAsia" w:ascii="仿宋" w:hAnsi="仿宋" w:eastAsia="仿宋" w:cs="仿宋"/>
          <w:color w:val="000000" w:themeColor="text1"/>
          <w:sz w:val="32"/>
          <w:szCs w:val="32"/>
        </w:rPr>
        <w:t>2762.56</w:t>
      </w:r>
      <w:r>
        <w:rPr>
          <w:rFonts w:hint="eastAsia" w:ascii="仿宋" w:hAnsi="仿宋" w:eastAsia="仿宋"/>
          <w:sz w:val="32"/>
          <w:szCs w:val="32"/>
        </w:rPr>
        <w:t>万元，为全年预算的189.9%全部执行到位。“三公经费”支出2.0</w:t>
      </w:r>
      <w:r>
        <w:rPr>
          <w:rFonts w:hint="eastAsia" w:ascii="仿宋" w:hAnsi="仿宋" w:eastAsia="仿宋"/>
          <w:sz w:val="32"/>
          <w:szCs w:val="32"/>
          <w:lang w:val="en-US" w:eastAsia="zh-CN"/>
        </w:rPr>
        <w:t>7</w:t>
      </w:r>
      <w:bookmarkStart w:id="0" w:name="_GoBack"/>
      <w:bookmarkEnd w:id="0"/>
      <w:r>
        <w:rPr>
          <w:rFonts w:hint="eastAsia" w:ascii="仿宋" w:hAnsi="仿宋" w:eastAsia="仿宋"/>
          <w:sz w:val="32"/>
          <w:szCs w:val="32"/>
        </w:rPr>
        <w:t>万元，还需</w:t>
      </w:r>
      <w:r>
        <w:rPr>
          <w:rFonts w:hint="eastAsia" w:ascii="仿宋" w:hAnsi="仿宋" w:eastAsia="仿宋" w:cs="宋体"/>
          <w:kern w:val="0"/>
          <w:sz w:val="32"/>
          <w:szCs w:val="32"/>
        </w:rPr>
        <w:t>厉行节约，严控“三公”经费的支出</w:t>
      </w:r>
      <w:r>
        <w:rPr>
          <w:rFonts w:hint="eastAsia" w:ascii="仿宋" w:hAnsi="仿宋" w:eastAsia="仿宋"/>
          <w:sz w:val="32"/>
          <w:szCs w:val="32"/>
        </w:rPr>
        <w:t>。</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（三）预算管理</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2021年我局从以下几个方面加强预算管理：</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一是进一步规范财务管理。今年，根据中央八项规定有关精神以及财务管理方面的法律、法规和审计等部门的意见，我局对财务管理制度进一步进行了完善。同时，在财务开支把关方面认真执行相关文件并严格财务开支审批程序，加强对差旅费、会议费、接待费等各项开支的管理。重点保障日常运转及重点工作的需要，大力压缩一般性支出，提高财政资金使用效益。</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二是依法依规公开部门预决算。根据全县部门预决算公开工作统一安排部署，我局已在衡南县党政门户网站公开了2021年部门预算和“三公”经费预算，社会反响良好，圆满完成了“三公”经费预算公开工作。</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三是进一步加强固定资产管理。我局对所属资产进行了较为全面的清查，按资产分类登记，做到账实相符。</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（四）职责履行情况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2021年我局荣获“全国文化和旅游系统先进集体”、县文化馆再次被评为“国家一级馆”，群众体育工作获全市先进，县文化市场综合行政执法大队被推荐参评第九届全国基层先进文化市场综合行政执法队伍等。2021年主要工作成效如下：</w:t>
      </w:r>
    </w:p>
    <w:p>
      <w:pPr>
        <w:spacing w:line="560" w:lineRule="exact"/>
        <w:ind w:firstLine="602" w:firstLineChars="200"/>
        <w:jc w:val="left"/>
        <w:rPr>
          <w:rFonts w:ascii="仿宋_GB2312" w:eastAsia="仿宋_GB2312"/>
          <w:sz w:val="32"/>
          <w:szCs w:val="32"/>
        </w:rPr>
      </w:pPr>
      <w:r>
        <w:rPr>
          <w:rFonts w:hint="eastAsia" w:cs="仿宋" w:asciiTheme="minorEastAsia" w:hAnsiTheme="minorEastAsia" w:eastAsiaTheme="minorEastAsia"/>
          <w:b/>
          <w:sz w:val="30"/>
          <w:szCs w:val="30"/>
        </w:rPr>
        <w:t>1.文化活动异彩纷呈。</w:t>
      </w:r>
      <w:r>
        <w:rPr>
          <w:rFonts w:hint="eastAsia" w:ascii="仿宋" w:hAnsi="仿宋" w:eastAsia="仿宋"/>
          <w:sz w:val="32"/>
          <w:szCs w:val="32"/>
        </w:rPr>
        <w:t>今年我局紧扣庆祝中国共产党成立100周年主题，先后举办了“奋进新时代 颂歌献给党”歌手大赛、“欢乐潇湘 感党恩 听党话 跟党走”合唱比赛、“书香云集·文化衡南”全民阅读、“浦发村镇银行杯”广场舞大赛等活动。我县中老年组选手廖群锋荣获全市中老年组歌手大赛第一名、衡南一中广场舞队荣获市广场舞大赛一等奖。</w:t>
      </w:r>
    </w:p>
    <w:p>
      <w:pPr>
        <w:spacing w:line="560" w:lineRule="exact"/>
        <w:ind w:firstLine="602" w:firstLineChars="200"/>
        <w:rPr>
          <w:rFonts w:ascii="仿宋" w:hAnsi="仿宋" w:eastAsia="仿宋"/>
          <w:sz w:val="32"/>
          <w:szCs w:val="32"/>
        </w:rPr>
      </w:pPr>
      <w:r>
        <w:rPr>
          <w:rFonts w:hint="eastAsia" w:cs="仿宋" w:asciiTheme="minorEastAsia" w:hAnsiTheme="minorEastAsia" w:eastAsiaTheme="minorEastAsia"/>
          <w:b/>
          <w:sz w:val="30"/>
          <w:szCs w:val="30"/>
        </w:rPr>
        <w:t>2.免费开放争奇斗妍。</w:t>
      </w:r>
      <w:r>
        <w:rPr>
          <w:rFonts w:hint="eastAsia" w:ascii="仿宋" w:hAnsi="仿宋" w:eastAsia="仿宋"/>
          <w:sz w:val="32"/>
          <w:szCs w:val="32"/>
        </w:rPr>
        <w:t>县文化馆对外免费开放31个功能室，举办庆祝中国共产党成立100周年红色经典美术作品展、少儿美术书法展、“九九话重阳，党恩在我心”重阳节活动、“乡”约两会本土文化展示活动等活动25场次，年实体接待人次突破8万人次，线上访问人次接近15万人次。县图书馆全年共接待读者224518人次，借还图书237961册次；新办理借书证15407个，完成馆藏采编加工2269册。新建的24小时自助图书馆、少儿图书馆自2月4日开馆以来，日均接待读者300多人。2021年获“书香湖南”第39届全省少年儿童主题读书活动先进集体。</w:t>
      </w:r>
    </w:p>
    <w:p>
      <w:pPr>
        <w:spacing w:line="560" w:lineRule="exact"/>
        <w:ind w:firstLine="602" w:firstLineChars="200"/>
        <w:jc w:val="left"/>
        <w:rPr>
          <w:rFonts w:ascii="仿宋" w:hAnsi="仿宋" w:eastAsia="仿宋"/>
          <w:sz w:val="32"/>
          <w:szCs w:val="32"/>
        </w:rPr>
      </w:pPr>
      <w:r>
        <w:rPr>
          <w:rFonts w:hint="eastAsia" w:cs="仿宋" w:asciiTheme="minorEastAsia" w:hAnsiTheme="minorEastAsia" w:eastAsiaTheme="minorEastAsia"/>
          <w:b/>
          <w:sz w:val="30"/>
          <w:szCs w:val="30"/>
        </w:rPr>
        <w:t>3.文化惠民如火如荼。</w:t>
      </w:r>
      <w:r>
        <w:rPr>
          <w:rFonts w:hint="eastAsia" w:ascii="仿宋" w:hAnsi="仿宋" w:eastAsia="仿宋"/>
          <w:sz w:val="32"/>
          <w:szCs w:val="32"/>
        </w:rPr>
        <w:t>持续推进公共文化服务进村入户和“家门口十小”示范工程建设，全年完成送戏下乡105场次，农村公益电影放映5185场次，“光影铸魂”党史教育电影267场次，广场电影243场次等，“我们的节日”“清泉大讲坛”“文化大赶集”等公共文化服务品牌得以持续巩固和强化。同时，开展交通劝导员、小小讲解员、平安巡逻员、环境保洁员等“衡阳群众”文化志愿服务763人次。</w:t>
      </w:r>
    </w:p>
    <w:p>
      <w:pPr>
        <w:adjustRightInd w:val="0"/>
        <w:snapToGrid w:val="0"/>
        <w:spacing w:line="560" w:lineRule="exact"/>
        <w:ind w:firstLine="602" w:firstLineChars="200"/>
        <w:rPr>
          <w:rFonts w:ascii="仿宋_GB2312" w:eastAsia="仿宋_GB2312"/>
          <w:sz w:val="32"/>
          <w:szCs w:val="32"/>
        </w:rPr>
      </w:pPr>
      <w:r>
        <w:rPr>
          <w:rFonts w:hint="eastAsia" w:cs="仿宋" w:asciiTheme="minorEastAsia" w:hAnsiTheme="minorEastAsia" w:eastAsiaTheme="minorEastAsia"/>
          <w:b/>
          <w:sz w:val="30"/>
          <w:szCs w:val="30"/>
        </w:rPr>
        <w:t>4.文艺创作精品迭出</w:t>
      </w:r>
      <w:r>
        <w:rPr>
          <w:rFonts w:hint="eastAsia" w:eastAsia="仿宋_GB2312"/>
          <w:b/>
          <w:bCs/>
          <w:color w:val="000000"/>
          <w:sz w:val="32"/>
          <w:szCs w:val="32"/>
        </w:rPr>
        <w:t>。</w:t>
      </w:r>
      <w:r>
        <w:rPr>
          <w:rFonts w:hint="eastAsia" w:ascii="仿宋" w:hAnsi="仿宋" w:eastAsia="仿宋"/>
          <w:sz w:val="32"/>
          <w:szCs w:val="32"/>
        </w:rPr>
        <w:t>2021年，我局紧扣时代主题，聚焦现实主义题材，围绕建党100周年和红色教育，共完成创作、辅导、新闻各类作品总计60件，在国家、省、地（市）级公开发表、展、演、播、出版各类文学艺术作品40件【其中国家级 3 件，省级10件，地(市)级 27件】；获奖20件【其中国家级 2件，省级 3件，地（市）级15件】；完成辅导作品30 件、新闻10件。《乡村振兴战略背景下农村公共文化服务体系——农家书屋的服务与创新》和《县域公共图书馆总分馆提质增效的路径探索与实践——衡南县图书馆总分馆分获全省“聚焦高质量  聚力新发展”论文及创意作品征集活动二、三等奖。</w:t>
      </w:r>
    </w:p>
    <w:p>
      <w:pPr>
        <w:spacing w:line="560" w:lineRule="exact"/>
        <w:ind w:firstLine="602" w:firstLineChars="200"/>
        <w:jc w:val="left"/>
        <w:rPr>
          <w:rFonts w:ascii="仿宋" w:hAnsi="仿宋" w:eastAsia="仿宋"/>
          <w:sz w:val="32"/>
          <w:szCs w:val="32"/>
        </w:rPr>
      </w:pPr>
      <w:r>
        <w:rPr>
          <w:rFonts w:hint="eastAsia" w:cs="仿宋" w:asciiTheme="minorEastAsia" w:hAnsiTheme="minorEastAsia" w:eastAsiaTheme="minorEastAsia"/>
          <w:b/>
          <w:sz w:val="30"/>
          <w:szCs w:val="30"/>
        </w:rPr>
        <w:t>5.文旅融合深入推进。</w:t>
      </w:r>
      <w:r>
        <w:rPr>
          <w:rFonts w:hint="eastAsia" w:ascii="仿宋" w:hAnsi="仿宋" w:eastAsia="仿宋"/>
          <w:sz w:val="32"/>
          <w:szCs w:val="32"/>
        </w:rPr>
        <w:t>我们以绘就好“窑望湘江.诗画衡南”《衡南县文旅融合发展规划（2021-2030）》为媒婆，着力构建“一城引领”（云集文旅）、“双核驱动”（岐山、宝盖文旅康养核）、“一带串联”（湘江历史文化景观带）、“四驱并进”（山地康养度假区、乡村研学游憩区、生态文化探秘区、运动休闲旅游区）的衡南文旅发展新体系，推动文旅与农业、林业、教育和产业等全领域、全方位、全链条融合发展。成功举办了“5.19中国旅游日”宣传活动暨衡南文旅推介会、首届板栗文化节暨柞市镇农民丰收节、大三湘第九届油茶花节等活动，通过这一系列活动，我县旅游知名度和美誉度与日俱增。2021年，全县接待游客642.27万人次，实现旅游收入52.73亿元。投资近7000万元的归园于7月6日正式开馆，现获批省级国家安全教育基地、省级爱国主义教育基地、省关心下一代国史党史教育基地、市级廉政文化教育基地、市级新时代文化实践教育基地，并成功创建为国家AAA级景区，全面启动了岐山国家森林公园创建4A工作，全县新增岐山竹海休闲山庄、铁丝塘巨麓山庄2 家四星级乡村旅游服务点、7个省级示范性旅游厕所、2个省级示范性“最美潇湘文化阵地”。</w:t>
      </w:r>
    </w:p>
    <w:p>
      <w:pPr>
        <w:spacing w:line="560" w:lineRule="exact"/>
        <w:ind w:firstLine="602" w:firstLineChars="200"/>
        <w:jc w:val="left"/>
        <w:rPr>
          <w:rFonts w:ascii="仿宋" w:hAnsi="仿宋" w:eastAsia="仿宋"/>
          <w:sz w:val="32"/>
          <w:szCs w:val="32"/>
        </w:rPr>
      </w:pPr>
      <w:r>
        <w:rPr>
          <w:rFonts w:hint="eastAsia" w:cs="仿宋" w:asciiTheme="minorEastAsia" w:hAnsiTheme="minorEastAsia" w:eastAsiaTheme="minorEastAsia"/>
          <w:b/>
          <w:sz w:val="30"/>
          <w:szCs w:val="30"/>
        </w:rPr>
        <w:t>6.体育工作持续向好。</w:t>
      </w:r>
      <w:r>
        <w:rPr>
          <w:rFonts w:hint="eastAsia" w:ascii="仿宋" w:hAnsi="仿宋" w:eastAsia="仿宋"/>
          <w:sz w:val="32"/>
          <w:szCs w:val="32"/>
        </w:rPr>
        <w:t>2021年，我局克服后疫情影响，圆满承办了湖南省青少年射击（飞碟）锦标赛和市十一运会射击（飞碟）、柔道两个项目比赛。先后成功举办了“工业集中区杯”男子篮球赛、“机关党建杯”羽毛球混合团体赛、“浦发村镇银行杯”广场舞大赛、“基础投杯”气排球联赛、环城跑赛等30余个赛事。组织近700名运动员参加了市十一运会34项目比赛，衡南代表团获得42枚金牌，在县市中排名第三。举办全民健身类培训8期185人次，全年新增健身路径21套（147件），健身工程篮球架5副、乒乓球台12副、文体广场1200余平方米，完成体彩销售4730余万元。</w:t>
      </w:r>
    </w:p>
    <w:p>
      <w:pPr>
        <w:tabs>
          <w:tab w:val="left" w:pos="634"/>
        </w:tabs>
        <w:spacing w:line="600" w:lineRule="exact"/>
        <w:ind w:firstLine="602" w:firstLineChars="200"/>
        <w:rPr>
          <w:rFonts w:ascii="仿宋" w:hAnsi="仿宋" w:eastAsia="仿宋" w:cs="仿宋"/>
          <w:color w:val="000000"/>
          <w:sz w:val="32"/>
          <w:szCs w:val="32"/>
          <w:shd w:val="clear" w:color="auto" w:fill="FFFFFF"/>
        </w:rPr>
      </w:pPr>
      <w:r>
        <w:rPr>
          <w:rFonts w:hint="eastAsia" w:cs="仿宋" w:asciiTheme="minorEastAsia" w:hAnsiTheme="minorEastAsia" w:eastAsiaTheme="minorEastAsia"/>
          <w:b/>
          <w:sz w:val="30"/>
          <w:szCs w:val="30"/>
        </w:rPr>
        <w:t>7.文旅产业突冰前行。</w:t>
      </w:r>
      <w:r>
        <w:rPr>
          <w:rFonts w:hint="eastAsia" w:ascii="仿宋" w:hAnsi="仿宋" w:eastAsia="仿宋" w:cs="仿宋"/>
          <w:color w:val="000000"/>
          <w:sz w:val="32"/>
          <w:szCs w:val="32"/>
        </w:rPr>
        <w:t>完</w:t>
      </w:r>
      <w:r>
        <w:rPr>
          <w:rFonts w:hint="eastAsia" w:ascii="仿宋" w:hAnsi="仿宋" w:eastAsia="仿宋"/>
          <w:sz w:val="32"/>
          <w:szCs w:val="32"/>
        </w:rPr>
        <w:t>成27个“十四五”重大项目储备入库，其中岐山国家森林公园和近尾洲国家湿地公园纳入湖南省“十四五”时期文化保护传承利用工程项目。成功申报全民健身设施补短板工程2022年中央预算内投资储备项目26个，完成7个固定资产投资项目（总投资额2.952亿元）录库。报送景区直升机起降点选址6个点、湖南省2022年中央体彩公益金支持小型体育公园建设项目1个。我县5家优秀企业单位6种特色文旅商品参加2021衡阳市优秀旅游商品评选，其中大三湘油茶四宝荣获金奖，绿色田园（衡阳）农业发展有限公司野枇杷茶系列产品、衡阳市漂木文化有限公司诗魔烧饼荣获优秀奖。我县文旅产业招商引资项目</w:t>
      </w:r>
      <w:r>
        <w:rPr>
          <w:rFonts w:hint="eastAsia" w:ascii="仿宋" w:hAnsi="仿宋" w:eastAsia="仿宋" w:cs="仿宋"/>
          <w:color w:val="000000"/>
          <w:sz w:val="32"/>
          <w:szCs w:val="32"/>
          <w:shd w:val="clear" w:color="auto" w:fill="FFFFFF"/>
        </w:rPr>
        <w:t>4个被</w:t>
      </w:r>
      <w:r>
        <w:rPr>
          <w:rFonts w:ascii="仿宋" w:hAnsi="仿宋" w:eastAsia="仿宋" w:cs="仿宋"/>
          <w:color w:val="000000"/>
          <w:sz w:val="32"/>
          <w:szCs w:val="32"/>
          <w:shd w:val="clear" w:color="auto" w:fill="FFFFFF"/>
        </w:rPr>
        <w:t>纳入《衡阳市文旅产业招商引资重点推介项目手册》，</w:t>
      </w:r>
      <w:r>
        <w:rPr>
          <w:rFonts w:hint="eastAsia" w:ascii="仿宋" w:hAnsi="仿宋" w:eastAsia="仿宋" w:cs="仿宋"/>
          <w:color w:val="000000"/>
          <w:sz w:val="32"/>
          <w:szCs w:val="32"/>
          <w:shd w:val="clear" w:color="auto" w:fill="FFFFFF"/>
        </w:rPr>
        <w:t>并</w:t>
      </w:r>
      <w:r>
        <w:rPr>
          <w:rFonts w:ascii="仿宋" w:hAnsi="仿宋" w:eastAsia="仿宋" w:cs="仿宋"/>
          <w:color w:val="000000"/>
          <w:sz w:val="32"/>
          <w:szCs w:val="32"/>
          <w:shd w:val="clear" w:color="auto" w:fill="FFFFFF"/>
        </w:rPr>
        <w:t>参加</w:t>
      </w:r>
      <w:r>
        <w:rPr>
          <w:rFonts w:hint="eastAsia" w:ascii="仿宋" w:hAnsi="仿宋" w:eastAsia="仿宋" w:cs="仿宋"/>
          <w:color w:val="000000"/>
          <w:sz w:val="32"/>
          <w:szCs w:val="32"/>
          <w:shd w:val="clear" w:color="auto" w:fill="FFFFFF"/>
        </w:rPr>
        <w:t>了9</w:t>
      </w:r>
      <w:r>
        <w:rPr>
          <w:rFonts w:ascii="仿宋" w:hAnsi="仿宋" w:eastAsia="仿宋" w:cs="仿宋"/>
          <w:color w:val="000000"/>
          <w:sz w:val="32"/>
          <w:szCs w:val="32"/>
          <w:shd w:val="clear" w:color="auto" w:fill="FFFFFF"/>
        </w:rPr>
        <w:t>月份湖南省文旅厅举办的“2021湖南文化旅游产业博览会”和“2021湖南文化旅游产业投融资大会暨重点产业项目对接活动”</w:t>
      </w:r>
      <w:r>
        <w:rPr>
          <w:rFonts w:hint="eastAsia" w:ascii="仿宋" w:hAnsi="仿宋" w:eastAsia="仿宋" w:cs="仿宋"/>
          <w:color w:val="000000"/>
          <w:sz w:val="32"/>
          <w:szCs w:val="32"/>
          <w:shd w:val="clear" w:color="auto" w:fill="FFFFFF"/>
        </w:rPr>
        <w:t>，宝盖银杏文化园项目成功路演推介</w:t>
      </w:r>
      <w:r>
        <w:rPr>
          <w:rFonts w:ascii="仿宋" w:hAnsi="仿宋" w:eastAsia="仿宋" w:cs="仿宋"/>
          <w:color w:val="000000"/>
          <w:sz w:val="32"/>
          <w:szCs w:val="32"/>
          <w:shd w:val="clear" w:color="auto" w:fill="FFFFFF"/>
        </w:rPr>
        <w:t>。</w:t>
      </w:r>
      <w:r>
        <w:rPr>
          <w:rFonts w:hint="eastAsia" w:ascii="仿宋" w:hAnsi="仿宋" w:eastAsia="仿宋" w:cs="仿宋"/>
          <w:color w:val="000000"/>
          <w:sz w:val="32"/>
          <w:szCs w:val="32"/>
          <w:shd w:val="clear" w:color="auto" w:fill="FFFFFF"/>
        </w:rPr>
        <w:t>组织全县优秀文旅企业参加了2021年湖南（国际）通用航空产业博览会、2021年湖南省文旅产业博览会等。</w:t>
      </w:r>
    </w:p>
    <w:p>
      <w:pPr>
        <w:pStyle w:val="9"/>
        <w:spacing w:line="560" w:lineRule="exact"/>
        <w:ind w:firstLine="602"/>
        <w:rPr>
          <w:rFonts w:ascii="楷体_GB2312" w:eastAsia="楷体_GB2312"/>
          <w:b/>
          <w:bCs/>
          <w:color w:val="000000"/>
          <w:sz w:val="32"/>
          <w:szCs w:val="32"/>
        </w:rPr>
      </w:pPr>
      <w:r>
        <w:rPr>
          <w:rFonts w:hint="eastAsia" w:cs="仿宋" w:asciiTheme="minorEastAsia" w:hAnsiTheme="minorEastAsia"/>
          <w:b/>
          <w:sz w:val="30"/>
          <w:szCs w:val="30"/>
        </w:rPr>
        <w:t>8.广电工作平安有序。</w:t>
      </w:r>
      <w:r>
        <w:rPr>
          <w:rFonts w:hint="eastAsia" w:ascii="仿宋" w:hAnsi="仿宋" w:eastAsia="仿宋" w:cs="Times New Roman"/>
          <w:sz w:val="32"/>
          <w:szCs w:val="32"/>
        </w:rPr>
        <w:t>为确保</w:t>
      </w:r>
      <w:r>
        <w:rPr>
          <w:rFonts w:ascii="仿宋" w:hAnsi="仿宋" w:eastAsia="仿宋" w:cs="Times New Roman"/>
          <w:sz w:val="32"/>
          <w:szCs w:val="32"/>
        </w:rPr>
        <w:t>建党100周年</w:t>
      </w:r>
      <w:r>
        <w:rPr>
          <w:rFonts w:hint="eastAsia" w:ascii="仿宋" w:hAnsi="仿宋" w:eastAsia="仿宋" w:cs="Times New Roman"/>
          <w:sz w:val="32"/>
          <w:szCs w:val="32"/>
        </w:rPr>
        <w:t>、两会及党代会期间全县</w:t>
      </w:r>
      <w:r>
        <w:rPr>
          <w:rFonts w:ascii="仿宋" w:hAnsi="仿宋" w:eastAsia="仿宋" w:cs="Times New Roman"/>
          <w:sz w:val="32"/>
          <w:szCs w:val="32"/>
        </w:rPr>
        <w:t>广播电视和网络视听安全播出工作</w:t>
      </w:r>
      <w:r>
        <w:rPr>
          <w:rFonts w:hint="eastAsia" w:ascii="仿宋" w:hAnsi="仿宋" w:eastAsia="仿宋" w:cs="Times New Roman"/>
          <w:sz w:val="32"/>
          <w:szCs w:val="32"/>
        </w:rPr>
        <w:t>，专门成立了5个专项检查小组，对广电台和3个网络运营商进行了密集督查和限期整改。强化</w:t>
      </w:r>
      <w:r>
        <w:rPr>
          <w:rFonts w:ascii="仿宋" w:hAnsi="仿宋" w:eastAsia="仿宋" w:cs="Times New Roman"/>
          <w:sz w:val="32"/>
          <w:szCs w:val="32"/>
        </w:rPr>
        <w:t>境外卫星电视传播秩序专项整治工作</w:t>
      </w:r>
      <w:r>
        <w:rPr>
          <w:rFonts w:hint="eastAsia" w:ascii="仿宋" w:hAnsi="仿宋" w:eastAsia="仿宋" w:cs="Times New Roman"/>
          <w:sz w:val="32"/>
          <w:szCs w:val="32"/>
        </w:rPr>
        <w:t>，</w:t>
      </w:r>
      <w:r>
        <w:rPr>
          <w:rFonts w:ascii="仿宋" w:hAnsi="仿宋" w:eastAsia="仿宋" w:cs="Times New Roman"/>
          <w:sz w:val="32"/>
          <w:szCs w:val="32"/>
        </w:rPr>
        <w:t>召开联席会议</w:t>
      </w:r>
      <w:r>
        <w:rPr>
          <w:rFonts w:hint="eastAsia" w:ascii="仿宋" w:hAnsi="仿宋" w:eastAsia="仿宋" w:cs="Times New Roman"/>
          <w:sz w:val="32"/>
          <w:szCs w:val="32"/>
        </w:rPr>
        <w:t>3次</w:t>
      </w:r>
      <w:r>
        <w:rPr>
          <w:rFonts w:ascii="仿宋" w:hAnsi="仿宋" w:eastAsia="仿宋" w:cs="Times New Roman"/>
          <w:sz w:val="32"/>
          <w:szCs w:val="32"/>
        </w:rPr>
        <w:t>，</w:t>
      </w:r>
      <w:r>
        <w:rPr>
          <w:rFonts w:hint="eastAsia" w:ascii="仿宋" w:hAnsi="仿宋" w:eastAsia="仿宋" w:cs="Times New Roman"/>
          <w:sz w:val="32"/>
          <w:szCs w:val="32"/>
        </w:rPr>
        <w:t>开展非法安装和接收卫星电视集中专项整治2次</w:t>
      </w:r>
      <w:r>
        <w:rPr>
          <w:rFonts w:ascii="仿宋" w:hAnsi="仿宋" w:eastAsia="仿宋" w:cs="Times New Roman"/>
          <w:sz w:val="32"/>
          <w:szCs w:val="32"/>
        </w:rPr>
        <w:t>。</w:t>
      </w:r>
      <w:r>
        <w:rPr>
          <w:rFonts w:hint="eastAsia" w:ascii="仿宋" w:hAnsi="仿宋" w:eastAsia="仿宋" w:cs="Times New Roman"/>
          <w:sz w:val="32"/>
          <w:szCs w:val="32"/>
        </w:rPr>
        <w:t>完成了广电5G覆盖</w:t>
      </w:r>
      <w:r>
        <w:rPr>
          <w:rFonts w:ascii="仿宋" w:hAnsi="仿宋" w:eastAsia="仿宋" w:cs="Times New Roman"/>
          <w:sz w:val="32"/>
          <w:szCs w:val="32"/>
        </w:rPr>
        <w:t>地面数字电视700兆赫频率清频</w:t>
      </w:r>
      <w:r>
        <w:rPr>
          <w:rFonts w:hint="eastAsia" w:ascii="仿宋" w:hAnsi="仿宋" w:eastAsia="仿宋" w:cs="Times New Roman"/>
          <w:sz w:val="32"/>
          <w:szCs w:val="32"/>
        </w:rPr>
        <w:t>工作，获省市好评。向上争得影院数字化提质改造资金200万元。</w:t>
      </w:r>
    </w:p>
    <w:p>
      <w:pPr>
        <w:pStyle w:val="9"/>
        <w:spacing w:line="560" w:lineRule="exact"/>
        <w:ind w:firstLine="602"/>
        <w:rPr>
          <w:rFonts w:ascii="仿宋" w:hAnsi="仿宋" w:eastAsia="仿宋" w:cs="Times New Roman"/>
          <w:sz w:val="32"/>
          <w:szCs w:val="32"/>
        </w:rPr>
      </w:pPr>
      <w:r>
        <w:rPr>
          <w:rFonts w:hint="eastAsia" w:cs="仿宋" w:asciiTheme="minorEastAsia" w:hAnsiTheme="minorEastAsia"/>
          <w:b/>
          <w:sz w:val="30"/>
          <w:szCs w:val="30"/>
        </w:rPr>
        <w:t>9.文物保护再建功。</w:t>
      </w:r>
      <w:r>
        <w:rPr>
          <w:rFonts w:hint="eastAsia" w:ascii="仿宋" w:hAnsi="仿宋" w:eastAsia="仿宋" w:cs="Times New Roman"/>
          <w:sz w:val="32"/>
          <w:szCs w:val="32"/>
        </w:rPr>
        <w:t>一是完成了桐梓山工农游击队根据地旧址、高新村蒋家大屋、高岭刘氏宗祠等省市项目的陈列展示或修缮工程计划书和方案，并通过省局批准，现已进入招投标程序。二是大渔村王氏宗祠消防工程、高岭刘氏宗祠修缮工程、宝盖古建筑群之大屋场9栋楼、桐梓山工农游击队根据地旧址消防工程等全部完工。云集窑遗址本体保护工程建设项目完成财政投资评审，正在招投标中。三是茶市罗氏宗祠、三塘周炳杰故居及墓、松江金盆欧阳宗祠、松江蔼市古建筑群、谭子山谢晋故居、金玉亭（含万寿井）等6处成功为申报衡阳市第六批市级文物保护单位。谭子山归园、廖岺顽早期革命旧址正在申报湖南省第十一批省级文物保护单位。四是强化文物安全巡查，有力阻断了国保单位王氏宗祠、云集窑和县保单位青冲窑等遭破坏现象。全县文物安全零事故。</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综上所述，我局圆满完成年初设定的预算指标，并且100%执行到。群众对我局的工作非常满意超过90%。</w:t>
      </w:r>
    </w:p>
    <w:p>
      <w:pPr>
        <w:ind w:firstLine="640" w:firstLineChars="200"/>
        <w:rPr>
          <w:rFonts w:ascii="黑体" w:hAnsi="黑体" w:eastAsia="黑体" w:cs="黑体"/>
          <w:sz w:val="32"/>
          <w:szCs w:val="32"/>
        </w:rPr>
      </w:pPr>
      <w:r>
        <w:rPr>
          <w:rFonts w:hint="eastAsia" w:ascii="黑体" w:hAnsi="黑体" w:eastAsia="黑体" w:cs="黑体"/>
          <w:sz w:val="32"/>
          <w:szCs w:val="32"/>
        </w:rPr>
        <w:t>四、存在的主要问题</w:t>
      </w:r>
    </w:p>
    <w:p>
      <w:pPr>
        <w:spacing w:line="600" w:lineRule="exact"/>
        <w:ind w:firstLine="640" w:firstLineChars="200"/>
        <w:rPr>
          <w:rFonts w:hint="eastAsia" w:ascii="仿宋" w:hAnsi="仿宋" w:eastAsia="仿宋"/>
          <w:sz w:val="32"/>
          <w:szCs w:val="32"/>
        </w:rPr>
      </w:pPr>
      <w:r>
        <w:rPr>
          <w:rFonts w:hint="eastAsia" w:ascii="仿宋" w:hAnsi="仿宋" w:eastAsia="仿宋"/>
          <w:sz w:val="32"/>
          <w:szCs w:val="32"/>
        </w:rPr>
        <w:t>单位内部绩效评价机制有待进一步完善。现阶段单位内部财政支出绩效评价工作处于起步阶段，在评价管理方法中缺乏一定的操作性，在一定程度上制约了单位财政支出绩效评估成效的发挥。</w:t>
      </w:r>
    </w:p>
    <w:p>
      <w:pPr>
        <w:rPr>
          <w:rFonts w:ascii="黑体" w:hAnsi="黑体" w:eastAsia="黑体" w:cs="黑体"/>
          <w:sz w:val="32"/>
          <w:szCs w:val="32"/>
        </w:rPr>
      </w:pPr>
      <w:r>
        <w:rPr>
          <w:rFonts w:hint="eastAsia" w:ascii="仿宋" w:hAnsi="仿宋" w:eastAsia="仿宋"/>
          <w:sz w:val="32"/>
          <w:szCs w:val="32"/>
        </w:rPr>
        <w:t>　　</w:t>
      </w:r>
      <w:r>
        <w:rPr>
          <w:rFonts w:hint="eastAsia" w:ascii="黑体" w:hAnsi="黑体" w:eastAsia="黑体" w:cs="黑体"/>
          <w:sz w:val="32"/>
          <w:szCs w:val="32"/>
        </w:rPr>
        <w:t>五、改进措施和建议</w:t>
      </w:r>
    </w:p>
    <w:p>
      <w:pPr>
        <w:spacing w:line="600" w:lineRule="exact"/>
        <w:ind w:firstLine="640" w:firstLineChars="200"/>
        <w:rPr>
          <w:rFonts w:hint="eastAsia" w:ascii="仿宋" w:hAnsi="仿宋" w:eastAsia="仿宋"/>
          <w:sz w:val="32"/>
          <w:szCs w:val="32"/>
        </w:rPr>
      </w:pPr>
      <w:r>
        <w:rPr>
          <w:rFonts w:hint="eastAsia" w:ascii="仿宋" w:hAnsi="仿宋" w:eastAsia="仿宋"/>
          <w:sz w:val="32"/>
          <w:szCs w:val="32"/>
        </w:rPr>
        <w:t>一是完善单位内部绩效评价机制，提高内部绩效评价机制可行性。二是组织财务人员学习会计及预算法律法规，提高整体业务素质。三是加强预算执行管理，提高财政资金使用效益。按计划执行批复的预算，做到专款专用，防止超标准执行，进一步厉行节约，严控“三公”经费，规范财务支出。</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4160" w:firstLineChars="1300"/>
        <w:rPr>
          <w:rFonts w:ascii="仿宋" w:hAnsi="仿宋" w:eastAsia="仿宋"/>
          <w:sz w:val="32"/>
          <w:szCs w:val="32"/>
        </w:rPr>
      </w:pPr>
      <w:r>
        <w:rPr>
          <w:rFonts w:hint="eastAsia" w:ascii="仿宋" w:hAnsi="仿宋" w:eastAsia="仿宋"/>
          <w:sz w:val="32"/>
          <w:szCs w:val="32"/>
        </w:rPr>
        <w:t>衡南县文化旅游广电体育局</w:t>
      </w:r>
    </w:p>
    <w:p>
      <w:pPr>
        <w:ind w:firstLine="4800" w:firstLineChars="1500"/>
        <w:rPr>
          <w:rFonts w:ascii="仿宋" w:hAnsi="仿宋" w:eastAsia="仿宋"/>
          <w:sz w:val="32"/>
          <w:szCs w:val="32"/>
        </w:rPr>
      </w:pPr>
      <w:r>
        <w:rPr>
          <w:rFonts w:hint="eastAsia" w:ascii="仿宋" w:hAnsi="仿宋" w:eastAsia="仿宋"/>
          <w:sz w:val="32"/>
          <w:szCs w:val="32"/>
        </w:rPr>
        <w:t>2022年4月20日</w:t>
      </w:r>
    </w:p>
    <w:p>
      <w:pPr>
        <w:spacing w:line="600" w:lineRule="exact"/>
        <w:rPr>
          <w:rFonts w:ascii="仿宋" w:hAnsi="仿宋" w:eastAsia="仿宋" w:cs="仿宋"/>
          <w:color w:val="333333"/>
          <w:kern w:val="0"/>
          <w:sz w:val="30"/>
          <w:szCs w:val="30"/>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712462"/>
    <w:multiLevelType w:val="multilevel"/>
    <w:tmpl w:val="5A712462"/>
    <w:lvl w:ilvl="0" w:tentative="0">
      <w:start w:val="1"/>
      <w:numFmt w:val="decimal"/>
      <w:lvlText w:val="%1."/>
      <w:lvlJc w:val="left"/>
      <w:pPr>
        <w:tabs>
          <w:tab w:val="left" w:pos="738"/>
        </w:tabs>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Q3M2IzOWQ0YTFiNmJlNzc1OTA3NjYyZTQxMzk2MGYifQ=="/>
  </w:docVars>
  <w:rsids>
    <w:rsidRoot w:val="00864C56"/>
    <w:rsid w:val="0000133F"/>
    <w:rsid w:val="00027DF6"/>
    <w:rsid w:val="00036A15"/>
    <w:rsid w:val="00046F73"/>
    <w:rsid w:val="00133BD6"/>
    <w:rsid w:val="001867D6"/>
    <w:rsid w:val="00193B39"/>
    <w:rsid w:val="001B488A"/>
    <w:rsid w:val="00203F27"/>
    <w:rsid w:val="002055C6"/>
    <w:rsid w:val="002733A6"/>
    <w:rsid w:val="00291394"/>
    <w:rsid w:val="0030091D"/>
    <w:rsid w:val="003149EC"/>
    <w:rsid w:val="00355BA2"/>
    <w:rsid w:val="003B2DEB"/>
    <w:rsid w:val="003C00C3"/>
    <w:rsid w:val="003D1601"/>
    <w:rsid w:val="003F4B11"/>
    <w:rsid w:val="0040790B"/>
    <w:rsid w:val="004313A0"/>
    <w:rsid w:val="00435E69"/>
    <w:rsid w:val="004522B5"/>
    <w:rsid w:val="00482647"/>
    <w:rsid w:val="004D36D7"/>
    <w:rsid w:val="004E71B3"/>
    <w:rsid w:val="004F57A7"/>
    <w:rsid w:val="00500D1D"/>
    <w:rsid w:val="00563977"/>
    <w:rsid w:val="0056724D"/>
    <w:rsid w:val="00567D44"/>
    <w:rsid w:val="00595409"/>
    <w:rsid w:val="005B11A1"/>
    <w:rsid w:val="005E31B9"/>
    <w:rsid w:val="005F20F5"/>
    <w:rsid w:val="005F518B"/>
    <w:rsid w:val="00600CBA"/>
    <w:rsid w:val="00616227"/>
    <w:rsid w:val="006253E0"/>
    <w:rsid w:val="00642413"/>
    <w:rsid w:val="006656E6"/>
    <w:rsid w:val="0067787F"/>
    <w:rsid w:val="006A73C0"/>
    <w:rsid w:val="006D03F7"/>
    <w:rsid w:val="006E6636"/>
    <w:rsid w:val="006F2D45"/>
    <w:rsid w:val="00717E72"/>
    <w:rsid w:val="00734C3F"/>
    <w:rsid w:val="00740ADE"/>
    <w:rsid w:val="00756456"/>
    <w:rsid w:val="00765655"/>
    <w:rsid w:val="007949BC"/>
    <w:rsid w:val="007D6A8E"/>
    <w:rsid w:val="007E33FC"/>
    <w:rsid w:val="007E445A"/>
    <w:rsid w:val="007F1CB6"/>
    <w:rsid w:val="007F3BE1"/>
    <w:rsid w:val="00800A68"/>
    <w:rsid w:val="00820BAA"/>
    <w:rsid w:val="00820C86"/>
    <w:rsid w:val="00842C4D"/>
    <w:rsid w:val="00864C56"/>
    <w:rsid w:val="008660D8"/>
    <w:rsid w:val="008C644E"/>
    <w:rsid w:val="008D1576"/>
    <w:rsid w:val="008E176A"/>
    <w:rsid w:val="008E6746"/>
    <w:rsid w:val="00915F1C"/>
    <w:rsid w:val="00916231"/>
    <w:rsid w:val="00923A98"/>
    <w:rsid w:val="00943C57"/>
    <w:rsid w:val="00946D07"/>
    <w:rsid w:val="009667EF"/>
    <w:rsid w:val="00974DE7"/>
    <w:rsid w:val="0098764E"/>
    <w:rsid w:val="0099134E"/>
    <w:rsid w:val="00A0027B"/>
    <w:rsid w:val="00A01149"/>
    <w:rsid w:val="00A25502"/>
    <w:rsid w:val="00A57845"/>
    <w:rsid w:val="00A66583"/>
    <w:rsid w:val="00A737CB"/>
    <w:rsid w:val="00A8309A"/>
    <w:rsid w:val="00A8382D"/>
    <w:rsid w:val="00A95D22"/>
    <w:rsid w:val="00AB2C82"/>
    <w:rsid w:val="00AD05B9"/>
    <w:rsid w:val="00AD49F5"/>
    <w:rsid w:val="00AE24CE"/>
    <w:rsid w:val="00AF6032"/>
    <w:rsid w:val="00B33672"/>
    <w:rsid w:val="00B419E3"/>
    <w:rsid w:val="00B76898"/>
    <w:rsid w:val="00B82755"/>
    <w:rsid w:val="00B837F6"/>
    <w:rsid w:val="00C07921"/>
    <w:rsid w:val="00C1506F"/>
    <w:rsid w:val="00C453D7"/>
    <w:rsid w:val="00C50E90"/>
    <w:rsid w:val="00C7557A"/>
    <w:rsid w:val="00C962B1"/>
    <w:rsid w:val="00C9762C"/>
    <w:rsid w:val="00CB04FB"/>
    <w:rsid w:val="00CB60B7"/>
    <w:rsid w:val="00CC3D01"/>
    <w:rsid w:val="00CE60A6"/>
    <w:rsid w:val="00CF2EDD"/>
    <w:rsid w:val="00CF6B96"/>
    <w:rsid w:val="00D014D6"/>
    <w:rsid w:val="00D05D7E"/>
    <w:rsid w:val="00D065C9"/>
    <w:rsid w:val="00D129FB"/>
    <w:rsid w:val="00D1323E"/>
    <w:rsid w:val="00D175CC"/>
    <w:rsid w:val="00D4231E"/>
    <w:rsid w:val="00D426E6"/>
    <w:rsid w:val="00D464B4"/>
    <w:rsid w:val="00D7501C"/>
    <w:rsid w:val="00D75BD2"/>
    <w:rsid w:val="00D8490E"/>
    <w:rsid w:val="00DC6A62"/>
    <w:rsid w:val="00DE025D"/>
    <w:rsid w:val="00DE7C24"/>
    <w:rsid w:val="00E16F96"/>
    <w:rsid w:val="00E32AC4"/>
    <w:rsid w:val="00E4301B"/>
    <w:rsid w:val="00E518FC"/>
    <w:rsid w:val="00E53913"/>
    <w:rsid w:val="00E8444D"/>
    <w:rsid w:val="00E90D27"/>
    <w:rsid w:val="00EC0749"/>
    <w:rsid w:val="00ED0B5D"/>
    <w:rsid w:val="00EE1F93"/>
    <w:rsid w:val="00F00B7A"/>
    <w:rsid w:val="00F10B4A"/>
    <w:rsid w:val="00F1195D"/>
    <w:rsid w:val="00F217EF"/>
    <w:rsid w:val="00F54DAE"/>
    <w:rsid w:val="00F80A89"/>
    <w:rsid w:val="00F84203"/>
    <w:rsid w:val="00F9015B"/>
    <w:rsid w:val="00FF55AF"/>
    <w:rsid w:val="15A0557E"/>
    <w:rsid w:val="31765DEB"/>
    <w:rsid w:val="477C0224"/>
    <w:rsid w:val="66113111"/>
    <w:rsid w:val="676045BF"/>
    <w:rsid w:val="7BF223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jc w:val="left"/>
    </w:pPr>
    <w:rPr>
      <w:rFonts w:ascii="宋体" w:hAnsi="宋体" w:cs="宋体"/>
      <w:kern w:val="0"/>
      <w:sz w:val="24"/>
    </w:rPr>
  </w:style>
  <w:style w:type="character" w:customStyle="1" w:styleId="7">
    <w:name w:val="页脚 Char"/>
    <w:basedOn w:val="6"/>
    <w:link w:val="2"/>
    <w:semiHidden/>
    <w:uiPriority w:val="99"/>
    <w:rPr>
      <w:sz w:val="18"/>
      <w:szCs w:val="18"/>
    </w:rPr>
  </w:style>
  <w:style w:type="character" w:customStyle="1" w:styleId="8">
    <w:name w:val="页眉 Char"/>
    <w:basedOn w:val="6"/>
    <w:link w:val="3"/>
    <w:semiHidden/>
    <w:uiPriority w:val="99"/>
    <w:rPr>
      <w:sz w:val="18"/>
      <w:szCs w:val="18"/>
    </w:rPr>
  </w:style>
  <w:style w:type="paragraph" w:styleId="9">
    <w:name w:val="List Paragraph"/>
    <w:basedOn w:val="1"/>
    <w:qFormat/>
    <w:uiPriority w:val="34"/>
    <w:pPr>
      <w:ind w:firstLine="420" w:firstLineChars="200"/>
    </w:pPr>
    <w:rPr>
      <w:rFonts w:asciiTheme="minorHAnsi" w:hAnsiTheme="minorHAnsi" w:eastAsiaTheme="minorEastAsia" w:cstheme="minorBid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14</Pages>
  <Words>6232</Words>
  <Characters>6734</Characters>
  <Lines>48</Lines>
  <Paragraphs>13</Paragraphs>
  <TotalTime>649</TotalTime>
  <ScaleCrop>false</ScaleCrop>
  <LinksUpToDate>false</LinksUpToDate>
  <CharactersWithSpaces>6773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2022-04-18T02:35:00Z</dcterms:created>
  <dc:creator>Administrator</dc:creator>
  <cp:lastModifiedBy>文旅广体局-陈艺</cp:lastModifiedBy>
  <dcterms:modified xsi:type="dcterms:W3CDTF">2022-11-24T00:51:07Z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E5251081A77142A4BA09AAD7BE6C2494</vt:lpwstr>
  </property>
</Properties>
</file>