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lang w:eastAsia="zh-CN"/>
        </w:rPr>
        <w:t>城乡环卫一体化</w:t>
      </w:r>
      <w:r>
        <w:rPr>
          <w:rFonts w:hint="eastAsia" w:asciiTheme="majorEastAsia" w:hAnsiTheme="majorEastAsia" w:eastAsiaTheme="majorEastAsia" w:cstheme="majorEastAsia"/>
          <w:b/>
          <w:sz w:val="36"/>
          <w:szCs w:val="36"/>
          <w:lang w:val="en-US" w:eastAsia="zh-CN"/>
        </w:rPr>
        <w:t>PPP</w:t>
      </w:r>
      <w:r>
        <w:rPr>
          <w:rFonts w:hint="eastAsia" w:asciiTheme="majorEastAsia" w:hAnsiTheme="majorEastAsia" w:eastAsiaTheme="majorEastAsia" w:cstheme="majorEastAsia"/>
          <w:b/>
          <w:sz w:val="36"/>
          <w:szCs w:val="36"/>
          <w:lang w:eastAsia="zh-CN"/>
        </w:rPr>
        <w:t>项目</w:t>
      </w:r>
      <w:r>
        <w:rPr>
          <w:rFonts w:hint="eastAsia" w:asciiTheme="majorEastAsia" w:hAnsiTheme="majorEastAsia" w:eastAsiaTheme="majorEastAsia" w:cstheme="majorEastAsia"/>
          <w:b/>
          <w:sz w:val="36"/>
          <w:szCs w:val="36"/>
        </w:rPr>
        <w:t>专项资金支出绩效</w:t>
      </w:r>
    </w:p>
    <w:p>
      <w:pPr>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自评报告</w:t>
      </w:r>
    </w:p>
    <w:p>
      <w:pPr>
        <w:jc w:val="center"/>
        <w:rPr>
          <w:rFonts w:ascii="仿宋_GB2312" w:hAnsi="仿宋_GB2312" w:eastAsia="仿宋_GB2312" w:cs="仿宋_GB2312"/>
          <w:sz w:val="32"/>
          <w:szCs w:val="32"/>
        </w:rPr>
      </w:pP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一、项目基本情况</w:t>
      </w:r>
    </w:p>
    <w:p>
      <w:pPr>
        <w:keepNext w:val="0"/>
        <w:keepLines w:val="0"/>
        <w:pageBreakBefore w:val="0"/>
        <w:widowControl/>
        <w:kinsoku/>
        <w:wordWrap/>
        <w:overflowPunct/>
        <w:topLinePunct w:val="0"/>
        <w:autoSpaceDE/>
        <w:autoSpaceDN/>
        <w:bidi w:val="0"/>
        <w:adjustRightInd w:val="0"/>
        <w:snapToGrid w:val="0"/>
        <w:spacing w:line="500" w:lineRule="exact"/>
        <w:ind w:firstLine="161" w:firstLineChars="50"/>
        <w:textAlignment w:val="auto"/>
        <w:rPr>
          <w:rFonts w:hint="eastAsia" w:eastAsia="仿宋_GB2312" w:cs="仿宋_GB2312"/>
          <w:b/>
          <w:bCs/>
          <w:sz w:val="32"/>
          <w:szCs w:val="32"/>
          <w:lang w:eastAsia="zh-CN"/>
        </w:rPr>
      </w:pPr>
      <w:r>
        <w:rPr>
          <w:rFonts w:hint="eastAsia" w:eastAsia="仿宋_GB2312" w:cs="仿宋_GB2312"/>
          <w:b/>
          <w:bCs/>
          <w:sz w:val="32"/>
          <w:szCs w:val="32"/>
          <w:lang w:eastAsia="zh-CN"/>
        </w:rPr>
        <w:t>　　（一）项目概况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城乡环卫一体化PPP项目总投资估算为6946.21万元，</w:t>
      </w:r>
      <w:r>
        <w:rPr>
          <w:rFonts w:hint="eastAsia" w:ascii="仿宋_GB2312" w:eastAsia="仿宋_GB2312"/>
          <w:sz w:val="32"/>
          <w:szCs w:val="32"/>
        </w:rPr>
        <w:t>涵盖县城城区清扫保洁、道路护拦清洗、牛皮癣清除、公厕管理、餐厨垃圾收集处理；</w:t>
      </w:r>
      <w:r>
        <w:rPr>
          <w:rFonts w:hint="eastAsia" w:ascii="仿宋_GB2312" w:eastAsia="仿宋_GB2312"/>
          <w:sz w:val="32"/>
          <w:szCs w:val="32"/>
          <w:lang w:val="en-US" w:eastAsia="zh-CN"/>
        </w:rPr>
        <w:t>全县生活垃圾转运工程、配套生产管理用房建设工程，</w:t>
      </w:r>
      <w:r>
        <w:rPr>
          <w:rFonts w:hint="eastAsia" w:ascii="仿宋_GB2312" w:eastAsia="仿宋_GB2312"/>
          <w:sz w:val="32"/>
          <w:szCs w:val="32"/>
        </w:rPr>
        <w:t>垃圾转运</w:t>
      </w:r>
      <w:r>
        <w:rPr>
          <w:rFonts w:hint="eastAsia" w:ascii="仿宋_GB2312" w:eastAsia="仿宋_GB2312"/>
          <w:sz w:val="32"/>
          <w:szCs w:val="32"/>
          <w:lang w:val="en-US" w:eastAsia="zh-CN"/>
        </w:rPr>
        <w:t>及</w:t>
      </w:r>
      <w:r>
        <w:rPr>
          <w:rFonts w:hint="eastAsia" w:ascii="仿宋_GB2312" w:eastAsia="仿宋_GB2312"/>
          <w:sz w:val="32"/>
          <w:szCs w:val="32"/>
        </w:rPr>
        <w:t>运营管理</w:t>
      </w:r>
      <w:r>
        <w:rPr>
          <w:rFonts w:hint="eastAsia" w:ascii="仿宋_GB2312" w:eastAsia="仿宋_GB2312"/>
          <w:sz w:val="32"/>
          <w:szCs w:val="32"/>
          <w:lang w:val="en-US" w:eastAsia="zh-CN"/>
        </w:rPr>
        <w:t>等内容</w:t>
      </w:r>
      <w:r>
        <w:rPr>
          <w:rFonts w:hint="eastAsia" w:ascii="仿宋_GB2312" w:eastAsia="仿宋_GB2312"/>
          <w:sz w:val="32"/>
          <w:szCs w:val="32"/>
        </w:rPr>
        <w:t>。</w:t>
      </w:r>
      <w:r>
        <w:rPr>
          <w:rFonts w:hint="eastAsia" w:ascii="仿宋_GB2312" w:eastAsia="仿宋_GB2312"/>
          <w:sz w:val="32"/>
          <w:szCs w:val="32"/>
          <w:lang w:val="en-US" w:eastAsia="zh-CN"/>
        </w:rPr>
        <w:t>总用地面积约46.9亩，总建筑面积约5461平方米。项目</w:t>
      </w:r>
      <w:r>
        <w:rPr>
          <w:rFonts w:hint="eastAsia" w:ascii="仿宋_GB2312" w:eastAsia="仿宋_GB2312"/>
          <w:sz w:val="32"/>
          <w:szCs w:val="32"/>
        </w:rPr>
        <w:t>合作期限为25年（含建设期</w:t>
      </w:r>
      <w:r>
        <w:rPr>
          <w:rFonts w:hint="eastAsia" w:ascii="仿宋_GB2312" w:eastAsia="仿宋_GB2312"/>
          <w:sz w:val="32"/>
          <w:szCs w:val="32"/>
          <w:lang w:val="en-US" w:eastAsia="zh-CN"/>
        </w:rPr>
        <w:t>1年</w:t>
      </w:r>
      <w:r>
        <w:rPr>
          <w:rFonts w:hint="eastAsia" w:ascii="仿宋_GB2312" w:eastAsia="仿宋_GB2312"/>
          <w:sz w:val="32"/>
          <w:szCs w:val="32"/>
        </w:rPr>
        <w:t>），合作期满后将资产完整的移交至县政府或其指定机构</w:t>
      </w:r>
      <w:r>
        <w:rPr>
          <w:rFonts w:hint="eastAsia" w:ascii="仿宋_GB2312" w:eastAsia="仿宋_GB2312"/>
          <w:sz w:val="32"/>
          <w:szCs w:val="32"/>
          <w:lang w:eastAsia="zh-CN"/>
        </w:rPr>
        <w:t>。</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（二）项目绩效目标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1、项目绩效总目标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善衡南县城乡环境卫生，提高衡南县垃圾处理“减量化、资源化、无害化”水平，按照“科学治理、城乡一体、市场化运作”的思路，引进先进技术，采用市场化动作，高起点、高标准建设实施城乡环卫一体化PPP项目。城乡环境卫生得到明显改善，实现全县城生活垃圾“收集清运全覆盖，压缩转运全封闭”的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项目绩效阶段性目标</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）产出指标</w:t>
      </w:r>
    </w:p>
    <w:p>
      <w:pPr>
        <w:ind w:firstLine="640" w:firstLineChars="200"/>
        <w:rPr>
          <w:rFonts w:hint="default"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2021年合同内县城城区道路清扫保洁总面积为234.5万平方米，道路清扫合格率达到99%，100%完成年初绩效申报，县城一、二类道路三扫全保（含清扫、洒水、冲洗等），其他道路两扫全保（含清扫、洒水、冲洗等），三扫全保为早、中、晚各清扫一次，其余时间为道路保洁时间。对路面、人行道、道牙、沙井口、树根周围进行全面清扫，做到“五无五净”（五无：无堆积物、无果皮纸屑、无砖瓦土石、无污泥积水、无痰涕；五净：果皮箱净、沙井沟眼净、道边石牙净、花坛绿化带净、树根周围净）。每天洒水不低于四次，对城区内人行道实行每星期两次的冲洗作业。组织专业队伍每日对整个服务范围内大街小巷牛皮癣进行及时清理。服务区内次干道达到15小时机械化清扫保洁。每日专人保洁城区内公厕卫生，每日保洁不少于2次。经费拨付按实际用款进度达到100%，较好的完成了年初的绩效目标。</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hint="eastAsia" w:eastAsia="仿宋_GB2312" w:cs="仿宋_GB2312"/>
          <w:b w:val="0"/>
          <w:bCs w:val="0"/>
          <w:sz w:val="32"/>
          <w:szCs w:val="32"/>
          <w:lang w:eastAsia="zh-CN"/>
        </w:rPr>
      </w:pPr>
      <w:r>
        <w:rPr>
          <w:rFonts w:eastAsia="仿宋_GB2312"/>
          <w:b w:val="0"/>
          <w:bCs w:val="0"/>
          <w:sz w:val="32"/>
          <w:szCs w:val="32"/>
        </w:rPr>
        <w:t>2</w:t>
      </w:r>
      <w:r>
        <w:rPr>
          <w:rFonts w:hint="eastAsia" w:eastAsia="仿宋_GB2312" w:cs="仿宋_GB2312"/>
          <w:b w:val="0"/>
          <w:bCs w:val="0"/>
          <w:sz w:val="32"/>
          <w:szCs w:val="32"/>
        </w:rPr>
        <w:t>、效</w:t>
      </w:r>
      <w:r>
        <w:rPr>
          <w:rFonts w:hint="eastAsia" w:eastAsia="仿宋_GB2312" w:cs="仿宋_GB2312"/>
          <w:b w:val="0"/>
          <w:bCs w:val="0"/>
          <w:sz w:val="32"/>
          <w:szCs w:val="32"/>
          <w:lang w:eastAsia="zh-CN"/>
        </w:rPr>
        <w:t>益指标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每年及时将县城新增道路纳入承包范围，实现卫生管理无死角，按照合同规定，每天组织环卫考核专班人员严格对两承包公司清扫保洁情况进行考核，如发现问题将根据合同要求予以处——清扫保洁合格率达到99%。并将由县市场管理所负责的农贸市场、云集镇管理的安置区道路清洁全部纳入统一管理，实现卫生管理主体单一，提高了工作效率。目前，县城所有已硬化的城乡结合部道路、背街小巷道路已全部纳入清扫保洁范围。由于管理严格、规范、科学，该项目的目标任务能按部就班完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实施以来，县城的环境卫生得到一定程度的改善，城市的舒适度提高，城市品位得到提升，为市民创造了宜居的生活环境、生存环境、工作环境，促进城市经济持续健康快速发展；环境卫生也是发展经济、扩大对外开放的必要条件，环境卫生是城市的名片，良好的城市环境将增加外商来投资的印象分；良好的市容环境卫生在一程度上有助于提高城市居民整体素质。</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二、项目单位绩效报告情况</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三、绩效评价工作情况</w:t>
      </w:r>
    </w:p>
    <w:p>
      <w:pPr>
        <w:spacing w:line="360" w:lineRule="auto"/>
        <w:ind w:firstLine="643" w:firstLineChars="200"/>
        <w:textAlignment w:val="baseline"/>
        <w:rPr>
          <w:b/>
          <w:bCs/>
          <w:szCs w:val="21"/>
        </w:rPr>
      </w:pPr>
      <w:r>
        <w:rPr>
          <w:rFonts w:hint="eastAsia" w:ascii="仿宋_GB2312" w:hAnsi="仿宋_GB2312" w:eastAsia="仿宋_GB2312" w:cs="仿宋_GB2312"/>
          <w:b/>
          <w:bCs/>
          <w:sz w:val="32"/>
          <w:szCs w:val="32"/>
        </w:rPr>
        <w:t>（一）绩效评价目的</w:t>
      </w:r>
      <w:bookmarkStart w:id="0" w:name="OLE_LINK1"/>
    </w:p>
    <w:bookmarkEnd w:id="0"/>
    <w:p>
      <w:pPr>
        <w:ind w:firstLine="640" w:firstLineChars="200"/>
        <w:rPr>
          <w:rFonts w:hint="eastAsia" w:ascii="仿宋_GB2312" w:hAnsi="仿宋_GB2312" w:eastAsia="仿宋_GB2312" w:cs="仿宋_GB2312"/>
          <w:sz w:val="32"/>
          <w:szCs w:val="32"/>
          <w:lang w:val="en-US" w:eastAsia="zh-CN"/>
        </w:rPr>
      </w:pPr>
      <w:r>
        <w:rPr>
          <w:rFonts w:hint="eastAsia" w:eastAsia="仿宋_GB2312"/>
          <w:sz w:val="32"/>
          <w:szCs w:val="32"/>
        </w:rPr>
        <w:t>（</w:t>
      </w:r>
      <w:r>
        <w:rPr>
          <w:rFonts w:hint="eastAsia" w:eastAsia="仿宋_GB2312"/>
          <w:sz w:val="32"/>
          <w:szCs w:val="32"/>
          <w:lang w:val="en-US" w:eastAsia="zh-CN"/>
        </w:rPr>
        <w:t>1</w:t>
      </w:r>
      <w:r>
        <w:rPr>
          <w:rFonts w:hint="eastAsia" w:eastAsia="仿宋_GB2312"/>
          <w:sz w:val="32"/>
          <w:szCs w:val="32"/>
        </w:rPr>
        <w:t>）</w:t>
      </w:r>
      <w:r>
        <w:rPr>
          <w:rFonts w:hint="eastAsia" w:ascii="仿宋_GB2312" w:hAnsi="仿宋_GB2312" w:eastAsia="仿宋_GB2312" w:cs="仿宋_GB2312"/>
          <w:sz w:val="32"/>
          <w:szCs w:val="32"/>
          <w:lang w:val="en-US" w:eastAsia="zh-CN"/>
        </w:rPr>
        <w:t>通过绩效评价及时发现问题，总结经验教训，推进项目更好的实施；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（2）通过该次项目绩效评价加强县城道路绩效评价的能力建设和制度建设，为全面实施城乡一体化PPP项目绩效评价奠定基础。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（4）通过绩效评价结果作为调价的重要依据，确保实现公共利益最大化。</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（二）绩效评价原则、评价指标体系（附表说明）、评价方法</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评价原则：</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１、绩效导向及目标管理原则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PPP项目绩效评价工作的开展要以绩效为核心导向，通过明确的绩效目标反映项目的预期或执行结果，以实现财政资金运行和项目实施效益最大化。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2、科学规范和有序推进原则。</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3、按效付费及监督问责原则。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4、物有所值与信息公开原则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评价方法：</w:t>
      </w:r>
    </w:p>
    <w:p>
      <w:pPr>
        <w:ind w:firstLine="640" w:firstLineChars="200"/>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项目在建设期、运营期内，政府方通过组建考核小组对项目公司建设及运维管理情况进行定期考核。项目建设期每半年考核一次。项目运营期每月考核天数不少于22天，每月绩效考核最终得分为每天考核算术平均分。考核过程中发现缺陷，应拍照保留文件等形式记录，并向乙方下达限期整改通知书，由乙方进行整改的。乙方应根据整改</w:t>
      </w:r>
      <w:r>
        <w:rPr>
          <w:rFonts w:hint="eastAsia" w:eastAsia="仿宋_GB2312"/>
          <w:sz w:val="32"/>
          <w:szCs w:val="32"/>
          <w:lang w:val="en-US" w:eastAsia="zh-CN"/>
        </w:rPr>
        <w:t>通知书的要求进行整改工作。且未在限定日期整改的，下一期考核将加倍扣分。</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运营维护期绩效考核以日常检查和集中检查相结合的方式进行。实行“日巡查，周检查，月评定，月奖惩”的制度。</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（三）绩效评价工作过程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1、前期准备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局领导对专项经费管理工作高度重视，切实增强主体责任意识，认真制定自评工作方案，由办公室配合财务部门，共同完成本次绩效自评工作。</w:t>
      </w:r>
    </w:p>
    <w:p>
      <w:pPr>
        <w:numPr>
          <w:ilvl w:val="0"/>
          <w:numId w:val="1"/>
        </w:numPr>
        <w:ind w:left="90" w:leftChars="0" w:firstLine="5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组织实施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根据《项目资金绩效评价共性指标体系框架》，对城乡环卫承包项目财政预算安排1483.19万元的专项经费进行了自评，并认真撰写了专项资金绩效评估报告，确保自评工作的真实、客观。</w:t>
      </w:r>
    </w:p>
    <w:p>
      <w:pPr>
        <w:numPr>
          <w:ilvl w:val="0"/>
          <w:numId w:val="1"/>
        </w:numPr>
        <w:ind w:left="90" w:leftChars="0" w:firstLine="5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分析评价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2021年我单位严格按照相关规定使用环卫承包1483.19万元专项经费的预算资金，资金使用效益较好，产生积极的社会效益。</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四、绩效评价指标分析情况</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（一）项目资金情况分析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1、项目资金到位情况分析</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2021年财政年初安排项目预算资金1483.19万元，</w:t>
      </w:r>
      <w:r>
        <w:rPr>
          <w:rFonts w:hint="eastAsia" w:ascii="仿宋_GB2312" w:hAnsi="仿宋_GB2312" w:eastAsia="仿宋_GB2312" w:cs="仿宋_GB2312"/>
          <w:color w:val="auto"/>
          <w:sz w:val="32"/>
          <w:szCs w:val="32"/>
          <w:lang w:val="en-US" w:eastAsia="zh-CN"/>
        </w:rPr>
        <w:t>实际到位项目资金1997万元。其中：预算内项目资金到位1200万元，预算外到位2020年度追加经费797万元。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2、项目资金使用情况分析</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2021年度共使用项目经费2113.87万元，其中：本年度支付2020年8-12月环卫承包项目政府付费857.48万元；支付2021年度环卫承包项目政府付费1256.39万元。</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项目资金管理情况分析</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根据专项资金管理的要求，我单位制定了多项管理办法，并严格按照管理办法执行。</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（1）严格按预算开支，没有超标准，超规模，超范围开支。</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（2）严格开支管理，做到了专款专用，不存在截留挤占挪用的情况。</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（3）加强内部检查和审计，进行定期或不定期的检查审计，确保专项资金落实到位。</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（二）项目实施情况分析</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1、项目组织情况分析</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本项目的实施已成立项目建设领导组，领导组的主要任务是协调关系解决施工过程中的突发事件等。工程施工已组建“工程项目部”，项目部下设工程协调办公室、工程质检组、财务组。</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部实行法人负责制，主要职责是：一是负责协调上下左右的关系，制定有关项目建设期间的管理制度与措施，对项目建设全过程及资金的使用进行全方位监督检查。二是负责办理工程建设的各项手续及项目领导组各项决策的落实，具体负责项目的实施，并会同有关部门对项目进行技术指导；三是负责组织工程监理；四是强化资金监理。五是强化工程质量管理；六是搞好项目的竣工验收和档案管理工作。</w:t>
      </w:r>
    </w:p>
    <w:p>
      <w:pPr>
        <w:pStyle w:val="5"/>
        <w:spacing w:line="580" w:lineRule="exac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施工管理采用直线型管理方式。定员10人。其中：设项目总经理1名，负责全面工作；协调办公室2人，承担办公机构的后勤服务和外部协调工作；财务组3人，负责财务管理及资金筹措；工程质检组4人，承担工程的进度、质量和合同管理等方面的工作。</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2、项目管理情况分析</w:t>
      </w:r>
    </w:p>
    <w:p>
      <w:pPr>
        <w:pStyle w:val="5"/>
        <w:spacing w:line="58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严格按照《衡南县财政专项资金管理办法》执行，所有资金由局财务部门统一管理，费用支出具体用途清晰，审批程序健全、规范。</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项目绩效情况分析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1、项目经济性分析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我单位全力保障各项工作的正常运转，2021年环卫承包预算专项经费1483.19万元，追加经费797万元，财政已拨付1997万元，已支付项目经费2113.87万元，年度预算完成率105.85%。</w:t>
      </w:r>
    </w:p>
    <w:p>
      <w:pPr>
        <w:numPr>
          <w:ilvl w:val="0"/>
          <w:numId w:val="3"/>
        </w:numPr>
        <w:ind w:left="20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环卫承包项目专项资金本年度财政已拨付资金全部支付完成，无结余。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2、项目的效率性分析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在专项经费保障下，开展各项工作，县城环境卫生状况得到了很大的改善。</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项目完成质量</w:t>
      </w:r>
    </w:p>
    <w:p>
      <w:pPr>
        <w:spacing w:line="580" w:lineRule="exact"/>
        <w:ind w:firstLine="600" w:firstLineChars="200"/>
        <w:rPr>
          <w:rFonts w:hint="eastAsia" w:ascii="仿宋" w:hAnsi="仿宋" w:eastAsia="仿宋"/>
          <w:sz w:val="30"/>
          <w:szCs w:val="30"/>
        </w:rPr>
      </w:pPr>
      <w:r>
        <w:rPr>
          <w:rFonts w:hint="eastAsia" w:ascii="仿宋" w:hAnsi="仿宋" w:eastAsia="仿宋"/>
          <w:sz w:val="30"/>
          <w:szCs w:val="30"/>
          <w:lang w:eastAsia="zh-CN"/>
        </w:rPr>
        <w:t>　</w:t>
      </w:r>
      <w:r>
        <w:rPr>
          <w:rFonts w:hint="eastAsia" w:ascii="仿宋" w:hAnsi="仿宋" w:eastAsia="仿宋"/>
          <w:sz w:val="30"/>
          <w:szCs w:val="30"/>
        </w:rPr>
        <w:t>项目完成质量</w:t>
      </w:r>
      <w:r>
        <w:rPr>
          <w:rFonts w:hint="eastAsia" w:ascii="仿宋" w:hAnsi="仿宋" w:eastAsia="仿宋"/>
          <w:sz w:val="30"/>
          <w:szCs w:val="30"/>
          <w:lang w:val="en-US" w:eastAsia="zh-CN"/>
        </w:rPr>
        <w:t>99</w:t>
      </w:r>
      <w:r>
        <w:rPr>
          <w:rFonts w:hint="eastAsia" w:ascii="仿宋" w:hAnsi="仿宋" w:eastAsia="仿宋"/>
          <w:sz w:val="30"/>
          <w:szCs w:val="30"/>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3、项目的效益性分析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ind w:firstLine="1280" w:firstLineChars="400"/>
        <w:rPr>
          <w:rFonts w:hint="eastAsia" w:ascii="仿宋" w:hAnsi="仿宋" w:eastAsia="仿宋"/>
          <w:sz w:val="30"/>
          <w:szCs w:val="30"/>
        </w:rPr>
      </w:pPr>
      <w:r>
        <w:rPr>
          <w:rFonts w:hint="eastAsia" w:ascii="仿宋_GB2312" w:hAnsi="仿宋_GB2312" w:eastAsia="仿宋_GB2312" w:cs="仿宋_GB2312"/>
          <w:sz w:val="32"/>
          <w:szCs w:val="32"/>
        </w:rPr>
        <w:t>100%完成预期目标</w:t>
      </w:r>
      <w:r>
        <w:rPr>
          <w:rFonts w:hint="eastAsia" w:ascii="仿宋" w:hAnsi="仿宋" w:eastAsia="仿宋"/>
          <w:color w:val="3D3D3D"/>
          <w:sz w:val="30"/>
          <w:szCs w:val="30"/>
        </w:rPr>
        <w:t>。</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项目实施对经济和社会的影响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显著改善衡南县的城乡环境，有利于实现垃圾减量化，资源化、无害化，环境效益明显。为创建优美、舒适、健康、清洁、人与自然和谐共处的环境起到积极作用，从而有利于保障人民身体健康，提高人民生活质量。</w:t>
      </w:r>
    </w:p>
    <w:p>
      <w:pPr>
        <w:numPr>
          <w:ilvl w:val="0"/>
          <w:numId w:val="5"/>
        </w:numPr>
        <w:ind w:left="-13" w:leftChars="0" w:firstLine="643" w:firstLineChars="0"/>
        <w:rPr>
          <w:rFonts w:hint="eastAsia" w:ascii="黑体" w:hAnsi="黑体" w:eastAsia="黑体" w:cs="黑体"/>
          <w:b w:val="0"/>
          <w:bCs/>
          <w:sz w:val="32"/>
          <w:szCs w:val="32"/>
        </w:rPr>
      </w:pPr>
      <w:bookmarkStart w:id="1" w:name="_GoBack"/>
      <w:r>
        <w:rPr>
          <w:rFonts w:hint="eastAsia" w:ascii="黑体" w:hAnsi="黑体" w:eastAsia="黑体" w:cs="黑体"/>
          <w:b w:val="0"/>
          <w:bCs/>
          <w:sz w:val="32"/>
          <w:szCs w:val="32"/>
        </w:rPr>
        <w:t>综合评价情况及评价结论（附相关评分表）</w:t>
      </w:r>
    </w:p>
    <w:p>
      <w:pPr>
        <w:numPr>
          <w:ilvl w:val="0"/>
          <w:numId w:val="0"/>
        </w:num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val="0"/>
          <w:bCs/>
          <w:sz w:val="32"/>
          <w:szCs w:val="32"/>
          <w:lang w:eastAsia="zh-CN"/>
        </w:rPr>
        <w:t>进一步完善衡南县城乡的环保基础设施，起到示范带动作用，改善县容县貌，为县城提供良好的生活环境。</w:t>
      </w:r>
    </w:p>
    <w:p>
      <w:pPr>
        <w:numPr>
          <w:ilvl w:val="0"/>
          <w:numId w:val="5"/>
        </w:numPr>
        <w:ind w:left="-13" w:leftChars="0" w:firstLine="643" w:firstLineChars="0"/>
        <w:rPr>
          <w:rFonts w:hint="eastAsia" w:ascii="黑体" w:hAnsi="黑体" w:eastAsia="黑体" w:cs="黑体"/>
          <w:b/>
          <w:sz w:val="32"/>
          <w:szCs w:val="32"/>
        </w:rPr>
      </w:pPr>
      <w:r>
        <w:rPr>
          <w:rFonts w:hint="eastAsia" w:ascii="黑体" w:hAnsi="黑体" w:eastAsia="黑体" w:cs="黑体"/>
          <w:b w:val="0"/>
          <w:bCs/>
          <w:sz w:val="32"/>
          <w:szCs w:val="32"/>
        </w:rPr>
        <w:t>绩效评价结果应用建议（以后年度预算安排、评价结果公开等</w:t>
      </w:r>
      <w:r>
        <w:rPr>
          <w:rFonts w:hint="eastAsia" w:ascii="黑体" w:hAnsi="黑体" w:eastAsia="黑体" w:cs="黑体"/>
          <w:b/>
          <w:sz w:val="32"/>
          <w:szCs w:val="32"/>
        </w:rPr>
        <w:t>）</w:t>
      </w:r>
    </w:p>
    <w:p>
      <w:pPr>
        <w:numPr>
          <w:ilvl w:val="0"/>
          <w:numId w:val="0"/>
        </w:numPr>
        <w:ind w:left="0" w:leftChars="0" w:firstLine="419" w:firstLineChars="131"/>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项目投资开发资金需求量较大，建议财政部门给予大力支持，并从政策上加以扶持，以确保项目顺利实施。</w:t>
      </w:r>
      <w:r>
        <w:rPr>
          <w:rFonts w:hint="eastAsia" w:eastAsia="仿宋_GB2312" w:cs="仿宋_GB2312"/>
          <w:b w:val="0"/>
          <w:bCs w:val="0"/>
          <w:sz w:val="32"/>
          <w:szCs w:val="32"/>
          <w:lang w:val="en-US" w:eastAsia="zh-CN"/>
        </w:rPr>
        <w:t>环卫督查力度还要更加强，考核评分还可以更严格。</w:t>
      </w:r>
    </w:p>
    <w:p>
      <w:pPr>
        <w:numPr>
          <w:ilvl w:val="0"/>
          <w:numId w:val="5"/>
        </w:numPr>
        <w:ind w:left="-13" w:leftChars="0" w:firstLine="643" w:firstLine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主要经验及做法、存在的问题和建议</w:t>
      </w:r>
    </w:p>
    <w:p>
      <w:pPr>
        <w:keepNext w:val="0"/>
        <w:keepLines w:val="0"/>
        <w:pageBreakBefore w:val="0"/>
        <w:widowControl/>
        <w:kinsoku/>
        <w:wordWrap/>
        <w:overflowPunct/>
        <w:topLinePunct w:val="0"/>
        <w:autoSpaceDE/>
        <w:autoSpaceDN/>
        <w:bidi w:val="0"/>
        <w:adjustRightInd w:val="0"/>
        <w:snapToGrid w:val="0"/>
        <w:spacing w:line="500" w:lineRule="exact"/>
        <w:ind w:firstLine="63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　问题：</w:t>
      </w:r>
    </w:p>
    <w:p>
      <w:pPr>
        <w:keepNext w:val="0"/>
        <w:keepLines w:val="0"/>
        <w:pageBreakBefore w:val="0"/>
        <w:widowControl/>
        <w:kinsoku/>
        <w:wordWrap/>
        <w:overflowPunct/>
        <w:topLinePunct w:val="0"/>
        <w:autoSpaceDE/>
        <w:autoSpaceDN/>
        <w:bidi w:val="0"/>
        <w:adjustRightInd w:val="0"/>
        <w:snapToGrid w:val="0"/>
        <w:spacing w:line="500" w:lineRule="exact"/>
        <w:ind w:firstLine="630"/>
        <w:textAlignment w:val="auto"/>
        <w:rPr>
          <w:rFonts w:hint="eastAsia" w:eastAsia="仿宋_GB2312" w:cs="仿宋_GB2312"/>
          <w:sz w:val="32"/>
          <w:szCs w:val="32"/>
          <w:lang w:eastAsia="zh-CN"/>
        </w:rPr>
      </w:pPr>
      <w:r>
        <w:rPr>
          <w:rFonts w:hint="eastAsia" w:ascii="仿宋_GB2312" w:hAnsi="仿宋_GB2312" w:eastAsia="仿宋_GB2312" w:cs="仿宋_GB2312"/>
          <w:b/>
          <w:sz w:val="32"/>
          <w:szCs w:val="32"/>
          <w:lang w:val="en-US" w:eastAsia="zh-CN"/>
        </w:rPr>
        <w:t>1、</w:t>
      </w:r>
      <w:r>
        <w:rPr>
          <w:rFonts w:hint="eastAsia" w:eastAsia="仿宋_GB2312"/>
          <w:sz w:val="32"/>
          <w:szCs w:val="32"/>
          <w:lang w:eastAsia="zh-CN"/>
        </w:rPr>
        <w:t>财政预算资金存在未及时拨付情况。</w:t>
      </w:r>
    </w:p>
    <w:p>
      <w:pPr>
        <w:keepNext w:val="0"/>
        <w:keepLines w:val="0"/>
        <w:pageBreakBefore w:val="0"/>
        <w:widowControl/>
        <w:numPr>
          <w:ilvl w:val="0"/>
          <w:numId w:val="6"/>
        </w:numPr>
        <w:kinsoku/>
        <w:wordWrap/>
        <w:overflowPunct/>
        <w:topLinePunct w:val="0"/>
        <w:autoSpaceDE/>
        <w:autoSpaceDN/>
        <w:bidi w:val="0"/>
        <w:adjustRightInd w:val="0"/>
        <w:snapToGrid w:val="0"/>
        <w:spacing w:line="5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考核力度不够。</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hint="eastAsia" w:eastAsia="仿宋_GB2312" w:cs="仿宋_GB2312"/>
          <w:sz w:val="32"/>
          <w:szCs w:val="32"/>
          <w:lang w:eastAsia="zh-CN"/>
        </w:rPr>
      </w:pPr>
      <w:r>
        <w:rPr>
          <w:rFonts w:hint="eastAsia" w:eastAsia="仿宋_GB2312" w:cs="仿宋_GB2312"/>
          <w:sz w:val="32"/>
          <w:szCs w:val="32"/>
          <w:lang w:val="en-US" w:eastAsia="zh-CN"/>
        </w:rPr>
        <w:t>3、</w:t>
      </w:r>
      <w:r>
        <w:rPr>
          <w:rFonts w:hint="eastAsia" w:eastAsia="仿宋_GB2312" w:cs="仿宋_GB2312"/>
          <w:sz w:val="32"/>
          <w:szCs w:val="32"/>
          <w:lang w:eastAsia="zh-CN"/>
        </w:rPr>
        <w:t>环卫设施添置较少，摆放不够合理</w:t>
      </w:r>
    </w:p>
    <w:p>
      <w:pPr>
        <w:numPr>
          <w:ilvl w:val="0"/>
          <w:numId w:val="0"/>
        </w:numPr>
        <w:ind w:left="420" w:leftChars="200" w:firstLine="217" w:firstLineChars="68"/>
        <w:rPr>
          <w:rFonts w:hint="eastAsia" w:eastAsia="仿宋_GB2312" w:cs="仿宋_GB2312"/>
          <w:b w:val="0"/>
          <w:bCs w:val="0"/>
          <w:sz w:val="32"/>
          <w:szCs w:val="32"/>
        </w:rPr>
      </w:pPr>
      <w:r>
        <w:rPr>
          <w:rFonts w:hint="eastAsia" w:eastAsia="仿宋_GB2312" w:cs="仿宋_GB2312"/>
          <w:b w:val="0"/>
          <w:bCs w:val="0"/>
          <w:sz w:val="32"/>
          <w:szCs w:val="32"/>
          <w:lang w:val="en-US" w:eastAsia="zh-CN"/>
        </w:rPr>
        <w:t>4、</w:t>
      </w:r>
      <w:r>
        <w:rPr>
          <w:rFonts w:hint="eastAsia" w:eastAsia="仿宋_GB2312" w:cs="仿宋_GB2312"/>
          <w:b w:val="0"/>
          <w:bCs w:val="0"/>
          <w:sz w:val="32"/>
          <w:szCs w:val="32"/>
        </w:rPr>
        <w:t>卫生状况满意度有待提高</w:t>
      </w:r>
    </w:p>
    <w:p>
      <w:pPr>
        <w:numPr>
          <w:ilvl w:val="0"/>
          <w:numId w:val="0"/>
        </w:numPr>
        <w:ind w:left="420" w:leftChars="200" w:firstLine="217" w:firstLineChars="68"/>
        <w:rPr>
          <w:rFonts w:hint="eastAsia" w:eastAsia="仿宋_GB2312" w:cs="仿宋_GB2312"/>
          <w:b w:val="0"/>
          <w:bCs w:val="0"/>
          <w:sz w:val="32"/>
          <w:szCs w:val="32"/>
          <w:lang w:eastAsia="zh-CN"/>
        </w:rPr>
      </w:pPr>
      <w:r>
        <w:rPr>
          <w:rFonts w:hint="eastAsia" w:eastAsia="仿宋_GB2312" w:cs="仿宋_GB2312"/>
          <w:b w:val="0"/>
          <w:bCs w:val="0"/>
          <w:sz w:val="32"/>
          <w:szCs w:val="32"/>
          <w:lang w:eastAsia="zh-CN"/>
        </w:rPr>
        <w:t>建议：</w:t>
      </w:r>
    </w:p>
    <w:p>
      <w:pPr>
        <w:numPr>
          <w:ilvl w:val="0"/>
          <w:numId w:val="7"/>
        </w:numPr>
        <w:ind w:left="420" w:leftChars="200" w:firstLine="217" w:firstLineChars="68"/>
        <w:rPr>
          <w:rFonts w:hint="eastAsia" w:eastAsia="仿宋_GB2312" w:cs="仿宋_GB2312"/>
          <w:b w:val="0"/>
          <w:bCs w:val="0"/>
          <w:sz w:val="32"/>
          <w:szCs w:val="32"/>
          <w:lang w:eastAsia="zh-CN"/>
        </w:rPr>
      </w:pPr>
      <w:r>
        <w:rPr>
          <w:rFonts w:hint="eastAsia" w:eastAsia="仿宋_GB2312" w:cs="仿宋_GB2312"/>
          <w:b w:val="0"/>
          <w:bCs w:val="0"/>
          <w:sz w:val="32"/>
          <w:szCs w:val="32"/>
          <w:lang w:eastAsia="zh-CN"/>
        </w:rPr>
        <w:t>财政部门加大对项目的支持，能够及时拨付专项资金。</w:t>
      </w:r>
    </w:p>
    <w:p>
      <w:pPr>
        <w:numPr>
          <w:ilvl w:val="0"/>
          <w:numId w:val="7"/>
        </w:numPr>
        <w:ind w:left="420" w:leftChars="200" w:firstLine="217" w:firstLineChars="68"/>
        <w:rPr>
          <w:rFonts w:hint="eastAsia" w:eastAsia="仿宋_GB2312" w:cs="仿宋_GB2312"/>
          <w:b w:val="0"/>
          <w:bCs w:val="0"/>
          <w:sz w:val="32"/>
          <w:szCs w:val="32"/>
          <w:lang w:val="en-US" w:eastAsia="zh-CN"/>
        </w:rPr>
      </w:pPr>
      <w:r>
        <w:rPr>
          <w:rFonts w:hint="eastAsia" w:eastAsia="仿宋_GB2312" w:cs="仿宋_GB2312"/>
          <w:b w:val="0"/>
          <w:bCs w:val="0"/>
          <w:sz w:val="32"/>
          <w:szCs w:val="32"/>
          <w:lang w:val="en-US" w:eastAsia="zh-CN"/>
        </w:rPr>
        <w:t>加大考核力度，及时发现存在的问题并整改到位。</w:t>
      </w:r>
    </w:p>
    <w:p>
      <w:pPr>
        <w:numPr>
          <w:ilvl w:val="0"/>
          <w:numId w:val="7"/>
        </w:numPr>
        <w:ind w:left="420" w:leftChars="200" w:firstLine="217" w:firstLineChars="68"/>
        <w:rPr>
          <w:rFonts w:hint="default" w:eastAsia="仿宋_GB2312" w:cs="仿宋_GB2312"/>
          <w:b w:val="0"/>
          <w:bCs w:val="0"/>
          <w:sz w:val="32"/>
          <w:szCs w:val="32"/>
          <w:lang w:val="en-US" w:eastAsia="zh-CN"/>
        </w:rPr>
      </w:pPr>
      <w:r>
        <w:rPr>
          <w:rFonts w:hint="eastAsia" w:eastAsia="仿宋_GB2312" w:cs="仿宋_GB2312"/>
          <w:b w:val="0"/>
          <w:bCs w:val="0"/>
          <w:sz w:val="32"/>
          <w:szCs w:val="32"/>
          <w:lang w:val="en-US" w:eastAsia="zh-CN"/>
        </w:rPr>
        <w:t>合理添置必需的环卫设施，设置合理的摆设位置。</w:t>
      </w:r>
    </w:p>
    <w:p>
      <w:pPr>
        <w:ind w:firstLine="643" w:firstLineChars="200"/>
        <w:rPr>
          <w:b/>
          <w:sz w:val="28"/>
          <w:szCs w:val="28"/>
        </w:rPr>
      </w:pPr>
      <w:r>
        <w:rPr>
          <w:rFonts w:hint="eastAsia" w:ascii="仿宋_GB2312" w:hAnsi="仿宋_GB2312" w:eastAsia="仿宋_GB2312" w:cs="仿宋_GB2312"/>
          <w:b/>
          <w:sz w:val="32"/>
          <w:szCs w:val="32"/>
        </w:rPr>
        <w:t>八、其他需说明的问题</w:t>
      </w:r>
    </w:p>
    <w:p>
      <w:pPr>
        <w:rPr>
          <w:rFonts w:hint="eastAsia" w:eastAsia="仿宋_GB2312" w:cs="仿宋_GB2312"/>
          <w:b w:val="0"/>
          <w:bCs w:val="0"/>
          <w:sz w:val="32"/>
          <w:szCs w:val="32"/>
          <w:lang w:val="en-US" w:eastAsia="zh-CN"/>
        </w:rPr>
      </w:pPr>
      <w:r>
        <w:rPr>
          <w:rFonts w:hint="eastAsia"/>
          <w:lang w:eastAsia="zh-CN"/>
        </w:rPr>
        <w:t>　　　　</w:t>
      </w:r>
      <w:r>
        <w:rPr>
          <w:rFonts w:hint="eastAsia" w:eastAsia="仿宋_GB2312" w:cs="仿宋_GB2312"/>
          <w:b w:val="0"/>
          <w:bCs w:val="0"/>
          <w:sz w:val="32"/>
          <w:szCs w:val="32"/>
          <w:lang w:val="en-US" w:eastAsia="zh-CN"/>
        </w:rPr>
        <w:t>无</w:t>
      </w:r>
    </w:p>
    <w:bookmarkEnd w:id="1"/>
    <w:sectPr>
      <w:footerReference r:id="rId3" w:type="default"/>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2944207"/>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AFE75"/>
    <w:multiLevelType w:val="singleLevel"/>
    <w:tmpl w:val="9CAAFE75"/>
    <w:lvl w:ilvl="0" w:tentative="0">
      <w:start w:val="2"/>
      <w:numFmt w:val="decimal"/>
      <w:suff w:val="nothing"/>
      <w:lvlText w:val="（%1）"/>
      <w:lvlJc w:val="left"/>
      <w:pPr>
        <w:ind w:left="200"/>
      </w:pPr>
    </w:lvl>
  </w:abstractNum>
  <w:abstractNum w:abstractNumId="1">
    <w:nsid w:val="B22E6CD3"/>
    <w:multiLevelType w:val="singleLevel"/>
    <w:tmpl w:val="B22E6CD3"/>
    <w:lvl w:ilvl="0" w:tentative="0">
      <w:start w:val="2"/>
      <w:numFmt w:val="decimal"/>
      <w:suff w:val="nothing"/>
      <w:lvlText w:val="%1、"/>
      <w:lvlJc w:val="left"/>
      <w:pPr>
        <w:ind w:left="90"/>
      </w:pPr>
    </w:lvl>
  </w:abstractNum>
  <w:abstractNum w:abstractNumId="2">
    <w:nsid w:val="CEAF754F"/>
    <w:multiLevelType w:val="singleLevel"/>
    <w:tmpl w:val="CEAF754F"/>
    <w:lvl w:ilvl="0" w:tentative="0">
      <w:start w:val="2"/>
      <w:numFmt w:val="decimal"/>
      <w:suff w:val="nothing"/>
      <w:lvlText w:val="（%1）"/>
      <w:lvlJc w:val="left"/>
    </w:lvl>
  </w:abstractNum>
  <w:abstractNum w:abstractNumId="3">
    <w:nsid w:val="F392A709"/>
    <w:multiLevelType w:val="singleLevel"/>
    <w:tmpl w:val="F392A709"/>
    <w:lvl w:ilvl="0" w:tentative="0">
      <w:start w:val="5"/>
      <w:numFmt w:val="chineseCounting"/>
      <w:suff w:val="nothing"/>
      <w:lvlText w:val="%1、"/>
      <w:lvlJc w:val="left"/>
      <w:pPr>
        <w:ind w:left="-13"/>
      </w:pPr>
      <w:rPr>
        <w:rFonts w:hint="eastAsia"/>
      </w:rPr>
    </w:lvl>
  </w:abstractNum>
  <w:abstractNum w:abstractNumId="4">
    <w:nsid w:val="1E997E8E"/>
    <w:multiLevelType w:val="singleLevel"/>
    <w:tmpl w:val="1E997E8E"/>
    <w:lvl w:ilvl="0" w:tentative="0">
      <w:start w:val="2"/>
      <w:numFmt w:val="decimal"/>
      <w:suff w:val="nothing"/>
      <w:lvlText w:val="%1、"/>
      <w:lvlJc w:val="left"/>
    </w:lvl>
  </w:abstractNum>
  <w:abstractNum w:abstractNumId="5">
    <w:nsid w:val="663EDD1F"/>
    <w:multiLevelType w:val="singleLevel"/>
    <w:tmpl w:val="663EDD1F"/>
    <w:lvl w:ilvl="0" w:tentative="0">
      <w:start w:val="3"/>
      <w:numFmt w:val="chineseCounting"/>
      <w:suff w:val="nothing"/>
      <w:lvlText w:val="（%1）"/>
      <w:lvlJc w:val="left"/>
      <w:rPr>
        <w:rFonts w:hint="eastAsia"/>
      </w:rPr>
    </w:lvl>
  </w:abstractNum>
  <w:abstractNum w:abstractNumId="6">
    <w:nsid w:val="77AA752B"/>
    <w:multiLevelType w:val="singleLevel"/>
    <w:tmpl w:val="77AA752B"/>
    <w:lvl w:ilvl="0" w:tentative="0">
      <w:start w:val="1"/>
      <w:numFmt w:val="decimal"/>
      <w:suff w:val="nothing"/>
      <w:lvlText w:val="%1、"/>
      <w:lvlJc w:val="left"/>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278DF"/>
    <w:rsid w:val="044D335C"/>
    <w:rsid w:val="076E438B"/>
    <w:rsid w:val="081836F8"/>
    <w:rsid w:val="0BB0150F"/>
    <w:rsid w:val="0CE4407A"/>
    <w:rsid w:val="13991845"/>
    <w:rsid w:val="1E512E6B"/>
    <w:rsid w:val="28931F41"/>
    <w:rsid w:val="2AE601B4"/>
    <w:rsid w:val="3336143D"/>
    <w:rsid w:val="4B0225E1"/>
    <w:rsid w:val="4B4C5408"/>
    <w:rsid w:val="4B5278DF"/>
    <w:rsid w:val="4B706F82"/>
    <w:rsid w:val="512253B2"/>
    <w:rsid w:val="520057D1"/>
    <w:rsid w:val="62D8655F"/>
    <w:rsid w:val="67BA7445"/>
    <w:rsid w:val="6B681F59"/>
    <w:rsid w:val="6D1F0203"/>
    <w:rsid w:val="722C0DD7"/>
    <w:rsid w:val="73E2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3330</Words>
  <Characters>3470</Characters>
  <Lines>0</Lines>
  <Paragraphs>0</Paragraphs>
  <TotalTime>641</TotalTime>
  <ScaleCrop>false</ScaleCrop>
  <LinksUpToDate>false</LinksUpToDate>
  <CharactersWithSpaces>3484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2021-04-27T06:58:00Z</dcterms:created>
  <dc:creator>紫诺</dc:creator>
  <cp:lastModifiedBy>紫诺</cp:lastModifiedBy>
  <cp:lastPrinted>2022-04-25T01:06:46Z</cp:lastPrinted>
  <dcterms:modified xsi:type="dcterms:W3CDTF">2022-04-25T01:36:14Z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1DAD2301BF7E42F19951CE4D9F26B38C</vt:lpwstr>
  </property>
  <property fmtid="{D5CDD505-2E9C-101B-9397-08002B2CF9AE}" pid="4" name="commondata">
    <vt:lpwstr>eyJoZGlkIjoiOTgyMzU1OGEyMDQ2MDM2ZTY5NDNhMDQxMjE2M2E5YTAifQ==</vt:lpwstr>
  </property>
</Properties>
</file>