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仿宋" w:hAnsi="仿宋" w:eastAsia="仿宋" w:cs="仿宋"/>
          <w:b w:val="0"/>
          <w:bCs w:val="0"/>
          <w:color w:val="auto"/>
          <w:kern w:val="0"/>
          <w:sz w:val="32"/>
          <w:szCs w:val="32"/>
        </w:rPr>
      </w:pPr>
      <w:r>
        <w:rPr>
          <w:rFonts w:hint="eastAsia" w:ascii="仿宋" w:hAnsi="仿宋" w:eastAsia="仿宋" w:cs="仿宋"/>
          <w:b w:val="0"/>
          <w:bCs w:val="0"/>
          <w:color w:val="auto"/>
          <w:kern w:val="0"/>
          <w:sz w:val="32"/>
          <w:szCs w:val="32"/>
        </w:rPr>
        <w:t>附件2：</w:t>
      </w:r>
    </w:p>
    <w:p>
      <w:pPr>
        <w:jc w:val="center"/>
        <w:rPr>
          <w:rFonts w:hint="eastAsia" w:ascii="仿宋" w:hAnsi="仿宋" w:eastAsia="仿宋" w:cs="仿宋"/>
          <w:b/>
          <w:bCs/>
          <w:color w:val="auto"/>
          <w:kern w:val="0"/>
          <w:sz w:val="32"/>
          <w:szCs w:val="32"/>
        </w:rPr>
      </w:pPr>
    </w:p>
    <w:p>
      <w:pPr>
        <w:jc w:val="center"/>
        <w:rPr>
          <w:rFonts w:hint="eastAsia" w:ascii="方正大标宋简体" w:hAnsi="方正大标宋简体" w:eastAsia="方正大标宋简体" w:cs="方正大标宋简体"/>
          <w:b w:val="0"/>
          <w:bCs w:val="0"/>
          <w:color w:val="auto"/>
          <w:kern w:val="0"/>
          <w:sz w:val="44"/>
          <w:szCs w:val="44"/>
          <w:lang w:val="en-US" w:eastAsia="zh-CN"/>
        </w:rPr>
      </w:pPr>
      <w:r>
        <w:rPr>
          <w:rFonts w:hint="eastAsia" w:ascii="方正大标宋简体" w:hAnsi="方正大标宋简体" w:eastAsia="方正大标宋简体" w:cs="方正大标宋简体"/>
          <w:b w:val="0"/>
          <w:bCs w:val="0"/>
          <w:color w:val="auto"/>
          <w:kern w:val="0"/>
          <w:sz w:val="44"/>
          <w:szCs w:val="44"/>
          <w:lang w:eastAsia="zh-CN"/>
        </w:rPr>
        <w:t>衡南县残疾人联合会</w:t>
      </w:r>
      <w:r>
        <w:rPr>
          <w:rFonts w:hint="eastAsia" w:ascii="方正大标宋简体" w:hAnsi="方正大标宋简体" w:eastAsia="方正大标宋简体" w:cs="方正大标宋简体"/>
          <w:b w:val="0"/>
          <w:bCs w:val="0"/>
          <w:color w:val="auto"/>
          <w:kern w:val="0"/>
          <w:sz w:val="44"/>
          <w:szCs w:val="44"/>
          <w:lang w:val="en-US" w:eastAsia="zh-CN"/>
        </w:rPr>
        <w:t>2021年</w:t>
      </w:r>
    </w:p>
    <w:p>
      <w:pPr>
        <w:jc w:val="center"/>
        <w:rPr>
          <w:rFonts w:hint="eastAsia" w:ascii="方正大标宋简体" w:hAnsi="方正大标宋简体" w:eastAsia="方正大标宋简体" w:cs="方正大标宋简体"/>
          <w:b w:val="0"/>
          <w:bCs w:val="0"/>
          <w:color w:val="auto"/>
          <w:kern w:val="0"/>
          <w:sz w:val="44"/>
          <w:szCs w:val="44"/>
        </w:rPr>
      </w:pPr>
      <w:r>
        <w:rPr>
          <w:rFonts w:hint="eastAsia" w:ascii="方正大标宋简体" w:hAnsi="方正大标宋简体" w:eastAsia="方正大标宋简体" w:cs="方正大标宋简体"/>
          <w:b w:val="0"/>
          <w:bCs w:val="0"/>
          <w:color w:val="auto"/>
          <w:kern w:val="0"/>
          <w:sz w:val="44"/>
          <w:szCs w:val="44"/>
        </w:rPr>
        <w:t>部门整体支出绩效自评报告</w:t>
      </w:r>
    </w:p>
    <w:p>
      <w:pPr>
        <w:spacing w:line="560" w:lineRule="exact"/>
        <w:rPr>
          <w:rFonts w:hint="eastAsia" w:ascii="仿宋" w:hAnsi="仿宋" w:eastAsia="仿宋" w:cs="仿宋"/>
          <w:b/>
          <w:bCs/>
          <w:color w:val="auto"/>
          <w:kern w:val="0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</w:rPr>
        <w:t>一、部门基本情况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color w:val="auto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1.部门职责</w:t>
      </w:r>
    </w:p>
    <w:p>
      <w:pPr>
        <w:spacing w:line="520" w:lineRule="exact"/>
        <w:ind w:firstLine="643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1、</w:t>
      </w:r>
      <w:r>
        <w:rPr>
          <w:rFonts w:hint="eastAsia" w:ascii="仿宋" w:hAnsi="仿宋" w:eastAsia="仿宋" w:cs="仿宋"/>
          <w:sz w:val="32"/>
          <w:szCs w:val="32"/>
        </w:rPr>
        <w:t>宣传、贯彻党和国家关于残疾人工作的方针政策和法律法规，依法维护残疾人合法权益。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2、研究拟订全县残疾人事业发展规划并组织实施，对有关业务进行指导和管理。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3、团结、教育残疾人遵守法律，履行应尽义务，发扬乐观进取精神，自尊、自信、自强、自立，为社会主义建设贡献力量。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4、弘扬人道主义精神，宣扬残疾人事业，发挥桥梁纽带作用，动员社会理解、尊重、关心、帮助残疾人。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5、开展残疾人康复、教育、劳动就业、托养、扶贫、文化、体育、科研、用品用具供应、残疾人社会保障、残疾人培训、福利、社会服务、无障碍设施、残疾人证的核发和残疾预防等工作，创造良好的环境和条件，扶助残疾人平等地参与社会生活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6、协助乡镇党委管理乡级残联领导班子，组织开展残疾人工作者培训，调查残疾人服务状况和需求。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7、会同有关部门指导和管理各类残疾人社团组织。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8、承担县政府残疾人工作委员会的日常工作，做好综合、组织、协调和服务工作。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9、组织开展残疾人事业交流与合作。</w:t>
      </w:r>
    </w:p>
    <w:p>
      <w:pPr>
        <w:ind w:firstLine="640" w:firstLineChars="200"/>
        <w:rPr>
          <w:rFonts w:hint="eastAsia" w:ascii="仿宋" w:hAnsi="仿宋" w:eastAsia="仿宋" w:cs="仿宋"/>
          <w:color w:val="auto"/>
          <w:kern w:val="0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10、承担县委、县政府交办的其他工作。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color w:val="auto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2.机构设置情况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color w:val="auto"/>
          <w:kern w:val="0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衡南县残疾人联合会</w:t>
      </w:r>
      <w:r>
        <w:rPr>
          <w:rFonts w:hint="eastAsia" w:ascii="仿宋" w:hAnsi="仿宋" w:eastAsia="仿宋" w:cs="仿宋"/>
          <w:sz w:val="32"/>
          <w:szCs w:val="32"/>
        </w:rPr>
        <w:t>是中共衡南县委领导下的残疾人自身代表组织、社会福利团体和事业管理机构融为一体的残疾人人民团体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为全额财政拨款单位，</w:t>
      </w:r>
      <w:r>
        <w:rPr>
          <w:rFonts w:hint="eastAsia" w:ascii="仿宋" w:hAnsi="仿宋" w:eastAsia="仿宋" w:cs="仿宋"/>
          <w:bCs/>
          <w:spacing w:val="-16"/>
          <w:sz w:val="32"/>
          <w:szCs w:val="32"/>
        </w:rPr>
        <w:t>内设办公室、</w:t>
      </w:r>
      <w:r>
        <w:rPr>
          <w:rFonts w:hint="eastAsia" w:ascii="仿宋" w:hAnsi="仿宋" w:eastAsia="仿宋" w:cs="仿宋"/>
          <w:bCs/>
          <w:spacing w:val="-16"/>
          <w:sz w:val="32"/>
          <w:szCs w:val="32"/>
          <w:lang w:eastAsia="zh-CN"/>
        </w:rPr>
        <w:t>康复股、教就股、维权股、财务股五个股室；下设一个二级机构，为残疾人劳动就业服务管理所。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color w:val="auto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3.人员编制情况</w:t>
      </w:r>
    </w:p>
    <w:p>
      <w:pPr>
        <w:ind w:left="0" w:leftChars="0" w:right="-92" w:rightChars="-44" w:firstLine="561" w:firstLineChars="195"/>
        <w:rPr>
          <w:rFonts w:hint="eastAsia" w:ascii="仿宋" w:hAnsi="仿宋" w:eastAsia="仿宋" w:cs="仿宋"/>
          <w:color w:val="auto"/>
          <w:kern w:val="0"/>
          <w:sz w:val="32"/>
          <w:szCs w:val="32"/>
        </w:rPr>
      </w:pPr>
      <w:r>
        <w:rPr>
          <w:rFonts w:hint="eastAsia" w:ascii="仿宋" w:hAnsi="仿宋" w:eastAsia="仿宋" w:cs="仿宋"/>
          <w:bCs/>
          <w:spacing w:val="-16"/>
          <w:sz w:val="32"/>
          <w:szCs w:val="32"/>
          <w:lang w:val="en-US" w:eastAsia="zh-CN"/>
        </w:rPr>
        <w:t>2021年核定编制数为13人，</w:t>
      </w:r>
      <w:r>
        <w:rPr>
          <w:rFonts w:hint="eastAsia" w:ascii="仿宋" w:hAnsi="仿宋" w:eastAsia="仿宋" w:cs="仿宋"/>
          <w:bCs/>
          <w:spacing w:val="-16"/>
          <w:sz w:val="32"/>
          <w:szCs w:val="32"/>
        </w:rPr>
        <w:t>在职</w:t>
      </w:r>
      <w:r>
        <w:rPr>
          <w:rFonts w:hint="eastAsia" w:ascii="仿宋" w:hAnsi="仿宋" w:eastAsia="仿宋" w:cs="仿宋"/>
          <w:bCs/>
          <w:color w:val="auto"/>
          <w:spacing w:val="-16"/>
          <w:sz w:val="32"/>
          <w:szCs w:val="32"/>
          <w:lang w:val="en-US" w:eastAsia="zh-CN"/>
        </w:rPr>
        <w:t>16</w:t>
      </w:r>
      <w:r>
        <w:rPr>
          <w:rFonts w:hint="eastAsia" w:ascii="仿宋" w:hAnsi="仿宋" w:eastAsia="仿宋" w:cs="仿宋"/>
          <w:bCs/>
          <w:spacing w:val="-16"/>
          <w:sz w:val="32"/>
          <w:szCs w:val="32"/>
        </w:rPr>
        <w:t>人，其中全额事业编制</w:t>
      </w:r>
      <w:r>
        <w:rPr>
          <w:rFonts w:hint="eastAsia" w:ascii="仿宋" w:hAnsi="仿宋" w:eastAsia="仿宋" w:cs="仿宋"/>
          <w:bCs/>
          <w:spacing w:val="-16"/>
          <w:sz w:val="32"/>
          <w:szCs w:val="32"/>
          <w:lang w:val="en-US" w:eastAsia="zh-CN"/>
        </w:rPr>
        <w:t>14</w:t>
      </w:r>
      <w:r>
        <w:rPr>
          <w:rFonts w:hint="eastAsia" w:ascii="仿宋" w:hAnsi="仿宋" w:eastAsia="仿宋" w:cs="仿宋"/>
          <w:bCs/>
          <w:spacing w:val="-16"/>
          <w:sz w:val="32"/>
          <w:szCs w:val="32"/>
        </w:rPr>
        <w:t>人,差额事业编制</w:t>
      </w:r>
      <w:r>
        <w:rPr>
          <w:rFonts w:hint="eastAsia" w:ascii="仿宋" w:hAnsi="仿宋" w:eastAsia="仿宋" w:cs="仿宋"/>
          <w:bCs/>
          <w:spacing w:val="-16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bCs/>
          <w:spacing w:val="-16"/>
          <w:sz w:val="32"/>
          <w:szCs w:val="32"/>
        </w:rPr>
        <w:t>人</w:t>
      </w:r>
      <w:r>
        <w:rPr>
          <w:rFonts w:hint="eastAsia" w:ascii="仿宋" w:hAnsi="仿宋" w:eastAsia="仿宋" w:cs="仿宋"/>
          <w:bCs/>
          <w:spacing w:val="-16"/>
          <w:sz w:val="32"/>
          <w:szCs w:val="32"/>
          <w:lang w:eastAsia="zh-CN"/>
        </w:rPr>
        <w:t>。</w:t>
      </w:r>
    </w:p>
    <w:p>
      <w:pPr>
        <w:spacing w:line="560" w:lineRule="exact"/>
        <w:ind w:firstLine="640" w:firstLineChars="200"/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</w:rPr>
        <w:t>二、部门整体支出管理及使用情况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color w:val="auto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1.部门预算收支情况</w:t>
      </w:r>
    </w:p>
    <w:p>
      <w:pPr>
        <w:spacing w:line="560" w:lineRule="exact"/>
        <w:ind w:left="0" w:leftChars="0" w:right="-92" w:rightChars="-44" w:firstLine="624" w:firstLineChars="195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我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会</w:t>
      </w:r>
      <w:r>
        <w:rPr>
          <w:rFonts w:hint="eastAsia" w:ascii="仿宋" w:hAnsi="仿宋" w:eastAsia="仿宋" w:cs="仿宋"/>
          <w:sz w:val="32"/>
          <w:szCs w:val="32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年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支出</w:t>
      </w:r>
      <w:r>
        <w:rPr>
          <w:rFonts w:hint="eastAsia" w:ascii="仿宋" w:hAnsi="仿宋" w:eastAsia="仿宋" w:cs="仿宋"/>
          <w:sz w:val="32"/>
          <w:szCs w:val="32"/>
        </w:rPr>
        <w:t>预算批复数为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174.56</w:t>
      </w:r>
      <w:r>
        <w:rPr>
          <w:rFonts w:hint="eastAsia" w:ascii="仿宋" w:hAnsi="仿宋" w:eastAsia="仿宋" w:cs="仿宋"/>
          <w:sz w:val="32"/>
          <w:szCs w:val="32"/>
        </w:rPr>
        <w:t>万元，其中，工资福利支出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122.84</w:t>
      </w:r>
      <w:r>
        <w:rPr>
          <w:rFonts w:hint="eastAsia" w:ascii="仿宋" w:hAnsi="仿宋" w:eastAsia="仿宋" w:cs="仿宋"/>
          <w:sz w:val="32"/>
          <w:szCs w:val="32"/>
        </w:rPr>
        <w:t>万元，一般商品服务支出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7.2</w:t>
      </w:r>
      <w:r>
        <w:rPr>
          <w:rFonts w:hint="eastAsia" w:ascii="仿宋" w:hAnsi="仿宋" w:eastAsia="仿宋" w:cs="仿宋"/>
          <w:sz w:val="32"/>
          <w:szCs w:val="32"/>
        </w:rPr>
        <w:t>万元，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对个人和家庭补助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1.92万元，</w:t>
      </w:r>
      <w:r>
        <w:rPr>
          <w:rFonts w:hint="eastAsia" w:ascii="仿宋" w:hAnsi="仿宋" w:eastAsia="仿宋" w:cs="仿宋"/>
          <w:sz w:val="32"/>
          <w:szCs w:val="32"/>
        </w:rPr>
        <w:t>专项经费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42.6 </w:t>
      </w:r>
      <w:r>
        <w:rPr>
          <w:rFonts w:hint="eastAsia" w:ascii="仿宋" w:hAnsi="仿宋" w:eastAsia="仿宋" w:cs="仿宋"/>
          <w:sz w:val="32"/>
          <w:szCs w:val="32"/>
        </w:rPr>
        <w:t>万元。</w:t>
      </w:r>
    </w:p>
    <w:p>
      <w:pPr>
        <w:spacing w:line="560" w:lineRule="exact"/>
        <w:ind w:left="0" w:leftChars="0" w:right="-92" w:rightChars="-44" w:firstLine="624" w:firstLineChars="195"/>
        <w:rPr>
          <w:rFonts w:hint="eastAsia" w:ascii="仿宋" w:hAnsi="仿宋" w:eastAsia="仿宋" w:cs="仿宋"/>
          <w:color w:val="auto"/>
          <w:kern w:val="0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我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会</w:t>
      </w:r>
      <w:r>
        <w:rPr>
          <w:rFonts w:hint="eastAsia" w:ascii="仿宋" w:hAnsi="仿宋" w:eastAsia="仿宋" w:cs="仿宋"/>
          <w:sz w:val="32"/>
          <w:szCs w:val="32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年部门收入决算数为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930.71</w:t>
      </w:r>
      <w:r>
        <w:rPr>
          <w:rFonts w:hint="eastAsia" w:ascii="仿宋" w:hAnsi="仿宋" w:eastAsia="仿宋" w:cs="仿宋"/>
          <w:sz w:val="32"/>
          <w:szCs w:val="32"/>
        </w:rPr>
        <w:t>万元，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其中财政年初预算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142.61万元 ，专项资金788.1万元，其他收入0万元；</w:t>
      </w:r>
      <w:r>
        <w:rPr>
          <w:rFonts w:hint="eastAsia" w:ascii="仿宋" w:hAnsi="仿宋" w:eastAsia="仿宋" w:cs="仿宋"/>
          <w:sz w:val="32"/>
          <w:szCs w:val="32"/>
        </w:rPr>
        <w:t>支出决算数为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930.71 </w:t>
      </w:r>
      <w:r>
        <w:rPr>
          <w:rFonts w:hint="eastAsia" w:ascii="仿宋" w:hAnsi="仿宋" w:eastAsia="仿宋" w:cs="仿宋"/>
          <w:sz w:val="32"/>
          <w:szCs w:val="32"/>
        </w:rPr>
        <w:t>万元，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其中基本支出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142.61 万元，项目支出788.1万元。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color w:val="auto"/>
          <w:kern w:val="0"/>
          <w:sz w:val="32"/>
          <w:szCs w:val="32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</w:rPr>
        <w:t>2.支出分类情况</w:t>
      </w:r>
    </w:p>
    <w:p>
      <w:pPr>
        <w:numPr>
          <w:ilvl w:val="0"/>
          <w:numId w:val="0"/>
        </w:numPr>
        <w:ind w:right="-92" w:rightChars="-44" w:firstLine="579" w:firstLineChars="200"/>
        <w:rPr>
          <w:rFonts w:hint="eastAsia" w:ascii="仿宋" w:hAnsi="仿宋" w:eastAsia="仿宋" w:cs="仿宋"/>
          <w:spacing w:val="-16"/>
          <w:sz w:val="32"/>
          <w:szCs w:val="32"/>
        </w:rPr>
      </w:pPr>
      <w:r>
        <w:rPr>
          <w:rFonts w:hint="eastAsia" w:ascii="仿宋" w:hAnsi="仿宋" w:eastAsia="仿宋" w:cs="仿宋"/>
          <w:b/>
          <w:spacing w:val="-16"/>
          <w:sz w:val="32"/>
          <w:szCs w:val="32"/>
          <w:lang w:val="en-US" w:eastAsia="zh-CN"/>
        </w:rPr>
        <w:t>1、</w:t>
      </w:r>
      <w:r>
        <w:rPr>
          <w:rFonts w:hint="eastAsia" w:ascii="仿宋" w:hAnsi="仿宋" w:eastAsia="仿宋" w:cs="仿宋"/>
          <w:b/>
          <w:spacing w:val="-16"/>
          <w:sz w:val="32"/>
          <w:szCs w:val="32"/>
        </w:rPr>
        <w:t>基本支出：</w:t>
      </w:r>
      <w:r>
        <w:rPr>
          <w:rFonts w:hint="eastAsia" w:ascii="仿宋" w:hAnsi="仿宋" w:eastAsia="仿宋" w:cs="仿宋"/>
          <w:spacing w:val="-16"/>
          <w:sz w:val="32"/>
          <w:szCs w:val="32"/>
        </w:rPr>
        <w:t>20</w:t>
      </w:r>
      <w:r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pacing w:val="-16"/>
          <w:sz w:val="32"/>
          <w:szCs w:val="32"/>
        </w:rPr>
        <w:t>年基本支出</w:t>
      </w:r>
      <w:r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  <w:t xml:space="preserve"> 142.61 </w:t>
      </w:r>
      <w:r>
        <w:rPr>
          <w:rFonts w:hint="eastAsia" w:ascii="仿宋" w:hAnsi="仿宋" w:eastAsia="仿宋" w:cs="仿宋"/>
          <w:spacing w:val="-16"/>
          <w:sz w:val="32"/>
          <w:szCs w:val="32"/>
        </w:rPr>
        <w:t>万元,保障机构正常运转，完成日常工作任务而发生的各项支出，包括用于在职和退休人员基本工资、津贴补贴等人员经费以及办公费、印刷费、水电费、办公设备购置等日常公用经费</w:t>
      </w:r>
      <w:r>
        <w:rPr>
          <w:rFonts w:hint="eastAsia" w:ascii="仿宋" w:hAnsi="仿宋" w:eastAsia="仿宋" w:cs="仿宋"/>
          <w:spacing w:val="-16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仿宋"/>
          <w:sz w:val="32"/>
          <w:szCs w:val="32"/>
        </w:rPr>
        <w:t>“三公”经费各费用均控制在预算范围内，本年“三公”经费达到上级每年递减5%的要求。</w:t>
      </w:r>
    </w:p>
    <w:p>
      <w:pPr>
        <w:ind w:left="0" w:leftChars="0" w:right="-92" w:rightChars="-44" w:firstLine="564" w:firstLineChars="195"/>
        <w:rPr>
          <w:rFonts w:hint="eastAsia"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b/>
          <w:spacing w:val="-16"/>
          <w:sz w:val="32"/>
          <w:szCs w:val="32"/>
          <w:lang w:val="en-US" w:eastAsia="zh-CN"/>
        </w:rPr>
        <w:t>2、</w:t>
      </w:r>
      <w:r>
        <w:rPr>
          <w:rFonts w:hint="eastAsia" w:ascii="仿宋" w:hAnsi="仿宋" w:eastAsia="仿宋" w:cs="仿宋"/>
          <w:b/>
          <w:spacing w:val="-16"/>
          <w:sz w:val="32"/>
          <w:szCs w:val="32"/>
        </w:rPr>
        <w:t>专项支出：</w:t>
      </w:r>
      <w:r>
        <w:rPr>
          <w:rFonts w:hint="eastAsia" w:ascii="仿宋" w:hAnsi="仿宋" w:eastAsia="仿宋" w:cs="仿宋"/>
          <w:spacing w:val="-16"/>
          <w:sz w:val="32"/>
          <w:szCs w:val="32"/>
        </w:rPr>
        <w:t>20</w:t>
      </w:r>
      <w:r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pacing w:val="-16"/>
          <w:sz w:val="32"/>
          <w:szCs w:val="32"/>
        </w:rPr>
        <w:t>年项目支出</w:t>
      </w:r>
      <w:r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  <w:t xml:space="preserve">788.1 </w:t>
      </w:r>
      <w:r>
        <w:rPr>
          <w:rFonts w:hint="eastAsia" w:ascii="仿宋" w:hAnsi="仿宋" w:eastAsia="仿宋" w:cs="仿宋"/>
          <w:spacing w:val="-16"/>
          <w:sz w:val="32"/>
          <w:szCs w:val="32"/>
        </w:rPr>
        <w:t>万元，承担全县20</w:t>
      </w:r>
      <w:r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pacing w:val="-16"/>
          <w:sz w:val="32"/>
          <w:szCs w:val="32"/>
        </w:rPr>
        <w:t>年</w:t>
      </w:r>
      <w:r>
        <w:rPr>
          <w:rFonts w:hint="eastAsia" w:ascii="仿宋" w:hAnsi="仿宋" w:eastAsia="仿宋" w:cs="仿宋"/>
          <w:spacing w:val="-16"/>
          <w:sz w:val="32"/>
          <w:szCs w:val="32"/>
          <w:lang w:eastAsia="zh-CN"/>
        </w:rPr>
        <w:t>残疾人康复</w:t>
      </w:r>
      <w:r>
        <w:rPr>
          <w:rFonts w:hint="eastAsia" w:ascii="仿宋" w:hAnsi="仿宋" w:eastAsia="仿宋" w:cs="仿宋"/>
          <w:spacing w:val="-16"/>
          <w:sz w:val="32"/>
          <w:szCs w:val="32"/>
        </w:rPr>
        <w:t>、</w:t>
      </w:r>
      <w:r>
        <w:rPr>
          <w:rFonts w:hint="eastAsia" w:ascii="仿宋" w:hAnsi="仿宋" w:eastAsia="仿宋" w:cs="仿宋"/>
          <w:spacing w:val="-16"/>
          <w:sz w:val="32"/>
          <w:szCs w:val="32"/>
          <w:lang w:eastAsia="zh-CN"/>
        </w:rPr>
        <w:t>残疾人教育就业</w:t>
      </w:r>
      <w:r>
        <w:rPr>
          <w:rFonts w:hint="eastAsia" w:ascii="仿宋" w:hAnsi="仿宋" w:eastAsia="仿宋" w:cs="仿宋"/>
          <w:spacing w:val="-16"/>
          <w:sz w:val="32"/>
          <w:szCs w:val="32"/>
        </w:rPr>
        <w:t>、</w:t>
      </w:r>
      <w:r>
        <w:rPr>
          <w:rFonts w:hint="eastAsia" w:ascii="仿宋" w:hAnsi="仿宋" w:eastAsia="仿宋" w:cs="仿宋"/>
          <w:spacing w:val="-16"/>
          <w:sz w:val="32"/>
          <w:szCs w:val="32"/>
          <w:lang w:eastAsia="zh-CN"/>
        </w:rPr>
        <w:t>残疾人扶贫</w:t>
      </w:r>
      <w:r>
        <w:rPr>
          <w:rFonts w:hint="eastAsia" w:ascii="仿宋" w:hAnsi="仿宋" w:eastAsia="仿宋" w:cs="仿宋"/>
          <w:spacing w:val="-16"/>
          <w:sz w:val="32"/>
          <w:szCs w:val="32"/>
        </w:rPr>
        <w:t>、</w:t>
      </w:r>
      <w:r>
        <w:rPr>
          <w:rFonts w:hint="eastAsia" w:ascii="仿宋" w:hAnsi="仿宋" w:eastAsia="仿宋" w:cs="仿宋"/>
          <w:spacing w:val="-16"/>
          <w:sz w:val="32"/>
          <w:szCs w:val="32"/>
          <w:lang w:eastAsia="zh-CN"/>
        </w:rPr>
        <w:t>残疾人维权</w:t>
      </w:r>
      <w:r>
        <w:rPr>
          <w:rFonts w:hint="eastAsia" w:ascii="仿宋" w:hAnsi="仿宋" w:eastAsia="仿宋" w:cs="仿宋"/>
          <w:spacing w:val="-16"/>
          <w:sz w:val="32"/>
          <w:szCs w:val="32"/>
        </w:rPr>
        <w:t>等支出。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3.“三公”经费情况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color w:val="auto"/>
          <w:kern w:val="0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我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会</w:t>
      </w:r>
      <w:r>
        <w:rPr>
          <w:rFonts w:hint="eastAsia" w:ascii="仿宋" w:hAnsi="仿宋" w:eastAsia="仿宋" w:cs="仿宋"/>
          <w:sz w:val="32"/>
          <w:szCs w:val="32"/>
        </w:rPr>
        <w:t>“三公”经费各费用均控制在预算范围内，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2021年三公经费 万元，</w:t>
      </w:r>
      <w:r>
        <w:rPr>
          <w:rFonts w:hint="eastAsia" w:ascii="仿宋" w:hAnsi="仿宋" w:eastAsia="仿宋" w:cs="仿宋"/>
          <w:sz w:val="32"/>
          <w:szCs w:val="32"/>
        </w:rPr>
        <w:t>其中：因公出国出境费用本年未发生经费支出，实际支出为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z w:val="32"/>
          <w:szCs w:val="32"/>
        </w:rPr>
        <w:t>；公务接待费预算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>万元，实际为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>万元；车辆运行维护费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</w:rPr>
        <w:t>万元，本年“三公”经费实际支出数均控制在预算范围内，各明细项目与上年比大幅下降。</w:t>
      </w:r>
    </w:p>
    <w:p>
      <w:pPr>
        <w:spacing w:line="560" w:lineRule="exact"/>
        <w:ind w:firstLine="640" w:firstLineChars="200"/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</w:rPr>
        <w:t>三、部门整体支出绩效评价情况</w:t>
      </w:r>
    </w:p>
    <w:p>
      <w:pPr>
        <w:ind w:left="0" w:leftChars="0" w:right="-92" w:rightChars="-44" w:firstLine="561" w:firstLineChars="195"/>
        <w:rPr>
          <w:rFonts w:hint="eastAsia" w:ascii="仿宋" w:hAnsi="仿宋" w:eastAsia="仿宋" w:cs="仿宋"/>
          <w:spacing w:val="-16"/>
          <w:sz w:val="32"/>
          <w:szCs w:val="32"/>
        </w:rPr>
      </w:pPr>
      <w:r>
        <w:rPr>
          <w:rFonts w:hint="eastAsia" w:ascii="仿宋" w:hAnsi="仿宋" w:eastAsia="仿宋" w:cs="仿宋"/>
          <w:spacing w:val="-16"/>
          <w:sz w:val="32"/>
          <w:szCs w:val="32"/>
        </w:rPr>
        <w:t>20</w:t>
      </w:r>
      <w:r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pacing w:val="-16"/>
          <w:sz w:val="32"/>
          <w:szCs w:val="32"/>
        </w:rPr>
        <w:t>年我</w:t>
      </w:r>
      <w:r>
        <w:rPr>
          <w:rFonts w:hint="eastAsia" w:ascii="仿宋" w:hAnsi="仿宋" w:eastAsia="仿宋" w:cs="仿宋"/>
          <w:spacing w:val="-16"/>
          <w:sz w:val="32"/>
          <w:szCs w:val="32"/>
          <w:lang w:eastAsia="zh-CN"/>
        </w:rPr>
        <w:t>会紧紧</w:t>
      </w:r>
      <w:r>
        <w:rPr>
          <w:rFonts w:hint="eastAsia" w:ascii="仿宋" w:hAnsi="仿宋" w:eastAsia="仿宋" w:cs="仿宋"/>
          <w:spacing w:val="-16"/>
          <w:sz w:val="32"/>
          <w:szCs w:val="32"/>
        </w:rPr>
        <w:t>围绕县委、县政府中心工作，积极履职，强化管理，较好的完成了年度工作目标。通过加强预算收支的管理，不断建立健全内部管理制度，理顺内部管理流程，部门整体支出管理情况得到了提升。部门整体支出绩效情况如下：</w:t>
      </w:r>
    </w:p>
    <w:p>
      <w:pPr>
        <w:ind w:left="0" w:leftChars="0" w:right="-92" w:rightChars="-44" w:firstLine="561" w:firstLineChars="195"/>
        <w:rPr>
          <w:rFonts w:hint="eastAsia" w:ascii="仿宋" w:hAnsi="仿宋" w:eastAsia="仿宋" w:cs="仿宋"/>
          <w:spacing w:val="-16"/>
          <w:sz w:val="32"/>
          <w:szCs w:val="32"/>
        </w:rPr>
      </w:pPr>
      <w:r>
        <w:rPr>
          <w:rFonts w:hint="eastAsia" w:ascii="仿宋" w:hAnsi="仿宋" w:eastAsia="仿宋" w:cs="仿宋"/>
          <w:spacing w:val="-16"/>
          <w:sz w:val="32"/>
          <w:szCs w:val="32"/>
        </w:rPr>
        <w:t>1、在职人员控制率：100%</w:t>
      </w:r>
    </w:p>
    <w:p>
      <w:pPr>
        <w:ind w:left="0" w:leftChars="0" w:right="-92" w:rightChars="-44" w:firstLine="561" w:firstLineChars="195"/>
        <w:rPr>
          <w:rFonts w:hint="eastAsia" w:ascii="仿宋" w:hAnsi="仿宋" w:eastAsia="仿宋" w:cs="仿宋"/>
          <w:spacing w:val="-16"/>
          <w:sz w:val="32"/>
          <w:szCs w:val="32"/>
        </w:rPr>
      </w:pPr>
      <w:r>
        <w:rPr>
          <w:rFonts w:hint="eastAsia" w:ascii="仿宋" w:hAnsi="仿宋" w:eastAsia="仿宋" w:cs="仿宋"/>
          <w:spacing w:val="-16"/>
          <w:sz w:val="32"/>
          <w:szCs w:val="32"/>
        </w:rPr>
        <w:t>2、“三公经费”控制率：100%</w:t>
      </w:r>
    </w:p>
    <w:p>
      <w:pPr>
        <w:ind w:left="0" w:leftChars="0" w:right="-92" w:rightChars="-44" w:firstLine="561" w:firstLineChars="195"/>
        <w:rPr>
          <w:rFonts w:hint="eastAsia" w:ascii="仿宋" w:hAnsi="仿宋" w:eastAsia="仿宋" w:cs="仿宋"/>
          <w:spacing w:val="-16"/>
          <w:sz w:val="32"/>
          <w:szCs w:val="32"/>
        </w:rPr>
      </w:pPr>
      <w:r>
        <w:rPr>
          <w:rFonts w:hint="eastAsia" w:ascii="仿宋" w:hAnsi="仿宋" w:eastAsia="仿宋" w:cs="仿宋"/>
          <w:spacing w:val="-16"/>
          <w:sz w:val="32"/>
          <w:szCs w:val="32"/>
        </w:rPr>
        <w:t>3、预算完成率：100%</w:t>
      </w:r>
    </w:p>
    <w:p>
      <w:pPr>
        <w:ind w:left="0" w:leftChars="0" w:right="-92" w:rightChars="-44" w:firstLine="561" w:firstLineChars="195"/>
        <w:rPr>
          <w:rFonts w:hint="eastAsia" w:ascii="仿宋" w:hAnsi="仿宋" w:eastAsia="仿宋" w:cs="仿宋"/>
          <w:spacing w:val="-16"/>
          <w:sz w:val="32"/>
          <w:szCs w:val="32"/>
        </w:rPr>
      </w:pPr>
      <w:r>
        <w:rPr>
          <w:rFonts w:hint="eastAsia" w:ascii="仿宋" w:hAnsi="仿宋" w:eastAsia="仿宋" w:cs="仿宋"/>
          <w:spacing w:val="-16"/>
          <w:sz w:val="32"/>
          <w:szCs w:val="32"/>
        </w:rPr>
        <w:t>4、政府采购执行率100%</w:t>
      </w:r>
    </w:p>
    <w:p>
      <w:pPr>
        <w:ind w:left="0" w:leftChars="0" w:right="-92" w:rightChars="-44" w:firstLine="561" w:firstLineChars="195"/>
        <w:rPr>
          <w:rFonts w:hint="eastAsia" w:ascii="仿宋" w:hAnsi="仿宋" w:eastAsia="仿宋" w:cs="仿宋"/>
          <w:spacing w:val="-16"/>
          <w:sz w:val="32"/>
          <w:szCs w:val="32"/>
        </w:rPr>
      </w:pPr>
      <w:bookmarkStart w:id="0" w:name="_GoBack"/>
      <w:bookmarkEnd w:id="0"/>
      <w:r>
        <w:rPr>
          <w:rFonts w:hint="eastAsia" w:ascii="仿宋" w:hAnsi="仿宋" w:eastAsia="仿宋" w:cs="仿宋"/>
          <w:spacing w:val="-16"/>
          <w:sz w:val="32"/>
          <w:szCs w:val="32"/>
        </w:rPr>
        <w:t>5、在资金管理上，</w:t>
      </w:r>
      <w:r>
        <w:rPr>
          <w:rFonts w:hint="eastAsia" w:ascii="仿宋" w:hAnsi="仿宋" w:eastAsia="仿宋" w:cs="仿宋"/>
          <w:spacing w:val="-16"/>
          <w:sz w:val="32"/>
          <w:szCs w:val="32"/>
          <w:lang w:eastAsia="zh-CN"/>
        </w:rPr>
        <w:t>我会</w:t>
      </w:r>
      <w:r>
        <w:rPr>
          <w:rFonts w:hint="eastAsia" w:ascii="仿宋" w:hAnsi="仿宋" w:eastAsia="仿宋" w:cs="仿宋"/>
          <w:spacing w:val="-16"/>
          <w:sz w:val="32"/>
          <w:szCs w:val="32"/>
        </w:rPr>
        <w:t>制定了一系列的财务管理制度。</w:t>
      </w:r>
    </w:p>
    <w:p>
      <w:pPr>
        <w:spacing w:line="560" w:lineRule="exact"/>
        <w:ind w:firstLine="576" w:firstLineChars="200"/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</w:rPr>
      </w:pPr>
      <w:r>
        <w:rPr>
          <w:rFonts w:hint="eastAsia" w:ascii="仿宋" w:hAnsi="仿宋" w:eastAsia="仿宋" w:cs="仿宋"/>
          <w:spacing w:val="-16"/>
          <w:sz w:val="32"/>
          <w:szCs w:val="32"/>
        </w:rPr>
        <w:t>6、在决算信息公开方面，严格按照要求将20</w:t>
      </w:r>
      <w:r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pacing w:val="-16"/>
          <w:sz w:val="32"/>
          <w:szCs w:val="32"/>
        </w:rPr>
        <w:t>年的“三公经费”及预算数据在网站进行了公开</w:t>
      </w:r>
      <w:r>
        <w:rPr>
          <w:rFonts w:hint="eastAsia" w:ascii="仿宋" w:hAnsi="仿宋" w:eastAsia="仿宋" w:cs="仿宋"/>
          <w:spacing w:val="-16"/>
          <w:sz w:val="32"/>
          <w:szCs w:val="32"/>
          <w:lang w:eastAsia="zh-CN"/>
        </w:rPr>
        <w:t>。</w:t>
      </w:r>
    </w:p>
    <w:p>
      <w:pPr>
        <w:spacing w:line="560" w:lineRule="exact"/>
        <w:ind w:firstLine="640" w:firstLineChars="200"/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</w:rPr>
        <w:t>四、存在的主要问题</w:t>
      </w:r>
    </w:p>
    <w:p>
      <w:pPr>
        <w:ind w:left="0" w:leftChars="0" w:right="-92" w:rightChars="-44" w:firstLine="624" w:firstLineChars="195"/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highlight w:val="none"/>
        </w:rPr>
        <w:t>年初预算的编制较为精细，按照费用支出的使用范围和内容，进行了基本支出、项目支出的严格区分，并按照预算的最末级明细进行预算支出管理，专款专用。</w:t>
      </w: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随着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预、决算编制工作水平要求越来越高，数据编制要求越来越精准、规范</w:t>
      </w: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时间紧、任务大</w:t>
      </w: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，</w:t>
      </w:r>
      <w:r>
        <w:rPr>
          <w:rFonts w:hint="eastAsia" w:ascii="仿宋" w:hAnsi="仿宋" w:eastAsia="仿宋" w:cs="仿宋"/>
          <w:spacing w:val="-16"/>
          <w:sz w:val="32"/>
          <w:szCs w:val="32"/>
          <w:lang w:eastAsia="zh-CN"/>
        </w:rPr>
        <w:t>需进行详细预算编制。</w:t>
      </w:r>
    </w:p>
    <w:p>
      <w:pPr>
        <w:spacing w:line="560" w:lineRule="exact"/>
        <w:ind w:firstLine="640" w:firstLineChars="200"/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auto"/>
          <w:kern w:val="0"/>
          <w:sz w:val="32"/>
          <w:szCs w:val="32"/>
        </w:rPr>
        <w:t>五、改进措施及建议</w:t>
      </w:r>
    </w:p>
    <w:p>
      <w:pPr>
        <w:ind w:left="0" w:leftChars="0" w:right="-92" w:rightChars="-44" w:firstLine="561" w:firstLineChars="195"/>
        <w:rPr>
          <w:rFonts w:hint="eastAsia" w:ascii="仿宋" w:hAnsi="仿宋" w:eastAsia="仿宋" w:cs="仿宋"/>
          <w:spacing w:val="-16"/>
          <w:sz w:val="32"/>
          <w:szCs w:val="32"/>
        </w:rPr>
      </w:pPr>
      <w:r>
        <w:rPr>
          <w:rFonts w:hint="eastAsia" w:ascii="仿宋" w:hAnsi="仿宋" w:eastAsia="仿宋" w:cs="仿宋"/>
          <w:spacing w:val="-16"/>
          <w:sz w:val="32"/>
          <w:szCs w:val="32"/>
        </w:rPr>
        <w:t>1、抓好财务预算管理，严格执行财务管理制度，充分发挥监督作用。</w:t>
      </w:r>
    </w:p>
    <w:p>
      <w:pPr>
        <w:ind w:left="0" w:leftChars="0" w:right="-92" w:rightChars="-44" w:firstLine="561" w:firstLineChars="195"/>
        <w:rPr>
          <w:rFonts w:hint="eastAsia" w:ascii="仿宋" w:hAnsi="仿宋" w:eastAsia="仿宋" w:cs="仿宋"/>
          <w:spacing w:val="-16"/>
          <w:sz w:val="32"/>
          <w:szCs w:val="32"/>
        </w:rPr>
      </w:pPr>
      <w:r>
        <w:rPr>
          <w:rFonts w:hint="eastAsia" w:ascii="仿宋" w:hAnsi="仿宋" w:eastAsia="仿宋" w:cs="仿宋"/>
          <w:spacing w:val="-16"/>
          <w:sz w:val="32"/>
          <w:szCs w:val="32"/>
        </w:rPr>
        <w:t>2、严格财务支出审批。抓好审核和审批两个环节，在审核审批中严把支出关，切实维护财务纪律的严肃性。</w:t>
      </w:r>
    </w:p>
    <w:p>
      <w:pPr>
        <w:ind w:left="0" w:leftChars="0" w:right="-92" w:rightChars="-44" w:firstLine="561" w:firstLineChars="195"/>
        <w:rPr>
          <w:rFonts w:hint="eastAsia" w:ascii="仿宋" w:hAnsi="仿宋" w:eastAsia="仿宋" w:cs="仿宋"/>
          <w:spacing w:val="-16"/>
          <w:sz w:val="32"/>
          <w:szCs w:val="32"/>
        </w:rPr>
      </w:pPr>
      <w:r>
        <w:rPr>
          <w:rFonts w:hint="eastAsia" w:ascii="仿宋" w:hAnsi="仿宋" w:eastAsia="仿宋" w:cs="仿宋"/>
          <w:spacing w:val="-16"/>
          <w:sz w:val="32"/>
          <w:szCs w:val="32"/>
        </w:rPr>
        <w:t>3、强化经费管理。重点加强招待费和公务用车的管理，严格控制支出，降低经费支出。</w:t>
      </w:r>
    </w:p>
    <w:p>
      <w:pPr>
        <w:spacing w:line="560" w:lineRule="exact"/>
        <w:ind w:left="0" w:leftChars="0" w:right="-92" w:rightChars="-44" w:firstLine="561" w:firstLineChars="195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  <w:t>4、</w:t>
      </w:r>
      <w:r>
        <w:rPr>
          <w:rFonts w:hint="eastAsia" w:ascii="仿宋" w:hAnsi="仿宋" w:eastAsia="仿宋" w:cs="仿宋"/>
          <w:sz w:val="32"/>
          <w:szCs w:val="32"/>
        </w:rPr>
        <w:t>加强内部机构的预算管理意识，严格按照预算编制的相关制度和要求，提高预算编制的科学性、合理性、严谨性和可控性，在日常预算管理过程中，加强预算支出的审核、跟踪及预算执行情况分析。</w:t>
      </w:r>
    </w:p>
    <w:p>
      <w:pPr>
        <w:ind w:right="-92" w:rightChars="-44"/>
        <w:rPr>
          <w:rFonts w:hint="eastAsia" w:ascii="仿宋" w:hAnsi="仿宋" w:eastAsia="仿宋" w:cs="仿宋"/>
          <w:spacing w:val="-16"/>
          <w:sz w:val="32"/>
          <w:szCs w:val="32"/>
        </w:rPr>
      </w:pPr>
    </w:p>
    <w:p>
      <w:pPr>
        <w:ind w:left="0" w:leftChars="0" w:right="-92" w:rightChars="-44" w:firstLine="5163" w:firstLineChars="1793"/>
        <w:rPr>
          <w:rFonts w:hint="eastAsia" w:ascii="仿宋" w:hAnsi="仿宋" w:eastAsia="仿宋" w:cs="仿宋"/>
          <w:spacing w:val="-16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pacing w:val="-16"/>
          <w:sz w:val="32"/>
          <w:szCs w:val="32"/>
        </w:rPr>
        <w:t>衡南县</w:t>
      </w:r>
      <w:r>
        <w:rPr>
          <w:rFonts w:hint="eastAsia" w:ascii="仿宋" w:hAnsi="仿宋" w:eastAsia="仿宋" w:cs="仿宋"/>
          <w:spacing w:val="-16"/>
          <w:sz w:val="32"/>
          <w:szCs w:val="32"/>
          <w:lang w:eastAsia="zh-CN"/>
        </w:rPr>
        <w:t>残疾人联合会</w:t>
      </w:r>
    </w:p>
    <w:p>
      <w:pPr>
        <w:ind w:left="0" w:leftChars="0" w:right="-92" w:rightChars="-44" w:firstLine="273" w:firstLineChars="95"/>
        <w:rPr>
          <w:rFonts w:hint="eastAsia" w:ascii="仿宋" w:hAnsi="仿宋" w:eastAsia="仿宋" w:cs="仿宋"/>
          <w:spacing w:val="-16"/>
          <w:sz w:val="32"/>
          <w:szCs w:val="32"/>
        </w:rPr>
      </w:pPr>
      <w:r>
        <w:rPr>
          <w:rFonts w:hint="eastAsia" w:ascii="仿宋" w:hAnsi="仿宋" w:eastAsia="仿宋" w:cs="仿宋"/>
          <w:spacing w:val="-16"/>
          <w:sz w:val="32"/>
          <w:szCs w:val="32"/>
        </w:rPr>
        <w:t xml:space="preserve">                                 </w:t>
      </w:r>
      <w:r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spacing w:val="-16"/>
          <w:sz w:val="32"/>
          <w:szCs w:val="32"/>
        </w:rPr>
        <w:t xml:space="preserve">    20</w:t>
      </w:r>
      <w:r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  <w:t>22</w:t>
      </w:r>
      <w:r>
        <w:rPr>
          <w:rFonts w:hint="eastAsia" w:ascii="仿宋" w:hAnsi="仿宋" w:eastAsia="仿宋" w:cs="仿宋"/>
          <w:spacing w:val="-16"/>
          <w:sz w:val="32"/>
          <w:szCs w:val="32"/>
        </w:rPr>
        <w:t>年</w:t>
      </w:r>
      <w:r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spacing w:val="-16"/>
          <w:sz w:val="32"/>
          <w:szCs w:val="32"/>
        </w:rPr>
        <w:t>月</w:t>
      </w:r>
      <w:r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  <w:t>25</w:t>
      </w:r>
      <w:r>
        <w:rPr>
          <w:rFonts w:hint="eastAsia" w:ascii="仿宋" w:hAnsi="仿宋" w:eastAsia="仿宋" w:cs="仿宋"/>
          <w:spacing w:val="-16"/>
          <w:sz w:val="32"/>
          <w:szCs w:val="32"/>
        </w:rPr>
        <w:t xml:space="preserve">日 </w:t>
      </w:r>
    </w:p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大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i29ifcAgAAJAYAAA4AAABkcnMvZTJvRG9jLnhtbK1UzW7UMBC+I/EO&#10;lu9pkm26zUbNVttNg5AqWqkgzl7H2Vg4tmV7fwriCm/AiQt3nqvPwTjZ7LYFoUqwh+zYM56Z75uf&#10;s/NtK9CaGcuVzHF8FGHEJFUVl8scv3tbBilG1hFZEaEky/Eds/h8+vLF2UZnbKQaJSpmEDiRNtvo&#10;HDfO6SwMLW1YS+yR0kyCslamJQ6OZhlWhmzAeyvCURSNw40ylTaKMmvhtuiVeOfRPMehqmtOWaHo&#10;qmXS9V4NE8QBJNtwbfG0y7auGXXXdW2ZQyLHgNR1XwgC8sJ/w+kZyZaG6IbTXQrkOSk8wdQSLiHo&#10;3lVBHEErw39z1XJqlFW1O6KqDXsgHSOAIo6ecHPbEM06LEC11XvS7f9zS9+sbwziFXQCRpK0UPD7&#10;b1/vv/+8//EFxZ6ejbYZWN1qsHPbC7X1prt7C5ce9bY2rf8HPAj0QO7dnly2dYj6R+koTSNQUdAN&#10;B/ATHp5rY90rplrkhRwbqF5HKllfWdebDiY+mlQlFwLuSSYk2uR4fHwSdQ/2GnAupDeALMDHTuor&#10;82kSTS7TyzQJktH4Mkiioghm5TwJxmV8elIcF/N5EX/2/uIka3hVMenjDV0SJ8+rwq5T+vru+8Qq&#10;wSvvzqdkzXIxFwatCXRp2f08w5D8A7PwcRqdGlA9gRSPkuhiNAnKcXoaJGVyEkxOozSI4snFZBwl&#10;k6QoH0O64pL9O6RH7D9ImmS+YHtsC0Hoh79C8+kcoAEDQ+FC34d9v3nJbRdboMiLC1XdQW8a1Q+3&#10;1bTkEPSKWHdDDEwz9BzsO3cNn1oo6BO1kzBqlPn4p3tvD+UFLUYb2A45lrAMMRKvJQwfOHSDYAZh&#10;MQhy1c4VFBIGCnLpRHhgnBjE2qj2PSzBmY8BKiIpRMqxG8S56zcULFHKZrPOaKUNXzb9A1gdmrgr&#10;eaupD9O1kJ6tHMxDNyYHVoBKf4Dl0ZG6W3R+Oz08d1aH5T79B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EUFAABbQ29udGVudF9UeXBlc10ueG1s&#10;UEsBAhQACgAAAAAAh07iQAAAAAAAAAAAAAAAAAYAAAAAAAAAAAAQAAAAJwQAAF9yZWxzL1BLAQIU&#10;ABQAAAAIAIdO4kCKFGY80QAAAJQBAAALAAAAAAAAAAEAIAAAAEsEAABfcmVscy8ucmVsc1BLAQIU&#10;AAoAAAAAAIdO4kAAAAAAAAAAAAAAAAAEAAAAAAAAAAAAEAAAAAAAAABkcnMvUEsBAhQAFAAAAAgA&#10;h07iQLNJWO7QAAAABQEAAA8AAAAAAAAAAQAgAAAAIgAAAGRycy9kb3ducmV2LnhtbFBLAQIUABQA&#10;AAAIAIdO4kBItvYn3AIAACQGAAAOAAAAAAAAAAEAIAAAAB8BAABkcnMvZTJvRG9jLnhtbFBLBQYA&#10;AAAABgAGAFkBAABtBg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5E760DC"/>
    <w:rsid w:val="25E760DC"/>
    <w:rsid w:val="7CFC7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1708</Words>
  <Characters>1820</Characters>
  <Lines>0</Lines>
  <Paragraphs>0</Paragraphs>
  <TotalTime>7</TotalTime>
  <ScaleCrop>false</ScaleCrop>
  <LinksUpToDate>false</LinksUpToDate>
  <CharactersWithSpaces>1872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2022-04-24T07:12:00Z</dcterms:created>
  <dc:creator>平</dc:creator>
  <cp:lastModifiedBy>平</cp:lastModifiedBy>
  <cp:lastPrinted>2022-04-24T07:17:41Z</cp:lastPrinted>
  <dcterms:modified xsi:type="dcterms:W3CDTF">2022-04-24T07:22:03Z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946A395FE89B4EEC82AA57161EF8CCD2</vt:lpwstr>
  </property>
  <property fmtid="{D5CDD505-2E9C-101B-9397-08002B2CF9AE}" pid="4" name="commondata">
    <vt:lpwstr>eyJoZGlkIjoiMGI1YTVhODY4MjI2MDY1MzU0YTU3MjYyYTE0MTdhNjYifQ==</vt:lpwstr>
  </property>
</Properties>
</file>