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华文中宋" w:hAnsi="华文中宋" w:eastAsia="华文中宋" w:cs="华文中宋"/>
          <w:sz w:val="42"/>
          <w:szCs w:val="42"/>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华文中宋" w:hAnsi="华文中宋" w:eastAsia="华文中宋" w:cs="华文中宋"/>
          <w:sz w:val="42"/>
          <w:szCs w:val="4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华文中宋" w:hAnsi="华文中宋" w:eastAsia="华文中宋" w:cs="华文中宋"/>
          <w:sz w:val="42"/>
          <w:szCs w:val="42"/>
        </w:rPr>
      </w:pPr>
      <w:r>
        <w:rPr>
          <w:rFonts w:hint="eastAsia" w:ascii="华文中宋" w:hAnsi="华文中宋" w:eastAsia="华文中宋" w:cs="华文中宋"/>
          <w:sz w:val="42"/>
          <w:szCs w:val="42"/>
        </w:rPr>
        <w:t>2021年中共衡南</w:t>
      </w:r>
      <w:r>
        <w:rPr>
          <w:rFonts w:hint="eastAsia" w:ascii="华文中宋" w:hAnsi="华文中宋" w:eastAsia="华文中宋" w:cs="华文中宋"/>
          <w:sz w:val="42"/>
          <w:szCs w:val="42"/>
          <w:lang w:val="en-US" w:eastAsia="zh-CN"/>
        </w:rPr>
        <w:t>行政审批局</w:t>
      </w:r>
      <w:r>
        <w:rPr>
          <w:rFonts w:hint="eastAsia" w:ascii="华文中宋" w:hAnsi="华文中宋" w:eastAsia="华文中宋" w:cs="华文中宋"/>
          <w:sz w:val="42"/>
          <w:szCs w:val="42"/>
        </w:rPr>
        <w:t>整体支出绩效</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华文中宋" w:hAnsi="华文中宋" w:eastAsia="华文中宋" w:cs="华文中宋"/>
          <w:sz w:val="42"/>
          <w:szCs w:val="42"/>
        </w:rPr>
      </w:pPr>
      <w:r>
        <w:rPr>
          <w:rFonts w:hint="eastAsia" w:ascii="华文中宋" w:hAnsi="华文中宋" w:eastAsia="华文中宋" w:cs="华文中宋"/>
          <w:sz w:val="42"/>
          <w:szCs w:val="42"/>
        </w:rPr>
        <w:t>自</w:t>
      </w:r>
      <w:r>
        <w:rPr>
          <w:rFonts w:hint="eastAsia" w:ascii="华文中宋" w:hAnsi="华文中宋" w:eastAsia="华文中宋" w:cs="华文中宋"/>
          <w:sz w:val="42"/>
          <w:szCs w:val="42"/>
          <w:lang w:val="en-US" w:eastAsia="zh-CN"/>
        </w:rPr>
        <w:t>评报</w:t>
      </w:r>
      <w:r>
        <w:rPr>
          <w:rFonts w:hint="eastAsia" w:ascii="华文中宋" w:hAnsi="华文中宋" w:eastAsia="华文中宋" w:cs="华文中宋"/>
          <w:sz w:val="42"/>
          <w:szCs w:val="42"/>
        </w:rPr>
        <w:t>告</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华文中宋" w:hAnsi="华文中宋" w:eastAsia="华文中宋" w:cs="华文中宋"/>
          <w:sz w:val="42"/>
          <w:szCs w:val="4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为加强财政预算资金管理，进一步规范预算资金使用，提高财政资金使用效益，根据《衡南县财政局关于开展202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年度级财政资金绩效自评工作的通知》清财绩〔2022〕3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号文件要求，我单位积极组织，对2021年度本单位整体支出进行了绩效自评，现将具体绩效评价情况报告如下：</w:t>
      </w:r>
      <w:bookmarkStart w:id="0" w:name="_GoBack"/>
      <w:bookmarkEnd w:id="0"/>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一、部门</w:t>
      </w:r>
      <w:r>
        <w:rPr>
          <w:rFonts w:hint="eastAsia" w:ascii="仿宋_GB2312" w:hAnsi="仿宋_GB2312" w:eastAsia="仿宋_GB2312" w:cs="仿宋_GB2312"/>
          <w:b/>
          <w:bCs/>
          <w:sz w:val="32"/>
          <w:szCs w:val="32"/>
          <w:lang w:val="en-US" w:eastAsia="zh-CN"/>
        </w:rPr>
        <w:t>概况</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机构设置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衡南县行政审批服务局是正科级行政单位，下属副科级事业单位政务服务中心，局机关全额拨款行政编制8人，内设机构分别是办公室、行政审批制度改革股、政务公开和政务服务股、项目规划管理股、应用技术股和数据资源股；政务服务中心全额拨款事业编制11人，内设机构分别是综合股、政务大厅管理股、项目报建代办股、党政门户网站管理股和政府热线服务股。</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（二）部门主要职责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1.拟订全县行政审批、政务公开(政府信息公开、办事公开)、政务服务、电子政务、数字城市相关政策并组织实施。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2.指导、协调、推进全县行政审批制度改革工作。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3.统筹协调、规划指导、监督评估全县电子政务工作。统筹推进、监督协调全县“互联网+政务服务”工作。统筹规范建设管理全县政府网站。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4.牵头负责全县“放管服”改革工作。维护改善营商政务、法制等环境;协调、推进全县行政效能工作。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5.推进、指导、协调、监督全县政务公开(政府信息公开、办事公开)和政务服务体系建设。统筹推进全县政务服务大厅、便民服务中心(站点)标准化建设。统筹建设、指导推进、监督考核县“12345”政府服务热线。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负责拟订电子政务、数字城市发展战略，编制电子政务、数字城市中长期规划和年度计划并组织实施。负责组织全县使用财政性资金建设的电子政务工程和政务信息安全工程项目审查论证工作。牵头负责“数字城市”建设综合协调和监督管理，负责完善电子政务网络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7.负责组织、协调、指导数据资源的开发利用和共享工作。组织协调跨部门、跨行业、跨领域数字化应用工作。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负责组织、推进全县电子政务、数字城市基础网络的规划、建设和应用，协调推进政务网络平台互联互通。统筹全县电子政务基础设施、信息系统、数据资源等安全保障工作，负责全县政务信息化平台安全技术和运营体系建设，监督管理县级信息系统和数据库安全工作，协调处理电子政务信息安全的重大事件。负责组织、指导、协调、推进数字认证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9.完成县委、县政府交办的其他任务。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二、部门整体支出管理及使用情况</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1.部门预算收支情况</w:t>
      </w:r>
    </w:p>
    <w:p>
      <w:pPr>
        <w:keepNext w:val="0"/>
        <w:keepLines w:val="0"/>
        <w:pageBreakBefore w:val="0"/>
        <w:widowControl/>
        <w:kinsoku/>
        <w:wordWrap/>
        <w:overflowPunct/>
        <w:autoSpaceDE/>
        <w:autoSpaceDN/>
        <w:bidi w:val="0"/>
        <w:adjustRightInd/>
        <w:spacing w:line="560" w:lineRule="exact"/>
        <w:ind w:firstLine="640"/>
        <w:textAlignment w:val="auto"/>
        <w:rPr>
          <w:rFonts w:hint="eastAsia" w:ascii="仿宋" w:hAnsi="仿宋" w:eastAsia="仿宋" w:cs="仿宋"/>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2021年各项支出预算批复包干数为</w:t>
      </w:r>
      <w:r>
        <w:rPr>
          <w:rFonts w:hint="eastAsia" w:ascii="仿宋" w:hAnsi="仿宋" w:eastAsia="仿宋" w:cs="仿宋"/>
          <w:sz w:val="32"/>
          <w:szCs w:val="32"/>
          <w:lang w:val="en-US" w:eastAsia="zh-CN"/>
        </w:rPr>
        <w:t>598.17</w:t>
      </w:r>
      <w:r>
        <w:rPr>
          <w:rFonts w:hint="eastAsia" w:ascii="仿宋_GB2312" w:hAnsi="仿宋_GB2312" w:eastAsia="仿宋_GB2312" w:cs="仿宋_GB2312"/>
          <w:sz w:val="32"/>
          <w:szCs w:val="32"/>
        </w:rPr>
        <w:t>万元（均为公共财政拨款）</w:t>
      </w:r>
      <w:r>
        <w:rPr>
          <w:rFonts w:hint="eastAsia" w:ascii="仿宋" w:hAnsi="仿宋" w:eastAsia="仿宋" w:cs="仿宋"/>
          <w:sz w:val="32"/>
          <w:szCs w:val="32"/>
        </w:rPr>
        <w:t>，比上年</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16.74</w:t>
      </w:r>
      <w:r>
        <w:rPr>
          <w:rFonts w:hint="eastAsia" w:ascii="仿宋" w:hAnsi="仿宋" w:eastAsia="仿宋" w:cs="仿宋"/>
          <w:sz w:val="32"/>
          <w:szCs w:val="32"/>
        </w:rPr>
        <w:t>万元，</w:t>
      </w:r>
      <w:r>
        <w:rPr>
          <w:rFonts w:hint="eastAsia" w:ascii="仿宋" w:hAnsi="仿宋" w:eastAsia="仿宋" w:cs="仿宋"/>
          <w:sz w:val="32"/>
          <w:szCs w:val="32"/>
          <w:lang w:eastAsia="zh-CN"/>
        </w:rPr>
        <w:t>增长</w:t>
      </w:r>
      <w:r>
        <w:rPr>
          <w:rFonts w:hint="eastAsia" w:ascii="仿宋" w:hAnsi="仿宋" w:eastAsia="仿宋" w:cs="仿宋"/>
          <w:sz w:val="32"/>
          <w:szCs w:val="32"/>
          <w:lang w:val="en-US" w:eastAsia="zh-CN"/>
        </w:rPr>
        <w:t>2</w:t>
      </w:r>
      <w:r>
        <w:rPr>
          <w:rFonts w:hint="eastAsia" w:ascii="仿宋" w:hAnsi="仿宋" w:eastAsia="仿宋" w:cs="仿宋"/>
          <w:sz w:val="32"/>
          <w:szCs w:val="32"/>
          <w:lang w:val="zh-CN"/>
        </w:rPr>
        <w:t>%,增减变化的主要原因是：</w:t>
      </w:r>
      <w:r>
        <w:rPr>
          <w:rFonts w:hint="eastAsia" w:ascii="仿宋" w:hAnsi="仿宋" w:eastAsia="仿宋" w:cs="仿宋"/>
          <w:sz w:val="32"/>
          <w:szCs w:val="32"/>
          <w:lang w:eastAsia="zh-CN"/>
        </w:rPr>
        <w:t>人员经费增长</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val="en-US" w:eastAsia="zh-CN"/>
        </w:rPr>
        <w:t>部</w:t>
      </w:r>
      <w:r>
        <w:rPr>
          <w:rFonts w:hint="eastAsia" w:ascii="仿宋_GB2312" w:hAnsi="仿宋_GB2312" w:eastAsia="仿宋_GB2312" w:cs="仿宋_GB2312"/>
          <w:sz w:val="32"/>
          <w:szCs w:val="32"/>
        </w:rPr>
        <w:t>2021年部门收入决算数为</w:t>
      </w:r>
      <w:r>
        <w:rPr>
          <w:rFonts w:hint="eastAsia" w:ascii="仿宋_GB2312" w:hAnsi="仿宋_GB2312" w:eastAsia="仿宋_GB2312" w:cs="仿宋_GB2312"/>
          <w:sz w:val="32"/>
          <w:szCs w:val="32"/>
          <w:lang w:val="en-US" w:eastAsia="zh-CN"/>
        </w:rPr>
        <w:t>2111.71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其中一般公共预算财政拨款收入2111.71万元，上年结转结余82.62万元。</w:t>
      </w:r>
      <w:r>
        <w:rPr>
          <w:rFonts w:hint="eastAsia" w:ascii="仿宋_GB2312" w:hAnsi="仿宋_GB2312" w:eastAsia="仿宋_GB2312" w:cs="仿宋_GB2312"/>
          <w:sz w:val="32"/>
          <w:szCs w:val="32"/>
        </w:rPr>
        <w:t>支出决算数为</w:t>
      </w:r>
      <w:r>
        <w:rPr>
          <w:rFonts w:hint="eastAsia" w:ascii="仿宋_GB2312" w:hAnsi="仿宋_GB2312" w:eastAsia="仿宋_GB2312" w:cs="仿宋_GB2312"/>
          <w:sz w:val="32"/>
          <w:szCs w:val="32"/>
          <w:lang w:val="en-US" w:eastAsia="zh-CN"/>
        </w:rPr>
        <w:t>2194.35</w:t>
      </w:r>
      <w:r>
        <w:rPr>
          <w:rFonts w:hint="eastAsia" w:ascii="仿宋_GB2312" w:hAnsi="仿宋_GB2312" w:eastAsia="仿宋_GB2312" w:cs="仿宋_GB2312"/>
          <w:sz w:val="32"/>
          <w:szCs w:val="32"/>
        </w:rPr>
        <w:t>万元，202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年末，结转下年预算指标为零。</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2、</w:t>
      </w:r>
      <w:r>
        <w:rPr>
          <w:rFonts w:hint="eastAsia" w:ascii="楷体_GB2312" w:hAnsi="楷体_GB2312" w:eastAsia="楷体_GB2312" w:cs="楷体_GB2312"/>
          <w:b/>
          <w:bCs/>
          <w:sz w:val="32"/>
          <w:szCs w:val="32"/>
          <w:lang w:val="en-US" w:eastAsia="zh-CN"/>
        </w:rPr>
        <w:t>收入</w:t>
      </w:r>
      <w:r>
        <w:rPr>
          <w:rFonts w:hint="eastAsia" w:ascii="楷体_GB2312" w:hAnsi="楷体_GB2312" w:eastAsia="楷体_GB2312" w:cs="楷体_GB2312"/>
          <w:b/>
          <w:bCs/>
          <w:sz w:val="32"/>
          <w:szCs w:val="32"/>
        </w:rPr>
        <w:t>支出分类情况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支出情况</w:t>
      </w:r>
      <w:r>
        <w:rPr>
          <w:rFonts w:hint="eastAsia" w:ascii="仿宋_GB2312" w:hAnsi="仿宋_GB2312" w:eastAsia="仿宋_GB2312" w:cs="仿宋_GB2312"/>
          <w:sz w:val="32"/>
          <w:szCs w:val="32"/>
          <w:lang w:val="en-US" w:eastAsia="zh-CN"/>
        </w:rPr>
        <w:t>分析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支出为保障单位机构正常运转、完成日常工作任务而发生的各项支出，包括用于</w:t>
      </w:r>
      <w:r>
        <w:rPr>
          <w:rFonts w:hint="eastAsia" w:ascii="仿宋" w:hAnsi="仿宋" w:eastAsia="仿宋" w:cs="仿宋"/>
          <w:color w:val="000000"/>
          <w:kern w:val="0"/>
          <w:sz w:val="32"/>
          <w:szCs w:val="32"/>
        </w:rPr>
        <w:t>一般公共服务支出</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社会保障和就业支出</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卫生健康支出</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农林水支出</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住房保障支出</w:t>
      </w:r>
      <w:r>
        <w:rPr>
          <w:rFonts w:hint="eastAsia" w:ascii="仿宋" w:hAnsi="仿宋" w:eastAsia="仿宋" w:cs="仿宋"/>
          <w:color w:val="000000"/>
          <w:kern w:val="0"/>
          <w:sz w:val="32"/>
          <w:szCs w:val="32"/>
          <w:lang w:eastAsia="zh-CN"/>
        </w:rPr>
        <w:t>、</w:t>
      </w:r>
      <w:r>
        <w:rPr>
          <w:rFonts w:hint="eastAsia" w:ascii="仿宋_GB2312" w:hAnsi="仿宋_GB2312" w:eastAsia="仿宋_GB2312" w:cs="仿宋_GB2312"/>
          <w:sz w:val="32"/>
          <w:szCs w:val="32"/>
          <w:lang w:val="en-US" w:eastAsia="zh-CN"/>
        </w:rPr>
        <w:t>等日常公用经费。</w:t>
      </w:r>
    </w:p>
    <w:p>
      <w:pPr>
        <w:keepNext w:val="0"/>
        <w:keepLines w:val="0"/>
        <w:pageBreakBefore w:val="0"/>
        <w:widowControl/>
        <w:kinsoku/>
        <w:wordWrap/>
        <w:overflowPunct/>
        <w:autoSpaceDE/>
        <w:autoSpaceDN/>
        <w:bidi w:val="0"/>
        <w:adjustRightInd/>
        <w:spacing w:line="560" w:lineRule="exact"/>
        <w:ind w:firstLine="643"/>
        <w:textAlignment w:val="auto"/>
        <w:rPr>
          <w:rFonts w:hint="eastAsia" w:ascii="仿宋" w:hAnsi="仿宋" w:eastAsia="仿宋" w:cs="仿宋"/>
          <w:b/>
          <w:sz w:val="32"/>
          <w:szCs w:val="32"/>
        </w:rPr>
      </w:pPr>
      <w:r>
        <w:rPr>
          <w:rFonts w:hint="eastAsia" w:ascii="仿宋" w:hAnsi="仿宋" w:eastAsia="仿宋" w:cs="仿宋"/>
          <w:b/>
          <w:sz w:val="32"/>
          <w:szCs w:val="32"/>
        </w:rPr>
        <w:t>1．收入支出与预算对比分析。</w:t>
      </w:r>
    </w:p>
    <w:p>
      <w:pPr>
        <w:pStyle w:val="2"/>
        <w:rPr>
          <w:rFonts w:hint="eastAsia"/>
          <w:lang w:val="en-US" w:eastAsia="zh-CN"/>
        </w:rPr>
      </w:pPr>
    </w:p>
    <w:tbl>
      <w:tblPr>
        <w:tblStyle w:val="3"/>
        <w:tblW w:w="9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010"/>
        <w:gridCol w:w="1860"/>
        <w:gridCol w:w="1387"/>
        <w:gridCol w:w="1613"/>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90" w:hRule="atLeast"/>
        </w:trPr>
        <w:tc>
          <w:tcPr>
            <w:tcW w:w="2010" w:type="dxa"/>
            <w:noWrap w:val="0"/>
            <w:vAlign w:val="center"/>
          </w:tcPr>
          <w:p>
            <w:pPr>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科目</w:t>
            </w:r>
          </w:p>
        </w:tc>
        <w:tc>
          <w:tcPr>
            <w:tcW w:w="1860" w:type="dxa"/>
            <w:noWrap w:val="0"/>
            <w:vAlign w:val="center"/>
          </w:tcPr>
          <w:p>
            <w:pPr>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年初预算（万元）</w:t>
            </w:r>
          </w:p>
        </w:tc>
        <w:tc>
          <w:tcPr>
            <w:tcW w:w="1387" w:type="dxa"/>
            <w:noWrap w:val="0"/>
            <w:vAlign w:val="center"/>
          </w:tcPr>
          <w:p>
            <w:pPr>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本年决算（万元）</w:t>
            </w:r>
          </w:p>
        </w:tc>
        <w:tc>
          <w:tcPr>
            <w:tcW w:w="1613" w:type="dxa"/>
            <w:noWrap w:val="0"/>
            <w:vAlign w:val="center"/>
          </w:tcPr>
          <w:p>
            <w:pPr>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增减变化（%）</w:t>
            </w:r>
          </w:p>
        </w:tc>
        <w:tc>
          <w:tcPr>
            <w:tcW w:w="2220" w:type="dxa"/>
            <w:noWrap w:val="0"/>
            <w:vAlign w:val="center"/>
          </w:tcPr>
          <w:p>
            <w:pPr>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主要原因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9" w:hRule="atLeast"/>
        </w:trPr>
        <w:tc>
          <w:tcPr>
            <w:tcW w:w="2010" w:type="dxa"/>
            <w:noWrap w:val="0"/>
            <w:vAlign w:val="center"/>
          </w:tcPr>
          <w:p>
            <w:pPr>
              <w:jc w:val="center"/>
              <w:textAlignment w:val="top"/>
              <w:rPr>
                <w:rFonts w:hint="eastAsia" w:ascii="仿宋" w:hAnsi="仿宋" w:eastAsia="仿宋" w:cs="仿宋"/>
                <w:color w:val="000000"/>
                <w:sz w:val="32"/>
                <w:szCs w:val="32"/>
              </w:rPr>
            </w:pPr>
            <w:r>
              <w:rPr>
                <w:rFonts w:hint="eastAsia" w:ascii="仿宋" w:hAnsi="仿宋" w:eastAsia="仿宋" w:cs="仿宋"/>
                <w:color w:val="000000"/>
                <w:kern w:val="0"/>
                <w:sz w:val="32"/>
                <w:szCs w:val="32"/>
              </w:rPr>
              <w:t>合计</w:t>
            </w:r>
          </w:p>
        </w:tc>
        <w:tc>
          <w:tcPr>
            <w:tcW w:w="1860" w:type="dxa"/>
            <w:noWrap w:val="0"/>
            <w:vAlign w:val="center"/>
          </w:tcPr>
          <w:p>
            <w:pPr>
              <w:jc w:val="center"/>
              <w:textAlignment w:val="top"/>
              <w:rPr>
                <w:rFonts w:hint="default" w:ascii="仿宋" w:hAnsi="仿宋" w:eastAsia="仿宋" w:cs="仿宋"/>
                <w:color w:val="000000"/>
                <w:sz w:val="32"/>
                <w:szCs w:val="32"/>
                <w:lang w:val="en-US" w:eastAsia="zh-CN"/>
              </w:rPr>
            </w:pPr>
            <w:r>
              <w:rPr>
                <w:rFonts w:hint="eastAsia" w:ascii="仿宋" w:hAnsi="仿宋" w:eastAsia="仿宋" w:cs="仿宋"/>
                <w:color w:val="000000"/>
                <w:kern w:val="0"/>
                <w:sz w:val="32"/>
                <w:szCs w:val="32"/>
                <w:lang w:val="en-US" w:eastAsia="zh-CN"/>
              </w:rPr>
              <w:t>598.17</w:t>
            </w:r>
          </w:p>
        </w:tc>
        <w:tc>
          <w:tcPr>
            <w:tcW w:w="1387" w:type="dxa"/>
            <w:noWrap w:val="0"/>
            <w:vAlign w:val="center"/>
          </w:tcPr>
          <w:p>
            <w:pPr>
              <w:jc w:val="center"/>
              <w:textAlignment w:val="top"/>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2111.71</w:t>
            </w:r>
          </w:p>
        </w:tc>
        <w:tc>
          <w:tcPr>
            <w:tcW w:w="1613" w:type="dxa"/>
            <w:noWrap w:val="0"/>
            <w:vAlign w:val="center"/>
          </w:tcPr>
          <w:p>
            <w:pPr>
              <w:jc w:val="center"/>
              <w:textAlignment w:val="center"/>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353</w:t>
            </w:r>
          </w:p>
        </w:tc>
        <w:tc>
          <w:tcPr>
            <w:tcW w:w="2220" w:type="dxa"/>
            <w:noWrap w:val="0"/>
            <w:vAlign w:val="center"/>
          </w:tcPr>
          <w:p>
            <w:pPr>
              <w:jc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增加项目资金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5" w:hRule="atLeast"/>
        </w:trPr>
        <w:tc>
          <w:tcPr>
            <w:tcW w:w="2010" w:type="dxa"/>
            <w:noWrap w:val="0"/>
            <w:vAlign w:val="center"/>
          </w:tcPr>
          <w:p>
            <w:pPr>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一般公共服务支出</w:t>
            </w:r>
          </w:p>
        </w:tc>
        <w:tc>
          <w:tcPr>
            <w:tcW w:w="1860" w:type="dxa"/>
            <w:noWrap w:val="0"/>
            <w:vAlign w:val="center"/>
          </w:tcPr>
          <w:p>
            <w:pPr>
              <w:jc w:val="center"/>
              <w:textAlignment w:val="center"/>
              <w:rPr>
                <w:rFonts w:hint="default" w:ascii="仿宋" w:hAnsi="仿宋" w:eastAsia="仿宋" w:cs="仿宋"/>
                <w:color w:val="000000"/>
                <w:sz w:val="32"/>
                <w:szCs w:val="32"/>
                <w:lang w:val="en-US" w:eastAsia="zh-CN"/>
              </w:rPr>
            </w:pPr>
            <w:r>
              <w:rPr>
                <w:rFonts w:hint="eastAsia" w:ascii="仿宋" w:hAnsi="仿宋" w:eastAsia="仿宋" w:cs="仿宋"/>
                <w:color w:val="000000"/>
                <w:kern w:val="0"/>
                <w:sz w:val="32"/>
                <w:szCs w:val="32"/>
                <w:lang w:val="en-US" w:eastAsia="zh-CN"/>
              </w:rPr>
              <w:t>565.89</w:t>
            </w:r>
          </w:p>
        </w:tc>
        <w:tc>
          <w:tcPr>
            <w:tcW w:w="1387" w:type="dxa"/>
            <w:noWrap w:val="0"/>
            <w:vAlign w:val="center"/>
          </w:tcPr>
          <w:p>
            <w:pPr>
              <w:jc w:val="center"/>
              <w:textAlignment w:val="center"/>
              <w:rPr>
                <w:rFonts w:hint="default" w:ascii="仿宋" w:hAnsi="仿宋" w:eastAsia="仿宋" w:cs="仿宋"/>
                <w:color w:val="000000"/>
                <w:sz w:val="32"/>
                <w:szCs w:val="32"/>
                <w:lang w:val="en-US" w:eastAsia="zh-CN"/>
              </w:rPr>
            </w:pPr>
            <w:r>
              <w:rPr>
                <w:rFonts w:hint="eastAsia" w:ascii="仿宋" w:hAnsi="仿宋" w:eastAsia="仿宋" w:cs="仿宋"/>
                <w:color w:val="000000"/>
                <w:kern w:val="0"/>
                <w:sz w:val="32"/>
                <w:szCs w:val="32"/>
                <w:lang w:val="en-US" w:eastAsia="zh-CN"/>
              </w:rPr>
              <w:t>894.81</w:t>
            </w:r>
          </w:p>
        </w:tc>
        <w:tc>
          <w:tcPr>
            <w:tcW w:w="1613" w:type="dxa"/>
            <w:noWrap w:val="0"/>
            <w:vAlign w:val="center"/>
          </w:tcPr>
          <w:p>
            <w:pPr>
              <w:jc w:val="center"/>
              <w:textAlignment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158.12</w:t>
            </w:r>
          </w:p>
        </w:tc>
        <w:tc>
          <w:tcPr>
            <w:tcW w:w="2220" w:type="dxa"/>
            <w:noWrap w:val="0"/>
            <w:vAlign w:val="center"/>
          </w:tcPr>
          <w:p>
            <w:pPr>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增加项目资金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1" w:hRule="atLeast"/>
        </w:trPr>
        <w:tc>
          <w:tcPr>
            <w:tcW w:w="2010" w:type="dxa"/>
            <w:noWrap w:val="0"/>
            <w:vAlign w:val="center"/>
          </w:tcPr>
          <w:p>
            <w:pPr>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社会保障和就业支出</w:t>
            </w:r>
          </w:p>
        </w:tc>
        <w:tc>
          <w:tcPr>
            <w:tcW w:w="1860" w:type="dxa"/>
            <w:noWrap w:val="0"/>
            <w:vAlign w:val="center"/>
          </w:tcPr>
          <w:p>
            <w:pPr>
              <w:jc w:val="center"/>
              <w:textAlignment w:val="center"/>
              <w:rPr>
                <w:rFonts w:hint="default" w:ascii="仿宋" w:hAnsi="仿宋" w:eastAsia="仿宋" w:cs="仿宋"/>
                <w:color w:val="000000"/>
                <w:sz w:val="32"/>
                <w:szCs w:val="32"/>
                <w:lang w:val="en-US" w:eastAsia="zh-CN"/>
              </w:rPr>
            </w:pPr>
            <w:r>
              <w:rPr>
                <w:rFonts w:hint="eastAsia" w:ascii="仿宋" w:hAnsi="仿宋" w:eastAsia="仿宋" w:cs="仿宋"/>
                <w:color w:val="000000"/>
                <w:kern w:val="0"/>
                <w:sz w:val="32"/>
                <w:szCs w:val="32"/>
                <w:lang w:val="en-US" w:eastAsia="zh-CN"/>
              </w:rPr>
              <w:t>16.78</w:t>
            </w:r>
          </w:p>
        </w:tc>
        <w:tc>
          <w:tcPr>
            <w:tcW w:w="1387" w:type="dxa"/>
            <w:noWrap w:val="0"/>
            <w:vAlign w:val="center"/>
          </w:tcPr>
          <w:p>
            <w:pPr>
              <w:jc w:val="center"/>
              <w:textAlignment w:val="center"/>
              <w:rPr>
                <w:rFonts w:hint="default" w:ascii="仿宋" w:hAnsi="仿宋" w:eastAsia="仿宋" w:cs="仿宋"/>
                <w:color w:val="000000"/>
                <w:sz w:val="32"/>
                <w:szCs w:val="32"/>
                <w:lang w:val="en-US" w:eastAsia="zh-CN"/>
              </w:rPr>
            </w:pPr>
            <w:r>
              <w:rPr>
                <w:rFonts w:hint="eastAsia" w:ascii="仿宋" w:hAnsi="仿宋" w:eastAsia="仿宋" w:cs="仿宋"/>
                <w:color w:val="000000"/>
                <w:kern w:val="0"/>
                <w:sz w:val="32"/>
                <w:szCs w:val="32"/>
                <w:lang w:val="en-US" w:eastAsia="zh-CN"/>
              </w:rPr>
              <w:t>27.72</w:t>
            </w:r>
          </w:p>
        </w:tc>
        <w:tc>
          <w:tcPr>
            <w:tcW w:w="1613" w:type="dxa"/>
            <w:noWrap w:val="0"/>
            <w:vAlign w:val="center"/>
          </w:tcPr>
          <w:p>
            <w:pPr>
              <w:jc w:val="center"/>
              <w:textAlignment w:val="top"/>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w:t>
            </w:r>
          </w:p>
        </w:tc>
        <w:tc>
          <w:tcPr>
            <w:tcW w:w="2220" w:type="dxa"/>
            <w:noWrap w:val="0"/>
            <w:vAlign w:val="center"/>
          </w:tcPr>
          <w:p>
            <w:pPr>
              <w:jc w:val="center"/>
              <w:textAlignment w:val="center"/>
              <w:rPr>
                <w:rFonts w:hint="eastAsia"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5" w:hRule="atLeast"/>
        </w:trPr>
        <w:tc>
          <w:tcPr>
            <w:tcW w:w="2010" w:type="dxa"/>
            <w:noWrap w:val="0"/>
            <w:vAlign w:val="center"/>
          </w:tcPr>
          <w:p>
            <w:pPr>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卫生健康支出</w:t>
            </w:r>
          </w:p>
        </w:tc>
        <w:tc>
          <w:tcPr>
            <w:tcW w:w="1860" w:type="dxa"/>
            <w:noWrap w:val="0"/>
            <w:vAlign w:val="center"/>
          </w:tcPr>
          <w:p>
            <w:pPr>
              <w:jc w:val="center"/>
              <w:textAlignment w:val="center"/>
              <w:rPr>
                <w:rFonts w:hint="default" w:ascii="仿宋" w:hAnsi="仿宋" w:eastAsia="仿宋" w:cs="仿宋"/>
                <w:color w:val="000000"/>
                <w:sz w:val="32"/>
                <w:szCs w:val="32"/>
                <w:lang w:val="en-US" w:eastAsia="zh-CN"/>
              </w:rPr>
            </w:pPr>
            <w:r>
              <w:rPr>
                <w:rFonts w:hint="eastAsia" w:ascii="仿宋" w:hAnsi="仿宋" w:eastAsia="仿宋" w:cs="仿宋"/>
                <w:color w:val="000000"/>
                <w:kern w:val="0"/>
                <w:sz w:val="32"/>
                <w:szCs w:val="32"/>
                <w:lang w:val="en-US" w:eastAsia="zh-CN"/>
              </w:rPr>
              <w:t>10.24</w:t>
            </w:r>
          </w:p>
        </w:tc>
        <w:tc>
          <w:tcPr>
            <w:tcW w:w="1387" w:type="dxa"/>
            <w:noWrap w:val="0"/>
            <w:vAlign w:val="center"/>
          </w:tcPr>
          <w:p>
            <w:pPr>
              <w:jc w:val="center"/>
              <w:textAlignment w:val="center"/>
              <w:rPr>
                <w:rFonts w:hint="default" w:ascii="仿宋" w:hAnsi="仿宋" w:eastAsia="仿宋" w:cs="仿宋"/>
                <w:color w:val="000000"/>
                <w:sz w:val="32"/>
                <w:szCs w:val="32"/>
                <w:lang w:val="en-US" w:eastAsia="zh-CN"/>
              </w:rPr>
            </w:pPr>
            <w:r>
              <w:rPr>
                <w:rFonts w:hint="eastAsia" w:ascii="仿宋" w:hAnsi="仿宋" w:eastAsia="仿宋" w:cs="仿宋"/>
                <w:color w:val="000000"/>
                <w:kern w:val="0"/>
                <w:sz w:val="32"/>
                <w:szCs w:val="32"/>
                <w:lang w:val="en-US" w:eastAsia="zh-CN"/>
              </w:rPr>
              <w:t>27.61</w:t>
            </w:r>
          </w:p>
        </w:tc>
        <w:tc>
          <w:tcPr>
            <w:tcW w:w="1613" w:type="dxa"/>
            <w:noWrap w:val="0"/>
            <w:vAlign w:val="center"/>
          </w:tcPr>
          <w:p>
            <w:pPr>
              <w:jc w:val="center"/>
              <w:textAlignment w:val="top"/>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w:t>
            </w:r>
          </w:p>
        </w:tc>
        <w:tc>
          <w:tcPr>
            <w:tcW w:w="2220" w:type="dxa"/>
            <w:noWrap w:val="0"/>
            <w:vAlign w:val="center"/>
          </w:tcPr>
          <w:p>
            <w:pPr>
              <w:jc w:val="center"/>
              <w:textAlignment w:val="center"/>
              <w:rPr>
                <w:rFonts w:hint="eastAsia"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trPr>
        <w:tc>
          <w:tcPr>
            <w:tcW w:w="2010" w:type="dxa"/>
            <w:noWrap w:val="0"/>
            <w:vAlign w:val="center"/>
          </w:tcPr>
          <w:p>
            <w:pPr>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农林水支出</w:t>
            </w:r>
          </w:p>
        </w:tc>
        <w:tc>
          <w:tcPr>
            <w:tcW w:w="1860" w:type="dxa"/>
            <w:noWrap w:val="0"/>
            <w:vAlign w:val="center"/>
          </w:tcPr>
          <w:p>
            <w:pPr>
              <w:jc w:val="center"/>
              <w:textAlignment w:val="center"/>
              <w:rPr>
                <w:rFonts w:hint="eastAsia" w:ascii="仿宋" w:hAnsi="仿宋" w:eastAsia="仿宋" w:cs="仿宋"/>
                <w:color w:val="000000"/>
                <w:sz w:val="32"/>
                <w:szCs w:val="32"/>
              </w:rPr>
            </w:pPr>
          </w:p>
        </w:tc>
        <w:tc>
          <w:tcPr>
            <w:tcW w:w="1387" w:type="dxa"/>
            <w:noWrap w:val="0"/>
            <w:vAlign w:val="center"/>
          </w:tcPr>
          <w:p>
            <w:pPr>
              <w:jc w:val="center"/>
              <w:textAlignment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1156.31</w:t>
            </w:r>
          </w:p>
        </w:tc>
        <w:tc>
          <w:tcPr>
            <w:tcW w:w="1613" w:type="dxa"/>
            <w:noWrap w:val="0"/>
            <w:vAlign w:val="center"/>
          </w:tcPr>
          <w:p>
            <w:pPr>
              <w:jc w:val="center"/>
              <w:textAlignment w:val="top"/>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100</w:t>
            </w:r>
          </w:p>
        </w:tc>
        <w:tc>
          <w:tcPr>
            <w:tcW w:w="2220" w:type="dxa"/>
            <w:noWrap w:val="0"/>
            <w:vAlign w:val="center"/>
          </w:tcPr>
          <w:p>
            <w:pPr>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增加项目资金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3" w:hRule="atLeast"/>
        </w:trPr>
        <w:tc>
          <w:tcPr>
            <w:tcW w:w="2010" w:type="dxa"/>
            <w:noWrap w:val="0"/>
            <w:vAlign w:val="center"/>
          </w:tcPr>
          <w:p>
            <w:pPr>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住房保障支出</w:t>
            </w:r>
          </w:p>
        </w:tc>
        <w:tc>
          <w:tcPr>
            <w:tcW w:w="1860" w:type="dxa"/>
            <w:noWrap w:val="0"/>
            <w:vAlign w:val="center"/>
          </w:tcPr>
          <w:p>
            <w:pPr>
              <w:jc w:val="center"/>
              <w:textAlignment w:val="center"/>
              <w:rPr>
                <w:rFonts w:hint="default" w:ascii="仿宋" w:hAnsi="仿宋" w:eastAsia="仿宋" w:cs="仿宋"/>
                <w:color w:val="000000"/>
                <w:sz w:val="32"/>
                <w:szCs w:val="32"/>
                <w:lang w:val="en-US" w:eastAsia="zh-CN"/>
              </w:rPr>
            </w:pPr>
            <w:r>
              <w:rPr>
                <w:rFonts w:hint="eastAsia" w:ascii="仿宋" w:hAnsi="仿宋" w:eastAsia="仿宋" w:cs="仿宋"/>
                <w:color w:val="000000"/>
                <w:kern w:val="0"/>
                <w:sz w:val="32"/>
                <w:szCs w:val="32"/>
                <w:lang w:val="en-US" w:eastAsia="zh-CN"/>
              </w:rPr>
              <w:t>5.26</w:t>
            </w:r>
          </w:p>
        </w:tc>
        <w:tc>
          <w:tcPr>
            <w:tcW w:w="1387" w:type="dxa"/>
            <w:noWrap w:val="0"/>
            <w:vAlign w:val="center"/>
          </w:tcPr>
          <w:p>
            <w:pPr>
              <w:jc w:val="center"/>
              <w:textAlignment w:val="center"/>
              <w:rPr>
                <w:rFonts w:hint="default" w:ascii="仿宋" w:hAnsi="仿宋" w:eastAsia="仿宋" w:cs="仿宋"/>
                <w:color w:val="000000"/>
                <w:sz w:val="32"/>
                <w:szCs w:val="32"/>
                <w:lang w:val="en-US" w:eastAsia="zh-CN"/>
              </w:rPr>
            </w:pPr>
            <w:r>
              <w:rPr>
                <w:rFonts w:hint="eastAsia" w:ascii="仿宋" w:hAnsi="仿宋" w:eastAsia="仿宋" w:cs="仿宋"/>
                <w:color w:val="000000"/>
                <w:kern w:val="0"/>
                <w:sz w:val="32"/>
                <w:szCs w:val="32"/>
                <w:lang w:val="en-US" w:eastAsia="zh-CN"/>
              </w:rPr>
              <w:t>5.26</w:t>
            </w:r>
          </w:p>
        </w:tc>
        <w:tc>
          <w:tcPr>
            <w:tcW w:w="1613" w:type="dxa"/>
            <w:noWrap w:val="0"/>
            <w:vAlign w:val="center"/>
          </w:tcPr>
          <w:p>
            <w:pPr>
              <w:jc w:val="center"/>
              <w:textAlignment w:val="top"/>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w:t>
            </w:r>
          </w:p>
        </w:tc>
        <w:tc>
          <w:tcPr>
            <w:tcW w:w="2220" w:type="dxa"/>
            <w:noWrap w:val="0"/>
            <w:vAlign w:val="center"/>
          </w:tcPr>
          <w:p>
            <w:pPr>
              <w:jc w:val="center"/>
              <w:textAlignment w:val="center"/>
              <w:rPr>
                <w:rFonts w:hint="eastAsia" w:ascii="仿宋" w:hAnsi="仿宋" w:eastAsia="仿宋" w:cs="仿宋"/>
                <w:color w:val="000000"/>
                <w:sz w:val="32"/>
                <w:szCs w:val="32"/>
              </w:rPr>
            </w:pPr>
          </w:p>
        </w:tc>
      </w:tr>
    </w:tbl>
    <w:p>
      <w:pPr>
        <w:pStyle w:val="2"/>
        <w:rPr>
          <w:rFonts w:hint="eastAsia"/>
          <w:lang w:val="en-US" w:eastAsia="zh-CN"/>
        </w:rPr>
      </w:pPr>
    </w:p>
    <w:p>
      <w:pPr>
        <w:numPr>
          <w:ilvl w:val="0"/>
          <w:numId w:val="1"/>
        </w:numPr>
        <w:spacing w:line="520" w:lineRule="exact"/>
        <w:ind w:firstLine="643"/>
        <w:rPr>
          <w:rFonts w:hint="eastAsia" w:ascii="仿宋" w:hAnsi="仿宋" w:eastAsia="仿宋" w:cs="仿宋"/>
          <w:b/>
          <w:sz w:val="32"/>
          <w:szCs w:val="32"/>
        </w:rPr>
      </w:pPr>
      <w:r>
        <w:rPr>
          <w:rFonts w:hint="eastAsia" w:ascii="仿宋" w:hAnsi="仿宋" w:eastAsia="仿宋" w:cs="仿宋"/>
          <w:b/>
          <w:sz w:val="32"/>
          <w:szCs w:val="32"/>
        </w:rPr>
        <w:t>收入支出结构分析。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2021年初预算为</w:t>
      </w:r>
      <w:r>
        <w:rPr>
          <w:rFonts w:hint="eastAsia" w:ascii="仿宋" w:hAnsi="仿宋" w:eastAsia="仿宋" w:cs="仿宋"/>
          <w:color w:val="000000"/>
          <w:kern w:val="0"/>
          <w:sz w:val="32"/>
          <w:szCs w:val="32"/>
          <w:lang w:val="en-US" w:eastAsia="zh-CN"/>
        </w:rPr>
        <w:t>598.17</w:t>
      </w:r>
      <w:r>
        <w:rPr>
          <w:rFonts w:hint="eastAsia" w:ascii="仿宋_GB2312" w:hAnsi="仿宋_GB2312" w:eastAsia="仿宋_GB2312" w:cs="仿宋_GB2312"/>
          <w:sz w:val="32"/>
          <w:szCs w:val="32"/>
        </w:rPr>
        <w:t>万元，实际拨付为</w:t>
      </w:r>
      <w:r>
        <w:rPr>
          <w:rFonts w:hint="eastAsia" w:ascii="仿宋_GB2312" w:hAnsi="仿宋_GB2312" w:eastAsia="仿宋_GB2312" w:cs="仿宋_GB2312"/>
          <w:sz w:val="32"/>
          <w:szCs w:val="32"/>
          <w:lang w:val="en-US" w:eastAsia="zh-CN"/>
        </w:rPr>
        <w:t>2194.35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上年结转结余82.635万元。决算总支出为2194.35万元。其中</w:t>
      </w:r>
    </w:p>
    <w:tbl>
      <w:tblPr>
        <w:tblStyle w:val="3"/>
        <w:tblW w:w="0" w:type="auto"/>
        <w:tblInd w:w="0" w:type="dxa"/>
        <w:tblLayout w:type="fixed"/>
        <w:tblCellMar>
          <w:top w:w="15" w:type="dxa"/>
          <w:left w:w="15" w:type="dxa"/>
          <w:bottom w:w="15" w:type="dxa"/>
          <w:right w:w="15" w:type="dxa"/>
        </w:tblCellMar>
      </w:tblPr>
      <w:tblGrid>
        <w:gridCol w:w="3720"/>
        <w:gridCol w:w="2595"/>
        <w:gridCol w:w="2580"/>
      </w:tblGrid>
      <w:tr>
        <w:tblPrEx>
          <w:tblCellMar>
            <w:top w:w="15" w:type="dxa"/>
            <w:left w:w="15" w:type="dxa"/>
            <w:bottom w:w="15" w:type="dxa"/>
            <w:right w:w="15" w:type="dxa"/>
          </w:tblCellMar>
        </w:tblPrEx>
        <w:trPr>
          <w:trHeight w:val="420" w:hRule="atLeast"/>
        </w:trPr>
        <w:tc>
          <w:tcPr>
            <w:tcW w:w="3720" w:type="dxa"/>
            <w:tcBorders>
              <w:top w:val="single" w:color="000000" w:sz="12" w:space="0"/>
              <w:left w:val="single" w:color="000000" w:sz="12" w:space="0"/>
              <w:bottom w:val="single" w:color="000000" w:sz="12" w:space="0"/>
              <w:right w:val="single" w:color="000000" w:sz="12" w:space="0"/>
            </w:tcBorders>
            <w:noWrap w:val="0"/>
            <w:vAlign w:val="top"/>
          </w:tcPr>
          <w:p>
            <w:pPr>
              <w:jc w:val="center"/>
              <w:textAlignment w:val="top"/>
              <w:rPr>
                <w:rFonts w:hint="eastAsia" w:ascii="仿宋" w:hAnsi="仿宋" w:eastAsia="仿宋" w:cs="仿宋"/>
                <w:color w:val="000000"/>
                <w:sz w:val="32"/>
                <w:szCs w:val="32"/>
              </w:rPr>
            </w:pPr>
            <w:r>
              <w:rPr>
                <w:rFonts w:hint="eastAsia" w:ascii="仿宋" w:hAnsi="仿宋" w:eastAsia="仿宋" w:cs="仿宋"/>
                <w:color w:val="000000"/>
                <w:kern w:val="0"/>
                <w:sz w:val="32"/>
                <w:szCs w:val="32"/>
              </w:rPr>
              <w:t>项目</w:t>
            </w:r>
          </w:p>
        </w:tc>
        <w:tc>
          <w:tcPr>
            <w:tcW w:w="2595" w:type="dxa"/>
            <w:tcBorders>
              <w:top w:val="single" w:color="000000" w:sz="12" w:space="0"/>
              <w:left w:val="nil"/>
              <w:bottom w:val="single" w:color="000000" w:sz="12" w:space="0"/>
              <w:right w:val="single" w:color="000000" w:sz="12" w:space="0"/>
            </w:tcBorders>
            <w:noWrap w:val="0"/>
            <w:vAlign w:val="top"/>
          </w:tcPr>
          <w:p>
            <w:pPr>
              <w:jc w:val="center"/>
              <w:textAlignment w:val="top"/>
              <w:rPr>
                <w:rFonts w:hint="eastAsia" w:ascii="仿宋" w:hAnsi="仿宋" w:eastAsia="仿宋" w:cs="仿宋"/>
                <w:color w:val="000000"/>
                <w:sz w:val="32"/>
                <w:szCs w:val="32"/>
              </w:rPr>
            </w:pPr>
            <w:r>
              <w:rPr>
                <w:rFonts w:hint="eastAsia" w:ascii="仿宋" w:hAnsi="仿宋" w:eastAsia="仿宋" w:cs="仿宋"/>
                <w:color w:val="000000"/>
                <w:kern w:val="0"/>
                <w:sz w:val="32"/>
                <w:szCs w:val="32"/>
              </w:rPr>
              <w:t>金额（万元）</w:t>
            </w:r>
          </w:p>
        </w:tc>
        <w:tc>
          <w:tcPr>
            <w:tcW w:w="2580" w:type="dxa"/>
            <w:tcBorders>
              <w:top w:val="single" w:color="000000" w:sz="12" w:space="0"/>
              <w:left w:val="nil"/>
              <w:bottom w:val="single" w:color="000000" w:sz="12" w:space="0"/>
              <w:right w:val="single" w:color="000000" w:sz="12" w:space="0"/>
            </w:tcBorders>
            <w:noWrap w:val="0"/>
            <w:vAlign w:val="top"/>
          </w:tcPr>
          <w:p>
            <w:pPr>
              <w:jc w:val="center"/>
              <w:textAlignment w:val="top"/>
              <w:rPr>
                <w:rFonts w:hint="eastAsia" w:ascii="仿宋" w:hAnsi="仿宋" w:eastAsia="仿宋" w:cs="仿宋"/>
                <w:color w:val="000000"/>
                <w:sz w:val="32"/>
                <w:szCs w:val="32"/>
              </w:rPr>
            </w:pPr>
            <w:r>
              <w:rPr>
                <w:rFonts w:hint="eastAsia" w:ascii="仿宋" w:hAnsi="仿宋" w:eastAsia="仿宋" w:cs="仿宋"/>
                <w:color w:val="000000"/>
                <w:kern w:val="0"/>
                <w:sz w:val="32"/>
                <w:szCs w:val="32"/>
              </w:rPr>
              <w:t>占比（%）</w:t>
            </w:r>
          </w:p>
        </w:tc>
      </w:tr>
      <w:tr>
        <w:tblPrEx>
          <w:tblCellMar>
            <w:top w:w="15" w:type="dxa"/>
            <w:left w:w="15" w:type="dxa"/>
            <w:bottom w:w="15" w:type="dxa"/>
            <w:right w:w="15" w:type="dxa"/>
          </w:tblCellMar>
        </w:tblPrEx>
        <w:trPr>
          <w:trHeight w:val="435" w:hRule="atLeast"/>
        </w:trPr>
        <w:tc>
          <w:tcPr>
            <w:tcW w:w="3720" w:type="dxa"/>
            <w:tcBorders>
              <w:top w:val="nil"/>
              <w:left w:val="single" w:color="000000" w:sz="12" w:space="0"/>
              <w:bottom w:val="single" w:color="000000" w:sz="12" w:space="0"/>
              <w:right w:val="single" w:color="000000" w:sz="12" w:space="0"/>
            </w:tcBorders>
            <w:noWrap w:val="0"/>
            <w:vAlign w:val="center"/>
          </w:tcPr>
          <w:p>
            <w:pP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一、基本支出</w:t>
            </w:r>
          </w:p>
        </w:tc>
        <w:tc>
          <w:tcPr>
            <w:tcW w:w="2595" w:type="dxa"/>
            <w:tcBorders>
              <w:top w:val="nil"/>
              <w:left w:val="nil"/>
              <w:bottom w:val="single" w:color="000000" w:sz="12" w:space="0"/>
              <w:right w:val="single" w:color="000000" w:sz="12" w:space="0"/>
            </w:tcBorders>
            <w:noWrap w:val="0"/>
            <w:vAlign w:val="center"/>
          </w:tcPr>
          <w:p>
            <w:pPr>
              <w:jc w:val="center"/>
              <w:textAlignment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391.23</w:t>
            </w:r>
          </w:p>
        </w:tc>
        <w:tc>
          <w:tcPr>
            <w:tcW w:w="2580" w:type="dxa"/>
            <w:tcBorders>
              <w:top w:val="nil"/>
              <w:left w:val="nil"/>
              <w:bottom w:val="single" w:color="000000" w:sz="12" w:space="0"/>
              <w:right w:val="single" w:color="000000" w:sz="12" w:space="0"/>
            </w:tcBorders>
            <w:noWrap w:val="0"/>
            <w:vAlign w:val="center"/>
          </w:tcPr>
          <w:p>
            <w:pPr>
              <w:jc w:val="center"/>
              <w:textAlignment w:val="center"/>
              <w:rPr>
                <w:rFonts w:hint="default" w:ascii="仿宋" w:hAnsi="仿宋" w:eastAsia="仿宋" w:cs="仿宋"/>
                <w:color w:val="000000"/>
                <w:sz w:val="32"/>
                <w:szCs w:val="32"/>
                <w:lang w:val="en-US" w:eastAsia="zh-CN"/>
              </w:rPr>
            </w:pPr>
            <w:r>
              <w:rPr>
                <w:rFonts w:hint="eastAsia" w:ascii="仿宋" w:hAnsi="仿宋" w:eastAsia="仿宋" w:cs="仿宋"/>
                <w:color w:val="000000"/>
                <w:kern w:val="0"/>
                <w:sz w:val="32"/>
                <w:szCs w:val="32"/>
                <w:lang w:val="en-US" w:eastAsia="zh-CN" w:bidi="ar"/>
              </w:rPr>
              <w:t>17.83</w:t>
            </w:r>
          </w:p>
        </w:tc>
      </w:tr>
      <w:tr>
        <w:tblPrEx>
          <w:tblCellMar>
            <w:top w:w="15" w:type="dxa"/>
            <w:left w:w="15" w:type="dxa"/>
            <w:bottom w:w="15" w:type="dxa"/>
            <w:right w:w="15" w:type="dxa"/>
          </w:tblCellMar>
        </w:tblPrEx>
        <w:trPr>
          <w:trHeight w:val="345" w:hRule="atLeast"/>
        </w:trPr>
        <w:tc>
          <w:tcPr>
            <w:tcW w:w="3720" w:type="dxa"/>
            <w:tcBorders>
              <w:top w:val="nil"/>
              <w:left w:val="single" w:color="000000" w:sz="12" w:space="0"/>
              <w:bottom w:val="single" w:color="000000" w:sz="12" w:space="0"/>
              <w:right w:val="single" w:color="000000" w:sz="12" w:space="0"/>
            </w:tcBorders>
            <w:noWrap w:val="0"/>
            <w:vAlign w:val="center"/>
          </w:tcPr>
          <w:p>
            <w:pPr>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 xml:space="preserve"> 人员经费</w:t>
            </w:r>
          </w:p>
        </w:tc>
        <w:tc>
          <w:tcPr>
            <w:tcW w:w="2595" w:type="dxa"/>
            <w:tcBorders>
              <w:top w:val="nil"/>
              <w:left w:val="nil"/>
              <w:bottom w:val="single" w:color="000000" w:sz="12" w:space="0"/>
              <w:right w:val="single" w:color="000000" w:sz="12" w:space="0"/>
            </w:tcBorders>
            <w:noWrap w:val="0"/>
            <w:vAlign w:val="center"/>
          </w:tcPr>
          <w:p>
            <w:pPr>
              <w:jc w:val="center"/>
              <w:textAlignment w:val="center"/>
              <w:rPr>
                <w:rFonts w:hint="default" w:ascii="仿宋" w:hAnsi="仿宋" w:eastAsia="仿宋" w:cs="仿宋"/>
                <w:color w:val="000000"/>
                <w:sz w:val="32"/>
                <w:szCs w:val="32"/>
                <w:lang w:val="en-US" w:eastAsia="zh-CN"/>
              </w:rPr>
            </w:pPr>
            <w:r>
              <w:rPr>
                <w:rFonts w:hint="eastAsia" w:ascii="仿宋" w:hAnsi="仿宋" w:eastAsia="仿宋" w:cs="仿宋"/>
                <w:color w:val="000000"/>
                <w:kern w:val="0"/>
                <w:sz w:val="32"/>
                <w:szCs w:val="32"/>
                <w:lang w:val="en-US" w:eastAsia="zh-CN" w:bidi="ar"/>
              </w:rPr>
              <w:t>245.85</w:t>
            </w:r>
          </w:p>
        </w:tc>
        <w:tc>
          <w:tcPr>
            <w:tcW w:w="2580" w:type="dxa"/>
            <w:tcBorders>
              <w:top w:val="nil"/>
              <w:left w:val="nil"/>
              <w:bottom w:val="single" w:color="000000" w:sz="12" w:space="0"/>
              <w:right w:val="single" w:color="000000" w:sz="12" w:space="0"/>
            </w:tcBorders>
            <w:noWrap w:val="0"/>
            <w:vAlign w:val="center"/>
          </w:tcPr>
          <w:p>
            <w:pPr>
              <w:jc w:val="center"/>
              <w:textAlignment w:val="center"/>
              <w:rPr>
                <w:rFonts w:hint="eastAsia" w:ascii="仿宋" w:hAnsi="仿宋" w:eastAsia="仿宋" w:cs="仿宋"/>
                <w:color w:val="000000"/>
                <w:sz w:val="32"/>
                <w:szCs w:val="32"/>
              </w:rPr>
            </w:pPr>
          </w:p>
        </w:tc>
      </w:tr>
      <w:tr>
        <w:tblPrEx>
          <w:tblCellMar>
            <w:top w:w="15" w:type="dxa"/>
            <w:left w:w="15" w:type="dxa"/>
            <w:bottom w:w="15" w:type="dxa"/>
            <w:right w:w="15" w:type="dxa"/>
          </w:tblCellMar>
        </w:tblPrEx>
        <w:trPr>
          <w:trHeight w:val="500" w:hRule="atLeast"/>
        </w:trPr>
        <w:tc>
          <w:tcPr>
            <w:tcW w:w="3720" w:type="dxa"/>
            <w:tcBorders>
              <w:top w:val="nil"/>
              <w:left w:val="single" w:color="000000" w:sz="12" w:space="0"/>
              <w:bottom w:val="single" w:color="000000" w:sz="12" w:space="0"/>
              <w:right w:val="single" w:color="000000" w:sz="12" w:space="0"/>
            </w:tcBorders>
            <w:noWrap w:val="0"/>
            <w:vAlign w:val="center"/>
          </w:tcPr>
          <w:p>
            <w:pPr>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 xml:space="preserve">    日常公用经费</w:t>
            </w:r>
          </w:p>
        </w:tc>
        <w:tc>
          <w:tcPr>
            <w:tcW w:w="2595" w:type="dxa"/>
            <w:tcBorders>
              <w:top w:val="nil"/>
              <w:left w:val="nil"/>
              <w:bottom w:val="single" w:color="000000" w:sz="12" w:space="0"/>
              <w:right w:val="single" w:color="000000" w:sz="12" w:space="0"/>
            </w:tcBorders>
            <w:noWrap w:val="0"/>
            <w:vAlign w:val="center"/>
          </w:tcPr>
          <w:p>
            <w:pPr>
              <w:jc w:val="center"/>
              <w:textAlignment w:val="center"/>
              <w:rPr>
                <w:rFonts w:hint="default" w:ascii="仿宋" w:hAnsi="仿宋" w:eastAsia="仿宋" w:cs="仿宋"/>
                <w:color w:val="000000"/>
                <w:sz w:val="32"/>
                <w:szCs w:val="32"/>
                <w:lang w:val="en-US" w:eastAsia="zh-CN"/>
              </w:rPr>
            </w:pPr>
            <w:r>
              <w:rPr>
                <w:rFonts w:hint="eastAsia" w:ascii="仿宋" w:hAnsi="仿宋" w:eastAsia="仿宋" w:cs="仿宋"/>
                <w:color w:val="000000"/>
                <w:kern w:val="0"/>
                <w:sz w:val="32"/>
                <w:szCs w:val="32"/>
                <w:lang w:val="en-US" w:eastAsia="zh-CN" w:bidi="ar"/>
              </w:rPr>
              <w:t>145.38</w:t>
            </w:r>
          </w:p>
        </w:tc>
        <w:tc>
          <w:tcPr>
            <w:tcW w:w="2580" w:type="dxa"/>
            <w:tcBorders>
              <w:top w:val="nil"/>
              <w:left w:val="nil"/>
              <w:bottom w:val="single" w:color="000000" w:sz="12" w:space="0"/>
              <w:right w:val="single" w:color="000000" w:sz="12" w:space="0"/>
            </w:tcBorders>
            <w:noWrap w:val="0"/>
            <w:vAlign w:val="center"/>
          </w:tcPr>
          <w:p>
            <w:pPr>
              <w:jc w:val="center"/>
              <w:textAlignment w:val="center"/>
              <w:rPr>
                <w:rFonts w:hint="eastAsia" w:ascii="仿宋" w:hAnsi="仿宋" w:eastAsia="仿宋" w:cs="仿宋"/>
                <w:color w:val="000000"/>
                <w:sz w:val="32"/>
                <w:szCs w:val="32"/>
              </w:rPr>
            </w:pPr>
          </w:p>
        </w:tc>
      </w:tr>
      <w:tr>
        <w:tblPrEx>
          <w:tblCellMar>
            <w:top w:w="15" w:type="dxa"/>
            <w:left w:w="15" w:type="dxa"/>
            <w:bottom w:w="15" w:type="dxa"/>
            <w:right w:w="15" w:type="dxa"/>
          </w:tblCellMar>
        </w:tblPrEx>
        <w:trPr>
          <w:trHeight w:val="390" w:hRule="atLeast"/>
        </w:trPr>
        <w:tc>
          <w:tcPr>
            <w:tcW w:w="3720" w:type="dxa"/>
            <w:tcBorders>
              <w:top w:val="nil"/>
              <w:left w:val="single" w:color="000000" w:sz="12" w:space="0"/>
              <w:bottom w:val="single" w:color="000000" w:sz="12" w:space="0"/>
              <w:right w:val="single" w:color="000000" w:sz="12" w:space="0"/>
            </w:tcBorders>
            <w:noWrap w:val="0"/>
            <w:vAlign w:val="center"/>
          </w:tcPr>
          <w:p>
            <w:pP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二、项目支出</w:t>
            </w:r>
          </w:p>
        </w:tc>
        <w:tc>
          <w:tcPr>
            <w:tcW w:w="2595" w:type="dxa"/>
            <w:tcBorders>
              <w:top w:val="nil"/>
              <w:left w:val="nil"/>
              <w:bottom w:val="single" w:color="000000" w:sz="12" w:space="0"/>
              <w:right w:val="single" w:color="000000" w:sz="12" w:space="0"/>
            </w:tcBorders>
            <w:noWrap w:val="0"/>
            <w:vAlign w:val="center"/>
          </w:tcPr>
          <w:p>
            <w:pPr>
              <w:jc w:val="center"/>
              <w:textAlignment w:val="center"/>
              <w:rPr>
                <w:rFonts w:hint="default" w:ascii="仿宋" w:hAnsi="仿宋" w:eastAsia="仿宋" w:cs="仿宋"/>
                <w:color w:val="000000"/>
                <w:sz w:val="32"/>
                <w:szCs w:val="32"/>
                <w:lang w:val="en-US" w:eastAsia="zh-CN"/>
              </w:rPr>
            </w:pPr>
            <w:r>
              <w:rPr>
                <w:rFonts w:hint="eastAsia" w:ascii="仿宋" w:hAnsi="仿宋" w:eastAsia="仿宋" w:cs="仿宋"/>
                <w:color w:val="000000"/>
                <w:kern w:val="0"/>
                <w:sz w:val="32"/>
                <w:szCs w:val="32"/>
                <w:lang w:val="en-US" w:eastAsia="zh-CN" w:bidi="ar"/>
              </w:rPr>
              <w:t>1803.12</w:t>
            </w:r>
          </w:p>
        </w:tc>
        <w:tc>
          <w:tcPr>
            <w:tcW w:w="2580" w:type="dxa"/>
            <w:tcBorders>
              <w:top w:val="nil"/>
              <w:left w:val="nil"/>
              <w:bottom w:val="single" w:color="000000" w:sz="12" w:space="0"/>
              <w:right w:val="single" w:color="000000" w:sz="12" w:space="0"/>
            </w:tcBorders>
            <w:noWrap w:val="0"/>
            <w:vAlign w:val="center"/>
          </w:tcPr>
          <w:p>
            <w:pPr>
              <w:jc w:val="center"/>
              <w:textAlignment w:val="center"/>
              <w:rPr>
                <w:rFonts w:hint="default" w:ascii="仿宋" w:hAnsi="仿宋" w:eastAsia="仿宋" w:cs="仿宋"/>
                <w:color w:val="000000"/>
                <w:sz w:val="32"/>
                <w:szCs w:val="32"/>
                <w:lang w:val="en-US" w:eastAsia="zh-CN"/>
              </w:rPr>
            </w:pPr>
            <w:r>
              <w:rPr>
                <w:rFonts w:hint="eastAsia" w:ascii="仿宋" w:hAnsi="仿宋" w:eastAsia="仿宋" w:cs="仿宋"/>
                <w:color w:val="000000"/>
                <w:kern w:val="0"/>
                <w:sz w:val="32"/>
                <w:szCs w:val="32"/>
                <w:lang w:val="en-US" w:eastAsia="zh-CN" w:bidi="ar"/>
              </w:rPr>
              <w:t>82.17</w:t>
            </w:r>
          </w:p>
        </w:tc>
      </w:tr>
      <w:tr>
        <w:tblPrEx>
          <w:tblCellMar>
            <w:top w:w="15" w:type="dxa"/>
            <w:left w:w="15" w:type="dxa"/>
            <w:bottom w:w="15" w:type="dxa"/>
            <w:right w:w="15" w:type="dxa"/>
          </w:tblCellMar>
        </w:tblPrEx>
        <w:trPr>
          <w:trHeight w:val="570" w:hRule="atLeast"/>
        </w:trPr>
        <w:tc>
          <w:tcPr>
            <w:tcW w:w="3720" w:type="dxa"/>
            <w:tcBorders>
              <w:top w:val="nil"/>
              <w:left w:val="single" w:color="000000" w:sz="12" w:space="0"/>
              <w:bottom w:val="single" w:color="000000" w:sz="12" w:space="0"/>
              <w:right w:val="single" w:color="000000" w:sz="12" w:space="0"/>
            </w:tcBorders>
            <w:noWrap w:val="0"/>
            <w:vAlign w:val="center"/>
          </w:tcPr>
          <w:p>
            <w:pPr>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 xml:space="preserve"> 其中：基本建设类项目</w:t>
            </w:r>
          </w:p>
        </w:tc>
        <w:tc>
          <w:tcPr>
            <w:tcW w:w="2595" w:type="dxa"/>
            <w:tcBorders>
              <w:top w:val="nil"/>
              <w:left w:val="nil"/>
              <w:bottom w:val="single" w:color="000000" w:sz="12" w:space="0"/>
              <w:right w:val="single" w:color="000000" w:sz="12" w:space="0"/>
            </w:tcBorders>
            <w:noWrap w:val="0"/>
            <w:vAlign w:val="center"/>
          </w:tcPr>
          <w:p>
            <w:pPr>
              <w:jc w:val="center"/>
              <w:textAlignment w:val="center"/>
              <w:rPr>
                <w:rFonts w:hint="eastAsia" w:ascii="仿宋" w:hAnsi="仿宋" w:eastAsia="仿宋" w:cs="仿宋"/>
                <w:color w:val="000000"/>
                <w:sz w:val="32"/>
                <w:szCs w:val="32"/>
              </w:rPr>
            </w:pPr>
          </w:p>
        </w:tc>
        <w:tc>
          <w:tcPr>
            <w:tcW w:w="2580" w:type="dxa"/>
            <w:tcBorders>
              <w:top w:val="nil"/>
              <w:left w:val="nil"/>
              <w:bottom w:val="single" w:color="000000" w:sz="12" w:space="0"/>
              <w:right w:val="single" w:color="000000" w:sz="12" w:space="0"/>
            </w:tcBorders>
            <w:noWrap w:val="0"/>
            <w:vAlign w:val="top"/>
          </w:tcPr>
          <w:p>
            <w:pPr>
              <w:jc w:val="center"/>
              <w:textAlignment w:val="top"/>
              <w:rPr>
                <w:rFonts w:hint="eastAsia" w:ascii="仿宋" w:hAnsi="仿宋" w:eastAsia="仿宋" w:cs="仿宋"/>
                <w:color w:val="000000"/>
                <w:sz w:val="32"/>
                <w:szCs w:val="32"/>
              </w:rPr>
            </w:pPr>
          </w:p>
        </w:tc>
      </w:tr>
      <w:tr>
        <w:tblPrEx>
          <w:tblCellMar>
            <w:top w:w="15" w:type="dxa"/>
            <w:left w:w="15" w:type="dxa"/>
            <w:bottom w:w="15" w:type="dxa"/>
            <w:right w:w="15" w:type="dxa"/>
          </w:tblCellMar>
        </w:tblPrEx>
        <w:trPr>
          <w:trHeight w:val="420" w:hRule="atLeast"/>
        </w:trPr>
        <w:tc>
          <w:tcPr>
            <w:tcW w:w="3720" w:type="dxa"/>
            <w:tcBorders>
              <w:top w:val="nil"/>
              <w:left w:val="single" w:color="000000" w:sz="12" w:space="0"/>
              <w:bottom w:val="single" w:color="000000" w:sz="12" w:space="0"/>
              <w:right w:val="single" w:color="000000" w:sz="12" w:space="0"/>
            </w:tcBorders>
            <w:noWrap w:val="0"/>
            <w:vAlign w:val="top"/>
          </w:tcPr>
          <w:p>
            <w:pPr>
              <w:jc w:val="center"/>
              <w:textAlignment w:val="top"/>
              <w:rPr>
                <w:rFonts w:hint="eastAsia" w:ascii="仿宋" w:hAnsi="仿宋" w:eastAsia="仿宋" w:cs="仿宋"/>
                <w:color w:val="000000"/>
                <w:sz w:val="32"/>
                <w:szCs w:val="32"/>
              </w:rPr>
            </w:pPr>
            <w:r>
              <w:rPr>
                <w:rFonts w:hint="eastAsia" w:ascii="仿宋" w:hAnsi="仿宋" w:eastAsia="仿宋" w:cs="仿宋"/>
                <w:color w:val="000000"/>
                <w:kern w:val="0"/>
                <w:sz w:val="32"/>
                <w:szCs w:val="32"/>
              </w:rPr>
              <w:t>合计</w:t>
            </w:r>
          </w:p>
        </w:tc>
        <w:tc>
          <w:tcPr>
            <w:tcW w:w="2595" w:type="dxa"/>
            <w:tcBorders>
              <w:top w:val="nil"/>
              <w:left w:val="nil"/>
              <w:bottom w:val="single" w:color="000000" w:sz="12" w:space="0"/>
              <w:right w:val="single" w:color="000000" w:sz="12" w:space="0"/>
            </w:tcBorders>
            <w:noWrap w:val="0"/>
            <w:vAlign w:val="top"/>
          </w:tcPr>
          <w:p>
            <w:pPr>
              <w:jc w:val="center"/>
              <w:textAlignment w:val="top"/>
              <w:rPr>
                <w:rFonts w:hint="default" w:ascii="仿宋" w:hAnsi="仿宋" w:eastAsia="仿宋" w:cs="仿宋"/>
                <w:color w:val="000000"/>
                <w:sz w:val="32"/>
                <w:szCs w:val="32"/>
                <w:lang w:val="en-US" w:eastAsia="zh-CN"/>
              </w:rPr>
            </w:pPr>
            <w:r>
              <w:rPr>
                <w:rFonts w:hint="eastAsia" w:ascii="仿宋" w:hAnsi="仿宋" w:eastAsia="仿宋" w:cs="仿宋"/>
                <w:color w:val="000000"/>
                <w:kern w:val="0"/>
                <w:sz w:val="32"/>
                <w:szCs w:val="32"/>
                <w:lang w:val="en-US" w:eastAsia="zh-CN"/>
              </w:rPr>
              <w:t>2194.35</w:t>
            </w:r>
          </w:p>
        </w:tc>
        <w:tc>
          <w:tcPr>
            <w:tcW w:w="2580" w:type="dxa"/>
            <w:tcBorders>
              <w:top w:val="nil"/>
              <w:left w:val="nil"/>
              <w:bottom w:val="single" w:color="000000" w:sz="12" w:space="0"/>
              <w:right w:val="single" w:color="000000" w:sz="12" w:space="0"/>
            </w:tcBorders>
            <w:noWrap w:val="0"/>
            <w:vAlign w:val="top"/>
          </w:tcPr>
          <w:p>
            <w:pPr>
              <w:jc w:val="center"/>
              <w:rPr>
                <w:rFonts w:hint="eastAsia" w:ascii="仿宋" w:hAnsi="仿宋" w:eastAsia="仿宋" w:cs="仿宋"/>
                <w:color w:val="000000"/>
                <w:sz w:val="32"/>
                <w:szCs w:val="32"/>
              </w:rPr>
            </w:pPr>
          </w:p>
        </w:tc>
      </w:tr>
    </w:tbl>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所有开支均按照我局财务管理制度执行，资金使用严格把关。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楷体_GB2312" w:cs="Times New Roman"/>
          <w:b/>
          <w:bCs/>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b/>
          <w:bCs/>
          <w:color w:val="000000" w:themeColor="text1"/>
          <w:sz w:val="32"/>
          <w:szCs w:val="32"/>
          <w:lang w:val="en-US" w:eastAsia="zh-CN"/>
          <w14:textFill>
            <w14:solidFill>
              <w14:schemeClr w14:val="tx1"/>
            </w14:solidFill>
          </w14:textFill>
        </w:rPr>
        <w:t>3、专项支出项目资金使用情况</w:t>
      </w:r>
    </w:p>
    <w:p>
      <w:pPr>
        <w:adjustRightInd w:val="0"/>
        <w:snapToGrid w:val="0"/>
        <w:spacing w:line="600" w:lineRule="exact"/>
        <w:ind w:firstLine="64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2021年我局专项项目资金1156.31万元。按照项目资金的使用内容和用途，项目资金分别为政务一体化平台建设和运行经费、（一门式）全覆盖工作政务服务硬软件配套设备采购、全县村（社区）电子政务外网建设、网络安全升级改造、县农商行赞助23个乡镇（街道）及446个村（社区）便民服务中心针式打印机492台、高拍仪若干等。都是根据我局的工作职能和职责设立，经费支出范围均为我局开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电子政务基础设施、信息系统、数据资源等安全保障工作及负责全县政务信息化平台安全技术和运营体系建设，监督管理县级信息系统和数据库安全等</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工作相关的工作经费，为持续性、常年性项目。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“三公”经费情况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val="en-US" w:eastAsia="zh-CN"/>
        </w:rPr>
        <w:t>部</w:t>
      </w:r>
      <w:r>
        <w:rPr>
          <w:rFonts w:hint="eastAsia" w:ascii="仿宋_GB2312" w:hAnsi="仿宋_GB2312" w:eastAsia="仿宋_GB2312" w:cs="仿宋_GB2312"/>
          <w:sz w:val="32"/>
          <w:szCs w:val="32"/>
        </w:rPr>
        <w:t>“三公”经费各费用均控制在预算范围内，且较预算金额有不同程度的结余。其中：因公出国出境费用本年未发生经费支出，实际支出为0；公务接待费预算</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万元，实际为</w:t>
      </w:r>
      <w:r>
        <w:rPr>
          <w:rFonts w:hint="eastAsia" w:ascii="仿宋_GB2312" w:hAnsi="仿宋_GB2312" w:eastAsia="仿宋_GB2312" w:cs="仿宋_GB2312"/>
          <w:sz w:val="32"/>
          <w:szCs w:val="32"/>
          <w:lang w:val="en-US" w:eastAsia="zh-CN"/>
        </w:rPr>
        <w:t>0.59</w:t>
      </w:r>
      <w:r>
        <w:rPr>
          <w:rFonts w:hint="eastAsia" w:ascii="仿宋_GB2312" w:hAnsi="仿宋_GB2312" w:eastAsia="仿宋_GB2312" w:cs="仿宋_GB2312"/>
          <w:sz w:val="32"/>
          <w:szCs w:val="32"/>
        </w:rPr>
        <w:t>万元；</w:t>
      </w:r>
      <w:r>
        <w:rPr>
          <w:rFonts w:hint="eastAsia" w:ascii="仿宋_GB2312" w:hAnsi="仿宋_GB2312" w:eastAsia="仿宋_GB2312"/>
          <w:color w:val="000000"/>
          <w:sz w:val="32"/>
          <w:szCs w:val="24"/>
        </w:rPr>
        <w:t>低于年初预算数，我部严控公务接待，控制在预算之内。</w:t>
      </w:r>
      <w:r>
        <w:rPr>
          <w:rFonts w:hint="eastAsia" w:ascii="仿宋_GB2312" w:hAnsi="仿宋_GB2312" w:eastAsia="仿宋_GB2312" w:cs="仿宋_GB2312"/>
          <w:sz w:val="32"/>
          <w:szCs w:val="32"/>
          <w:lang w:val="en-US" w:eastAsia="zh-CN"/>
        </w:rPr>
        <w:t>公务用车0万元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）政府性基金收支情况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华文中宋" w:eastAsia="仿宋_GB2312"/>
          <w:sz w:val="32"/>
          <w:szCs w:val="32"/>
          <w:lang w:val="en-US" w:eastAsia="zh-CN"/>
        </w:rPr>
      </w:pPr>
      <w:r>
        <w:rPr>
          <w:rFonts w:hint="eastAsia" w:ascii="仿宋_GB2312" w:hAnsi="华文中宋" w:eastAsia="仿宋_GB2312"/>
          <w:sz w:val="32"/>
          <w:szCs w:val="32"/>
        </w:rPr>
        <w:t>我</w:t>
      </w:r>
      <w:r>
        <w:rPr>
          <w:rFonts w:hint="eastAsia" w:ascii="仿宋_GB2312" w:hAnsi="华文中宋" w:eastAsia="仿宋_GB2312"/>
          <w:sz w:val="32"/>
          <w:szCs w:val="32"/>
          <w:lang w:val="en-US" w:eastAsia="zh-CN"/>
        </w:rPr>
        <w:t>部2021</w:t>
      </w:r>
      <w:r>
        <w:rPr>
          <w:rFonts w:hint="eastAsia" w:ascii="仿宋_GB2312" w:hAnsi="华文中宋" w:eastAsia="仿宋_GB2312"/>
          <w:sz w:val="32"/>
          <w:szCs w:val="32"/>
        </w:rPr>
        <w:t>年</w:t>
      </w:r>
      <w:r>
        <w:rPr>
          <w:rFonts w:hint="eastAsia" w:ascii="仿宋_GB2312" w:hAnsi="华文中宋" w:eastAsia="仿宋_GB2312"/>
          <w:sz w:val="32"/>
          <w:szCs w:val="32"/>
          <w:lang w:val="en-US" w:eastAsia="zh-CN"/>
        </w:rPr>
        <w:t>政府性基金收支</w:t>
      </w:r>
      <w:r>
        <w:rPr>
          <w:rFonts w:hint="eastAsia" w:ascii="仿宋_GB2312" w:hAnsi="华文中宋" w:eastAsia="仿宋_GB2312"/>
          <w:sz w:val="32"/>
          <w:szCs w:val="32"/>
        </w:rPr>
        <w:t>安排经费</w:t>
      </w:r>
      <w:r>
        <w:rPr>
          <w:rFonts w:hint="eastAsia" w:ascii="仿宋_GB2312" w:hAnsi="华文中宋" w:eastAsia="仿宋_GB2312"/>
          <w:sz w:val="32"/>
          <w:szCs w:val="32"/>
          <w:lang w:eastAsia="zh-CN"/>
        </w:rPr>
        <w:t>为零</w:t>
      </w:r>
      <w:r>
        <w:rPr>
          <w:rFonts w:hint="eastAsia" w:ascii="仿宋_GB2312" w:hAnsi="华文中宋" w:eastAsia="仿宋_GB2312"/>
          <w:sz w:val="32"/>
          <w:szCs w:val="32"/>
          <w:lang w:val="en-US" w:eastAsia="zh-CN"/>
        </w:rPr>
        <w:t>.</w:t>
      </w:r>
    </w:p>
    <w:p>
      <w:pPr>
        <w:spacing w:line="520" w:lineRule="exact"/>
        <w:ind w:firstLine="64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本年度部门决算等财务工作开展情况</w:t>
      </w:r>
    </w:p>
    <w:p>
      <w:pPr>
        <w:spacing w:line="520" w:lineRule="exact"/>
        <w:ind w:firstLine="1292" w:firstLineChars="404"/>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财务管理。</w:t>
      </w:r>
    </w:p>
    <w:p>
      <w:pPr>
        <w:spacing w:line="520" w:lineRule="exact"/>
        <w:ind w:firstLine="64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年我</w:t>
      </w:r>
      <w:r>
        <w:rPr>
          <w:rFonts w:hint="eastAsia" w:ascii="仿宋" w:hAnsi="仿宋" w:eastAsia="仿宋" w:cs="仿宋"/>
          <w:sz w:val="32"/>
          <w:szCs w:val="32"/>
          <w:lang w:val="en-US" w:eastAsia="zh-CN"/>
        </w:rPr>
        <w:t>部</w:t>
      </w:r>
      <w:r>
        <w:rPr>
          <w:rFonts w:hint="eastAsia" w:ascii="仿宋" w:hAnsi="仿宋" w:eastAsia="仿宋" w:cs="仿宋"/>
          <w:sz w:val="32"/>
          <w:szCs w:val="32"/>
        </w:rPr>
        <w:t>财务工作在部领导的正确领导下，在县财政局的正确指导下，认真贯彻落实国家各项财经法律法规，切实加强财务管理，进一步降低了财务风险，规范了有关经费开支，较好的支撑了部机关各项工作的顺利开展，全年预算执行情况良</w:t>
      </w:r>
      <w:r>
        <w:rPr>
          <w:rFonts w:hint="eastAsia" w:ascii="仿宋" w:hAnsi="仿宋" w:eastAsia="仿宋" w:cs="仿宋"/>
          <w:sz w:val="32"/>
          <w:szCs w:val="32"/>
          <w:lang w:eastAsia="zh-CN"/>
        </w:rPr>
        <w:t>好</w:t>
      </w:r>
      <w:r>
        <w:rPr>
          <w:rFonts w:hint="eastAsia" w:ascii="仿宋" w:hAnsi="仿宋" w:eastAsia="仿宋" w:cs="仿宋"/>
          <w:sz w:val="32"/>
          <w:szCs w:val="32"/>
        </w:rPr>
        <w:t>，并顺利通过了各项审计。</w:t>
      </w:r>
    </w:p>
    <w:p>
      <w:pPr>
        <w:spacing w:line="520" w:lineRule="exact"/>
        <w:ind w:firstLine="640"/>
        <w:rPr>
          <w:rFonts w:hint="eastAsia" w:ascii="仿宋" w:hAnsi="仿宋" w:eastAsia="仿宋" w:cs="仿宋"/>
          <w:sz w:val="32"/>
          <w:szCs w:val="32"/>
        </w:rPr>
      </w:pPr>
      <w:r>
        <w:rPr>
          <w:rFonts w:hint="eastAsia" w:ascii="仿宋" w:hAnsi="仿宋" w:eastAsia="仿宋" w:cs="仿宋"/>
          <w:sz w:val="32"/>
          <w:szCs w:val="32"/>
        </w:rPr>
        <w:t>决算组织。我</w:t>
      </w:r>
      <w:r>
        <w:rPr>
          <w:rFonts w:hint="eastAsia" w:ascii="仿宋" w:hAnsi="仿宋" w:eastAsia="仿宋" w:cs="仿宋"/>
          <w:sz w:val="32"/>
          <w:szCs w:val="32"/>
          <w:lang w:val="en-US" w:eastAsia="zh-CN"/>
        </w:rPr>
        <w:t>局</w:t>
      </w:r>
      <w:r>
        <w:rPr>
          <w:rFonts w:hint="eastAsia" w:ascii="仿宋" w:hAnsi="仿宋" w:eastAsia="仿宋" w:cs="仿宋"/>
          <w:sz w:val="32"/>
          <w:szCs w:val="32"/>
        </w:rPr>
        <w:t>认真组织202</w:t>
      </w:r>
      <w:r>
        <w:rPr>
          <w:rFonts w:hint="eastAsia" w:ascii="仿宋" w:hAnsi="仿宋" w:eastAsia="仿宋" w:cs="仿宋"/>
          <w:sz w:val="32"/>
          <w:szCs w:val="32"/>
          <w:lang w:val="en-US" w:eastAsia="zh-CN"/>
        </w:rPr>
        <w:t>1</w:t>
      </w:r>
      <w:r>
        <w:rPr>
          <w:rFonts w:hint="eastAsia" w:ascii="仿宋" w:hAnsi="仿宋" w:eastAsia="仿宋" w:cs="仿宋"/>
          <w:sz w:val="32"/>
          <w:szCs w:val="32"/>
        </w:rPr>
        <w:t>年决算工作，严格按照县决算工会会议要求，安排专人认真及时地编制决算报表。</w:t>
      </w:r>
    </w:p>
    <w:p>
      <w:pPr>
        <w:spacing w:line="520" w:lineRule="exact"/>
        <w:ind w:firstLine="640"/>
        <w:rPr>
          <w:rFonts w:hint="eastAsia" w:ascii="仿宋" w:hAnsi="仿宋" w:eastAsia="仿宋" w:cs="仿宋"/>
          <w:sz w:val="32"/>
          <w:szCs w:val="32"/>
        </w:rPr>
      </w:pPr>
      <w:r>
        <w:rPr>
          <w:rFonts w:hint="eastAsia" w:ascii="仿宋" w:hAnsi="仿宋" w:eastAsia="仿宋" w:cs="仿宋"/>
          <w:sz w:val="32"/>
          <w:szCs w:val="32"/>
        </w:rPr>
        <w:t>（二）本部门（单位）决算公开工作、主管部门对所属单位按规定批复决算工作开展情况。</w:t>
      </w:r>
    </w:p>
    <w:p>
      <w:pPr>
        <w:pStyle w:val="2"/>
        <w:rPr>
          <w:rFonts w:hint="eastAsia" w:ascii="仿宋_GB2312" w:hAnsi="华文中宋" w:eastAsia="仿宋_GB2312"/>
          <w:sz w:val="32"/>
          <w:szCs w:val="32"/>
          <w:lang w:val="en-US" w:eastAsia="zh-CN"/>
        </w:rPr>
      </w:pPr>
      <w:r>
        <w:rPr>
          <w:rFonts w:hint="eastAsia" w:ascii="仿宋" w:hAnsi="仿宋" w:eastAsia="仿宋" w:cs="仿宋"/>
          <w:sz w:val="32"/>
          <w:szCs w:val="32"/>
        </w:rPr>
        <w:t>我</w:t>
      </w:r>
      <w:r>
        <w:rPr>
          <w:rFonts w:hint="eastAsia" w:ascii="仿宋" w:hAnsi="仿宋" w:eastAsia="仿宋" w:cs="仿宋"/>
          <w:sz w:val="32"/>
          <w:szCs w:val="32"/>
          <w:lang w:val="en-US" w:eastAsia="zh-CN"/>
        </w:rPr>
        <w:t>部</w:t>
      </w:r>
      <w:r>
        <w:rPr>
          <w:rFonts w:hint="eastAsia" w:ascii="仿宋" w:hAnsi="仿宋" w:eastAsia="仿宋" w:cs="仿宋"/>
          <w:sz w:val="32"/>
          <w:szCs w:val="32"/>
        </w:rPr>
        <w:t>对决算将依规公开。</w:t>
      </w:r>
    </w:p>
    <w:p>
      <w:pPr>
        <w:pStyle w:val="2"/>
        <w:rPr>
          <w:rFonts w:hint="default" w:ascii="仿宋_GB2312" w:hAnsi="华文中宋"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三、部门整体支出绩效评价情况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评价目的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全面开展财政支出绩效评价，强化财政支出绩效理念，科学合理编制年度预算，切实发挥财政资金源配置作用，逐步建立以科学理财为基础，以精细化管理为手段，以评价结果为导向，以实施过程为监管对象的预算管理体系。</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评价方法</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衡南县财政局相关会议精神，我局开展了部门整体支出绩效评价工作，具体工作方法包括：1、查阅资料。查阅2021年预算按排、预算追加、经费支出、资金管理、资产管理等相关文件和财务凭证。2、核实数据。对2021年度部门整体支出数据的准确性、真实性进行核实，将2021年度部门整体支出情况与2021年度预算情况、2021年度部门整体支出情况进行比较分析。3、实地查看。现场查看各类事务资产。4、汇总归纳。根据取得的各项数据及文件资料，结合现场评价情况进行综合分析、归纳汇总，填写基础数据表、评价指标评分表。5、形成绩效评价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2021年，根据我</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年初工作规划和重点性工作，围绕县委、县政府中心工作，积极履职，强化管理，较好的完成了年度工作目标。通过加强预算收支的管理，不断建立健全内部管理制度，理顺内部管理流程，部门整体支出管理情况得到了提升。部门整体支出绩效情况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1、在职人员控制率：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2、“三公经费”控制率：-5%。严格控制“三公经费”支出，开源节流。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3、预算完成率：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4、政府采购执行率：100%。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5、在资金管理上，我办制定了一系列的财务管理制度。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四、存在的主要问题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年初预算的编制较为精细，按照费用支出的使用范围和内容，进行了基本支出、项目支出的严格区分，并按照预算的最末级明细进行预算支出管理，专款专用。但对于追加的项目支出、上年结余结转的项目资金，没有进行预算分解，编制明细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2、预算</w:t>
      </w:r>
      <w:r>
        <w:rPr>
          <w:rFonts w:hint="eastAsia" w:ascii="仿宋_GB2312" w:hAnsi="仿宋_GB2312" w:eastAsia="仿宋_GB2312" w:cs="仿宋_GB2312"/>
          <w:sz w:val="32"/>
          <w:szCs w:val="32"/>
          <w:lang w:val="en-US" w:eastAsia="zh-CN"/>
        </w:rPr>
        <w:t>决算项目支出编制需进一步明确、精细化。同时项目执行率需进一步提高。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3、公务卡使用力度还应加强，减少现金支付。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五、改进措施及建议</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rPr>
        <w:t>一是建议加强</w:t>
      </w:r>
      <w:r>
        <w:rPr>
          <w:rFonts w:hint="eastAsia" w:ascii="楷体_GB2312" w:hAnsi="楷体_GB2312" w:eastAsia="楷体_GB2312" w:cs="楷体_GB2312"/>
          <w:b/>
          <w:bCs/>
          <w:sz w:val="32"/>
          <w:szCs w:val="32"/>
          <w:lang w:val="en-US" w:eastAsia="zh-CN"/>
        </w:rPr>
        <w:t>财务管理，严格财务审核</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lang w:val="en-US" w:eastAsia="zh-CN"/>
        </w:rPr>
        <w:t>加强单位财务管理，健全单位财务管理制度体系，规范单位财务行为。在费用报账支付时，按照预算规定的费用项目和用途进行资金使用审核、财务严格核算，杜绝超支现象的发生。</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二是建议细化预算指标，提高预算科学性。</w:t>
      </w:r>
      <w:r>
        <w:rPr>
          <w:rFonts w:hint="eastAsia" w:ascii="仿宋_GB2312" w:hAnsi="仿宋_GB2312" w:eastAsia="仿宋_GB2312" w:cs="仿宋_GB2312"/>
          <w:sz w:val="32"/>
          <w:szCs w:val="32"/>
        </w:rPr>
        <w:t>预算编制前根据年度内单位可预见的工作任务，确定单位年度预算目标，细化预算指标，科学合理编制部门预算，推进预算编制科学化准确化。</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三是建议进一步加强内部机构的预算管理意识</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严格按照预算编制的相关制度和要求，进一步提高预算编制的科学性、合理性、严谨性和可控性，在日常预算管理过程中，进一步加强预算支出的审核、跟踪及预算执行情况分析。</w:t>
      </w:r>
    </w:p>
    <w:p/>
    <w:sectPr>
      <w:footerReference r:id="rId3" w:type="default"/>
      <w:pgSz w:w="11906" w:h="16838"/>
      <w:pgMar w:top="1701" w:right="1701" w:bottom="1701" w:left="1701" w:header="851" w:footer="119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E2474E"/>
    <w:multiLevelType w:val="multilevel"/>
    <w:tmpl w:val="C6E2474E"/>
    <w:lvl w:ilvl="0" w:tentative="0">
      <w:start w:val="2"/>
      <w:numFmt w:val="decimal"/>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
    <w:nsid w:val="F28075B4"/>
    <w:multiLevelType w:val="singleLevel"/>
    <w:tmpl w:val="F28075B4"/>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1NjgzOTIzOTFlYTZiZDMwMDFiOGQxZmNjNTY2ZWEifQ=="/>
  </w:docVars>
  <w:rsids>
    <w:rsidRoot w:val="00000000"/>
    <w:rsid w:val="04053FBA"/>
    <w:rsid w:val="0C2C6AD6"/>
    <w:rsid w:val="0CEF6437"/>
    <w:rsid w:val="0EAF2A15"/>
    <w:rsid w:val="14394A78"/>
    <w:rsid w:val="214477C9"/>
    <w:rsid w:val="2AB41BC0"/>
    <w:rsid w:val="31E62B06"/>
    <w:rsid w:val="3495780F"/>
    <w:rsid w:val="39DB5648"/>
    <w:rsid w:val="3DE05F9A"/>
    <w:rsid w:val="43970ED1"/>
    <w:rsid w:val="4B8B7843"/>
    <w:rsid w:val="4C8267FE"/>
    <w:rsid w:val="5256666E"/>
    <w:rsid w:val="5AC30C9A"/>
    <w:rsid w:val="5C90445F"/>
    <w:rsid w:val="5E1E4546"/>
    <w:rsid w:val="62BB1865"/>
    <w:rsid w:val="62D374A8"/>
    <w:rsid w:val="6593598D"/>
    <w:rsid w:val="6D305C3F"/>
    <w:rsid w:val="6DE704B1"/>
    <w:rsid w:val="6FAC7C04"/>
    <w:rsid w:val="731E1B1E"/>
    <w:rsid w:val="79355192"/>
    <w:rsid w:val="7A9F7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3264</Words>
  <Characters>3516</Characters>
  <Lines>0</Lines>
  <Paragraphs>0</Paragraphs>
  <TotalTime>4</TotalTime>
  <ScaleCrop>false</ScaleCrop>
  <LinksUpToDate>false</LinksUpToDate>
  <CharactersWithSpaces>3551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2022-04-24T14:54:00Z</dcterms:created>
  <dc:creator>TXRPC</dc:creator>
  <cp:lastModifiedBy>hnczj</cp:lastModifiedBy>
  <dcterms:modified xsi:type="dcterms:W3CDTF">2022-11-25T03:20:52Z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08D34BF25729421CBE2C529EECEDB538</vt:lpwstr>
  </property>
</Properties>
</file>