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right="641"/>
        <w:jc w:val="center"/>
        <w:rPr>
          <w:rFonts w:hint="eastAsia" w:eastAsia="方正小标宋_GBK"/>
          <w:sz w:val="48"/>
          <w:szCs w:val="48"/>
        </w:rPr>
      </w:pPr>
      <w:r>
        <w:rPr>
          <w:rFonts w:hint="eastAsia" w:eastAsia="方正小标宋_GBK"/>
          <w:sz w:val="48"/>
          <w:szCs w:val="4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20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年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共青团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整体支出绩效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自评报告</w:t>
      </w:r>
    </w:p>
    <w:p>
      <w:pPr>
        <w:adjustRightInd w:val="0"/>
        <w:spacing w:line="600" w:lineRule="exact"/>
        <w:ind w:right="641"/>
        <w:jc w:val="center"/>
        <w:rPr>
          <w:rFonts w:hint="eastAsia" w:eastAsia="方正小标宋_GBK"/>
          <w:sz w:val="48"/>
          <w:szCs w:val="4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为加强财政预算资金的管理，进一步规范预算资金的使用，提高财政资金的使用效益，根据《衡南县财政局关于开展202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年度县级财政资金绩效自评工作的通知》要求，我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年度本单位整体支出进行了绩效自评，现将具体情况报告如下： 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一、部门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基本情况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行使中共衡南县委赋予的领导全县共青团和少先队工作的职权，对全县性青年社团组织进行指导和管理。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参与制定青少年事业发展规划和青少年工作方针、政策。对青少年活动阵地和青少年服务机构的建设进行规划和管理。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参与有关青少年事务的法律和法规的制定和实施，协助县委、县政府处理、协调与青少年利益相关的事务。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调查青年思想动态和青年工作状况，研究青少年运动、青少年工作理论和思想教育问题，提出相应对策，开展各种活动。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协助政府教育部门做好中、小学生的教育管理工作，维护学校稳定和社会安定团结。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在全县经济建设中，组织和带领青年发挥生力军和突击队作用。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负责青少年外事和县内外青少年交流工作，做好青年统战对象的团结教育工作。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承担县委、县政府交办的有关事项。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（二）机构设置及人员编制情况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共青团是县委领导下的群团组织，正科级参公单位，内设2个职能部（室），分别为办公室（加挂希望工程办公室、学少权益部牌子）、组织宣传部。在编在岗3人，挂职1人，兼职3人。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62" w:firstLineChars="175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二、部门整体支出管理及使用情况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（一）收入预算：202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年收入预算数为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60.64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万元,其中 ：一般公共预算拨款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60.64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（二）支出预算：202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年年初预算数为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60.64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万元。其中：一般公共服务支出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53.28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万元，社会保障和就业支出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5.61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万元，医疗卫生支出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1.75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万元，住房保障支出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1.30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年一般公共预算拨款收入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60.64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万元，具体安排情况如下：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　　（一）基本支出：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年年初预算数为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34.64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万元,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是指为保障单位机构正常运转、完成日常工作任务而发生的各项支出，包括用于基本工资、津贴补贴等人员经费以及办公费、印刷费、水电费、办公设备购置等日常公用经费。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　　（二）项目支出：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年初预算为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万元，系保障我委承担乡镇团委工作、希望工程工作、五四青年活动、少先队工作、全委扩大会、青年志愿者服务队工作、预防青少年犯罪,青少年发展专项工作等业务工作的开支。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三、部门整体支出绩效情况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整体支出情况较好，预算编制比较合理，财政财务制度健全且执行情况良好，在职责履行上收效较为明显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为我县对侨工作顺利开展提供了有力保障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729" w:firstLineChars="22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在确保人员工资、日常公用经费的正常开支基础上，保证重点支出，压缩一般消费性支出，尤其严控“三公”经费支出，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“三公”经费预算总额未突破上年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　　2、预算执行方面，支出总额控制在预算总额以内。</w:t>
      </w:r>
    </w:p>
    <w:p>
      <w:pPr>
        <w:widowControl/>
        <w:spacing w:line="360" w:lineRule="auto"/>
        <w:ind w:firstLine="63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 xml:space="preserve">3、严格执行了国库集中支付、政府采购等有关规定，政府采购目录内的货物与服务全部按要求实施了政府采购，确保了支出管理流程、审批手续的完整。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在走访，维稳工作方面，我们认真贯彻中央、省、市、县有关指示精神，明确目标责任，把我县对侨工作深入较好地开展下去。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四、存在的主要问题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五、改进措施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会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>
      <w:pPr>
        <w:snapToGrid w:val="0"/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snapToGrid w:val="0"/>
        <w:spacing w:line="360" w:lineRule="auto"/>
        <w:ind w:right="600"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共青团衡南县委员会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spacing w:line="360" w:lineRule="auto"/>
        <w:ind w:right="600"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NTc5MGQxMjI1Yzk2YjJjZTFmMDk3NTI2YTJmODEifQ=="/>
  </w:docVars>
  <w:rsids>
    <w:rsidRoot w:val="1B6A1ED6"/>
    <w:rsid w:val="0B887B34"/>
    <w:rsid w:val="0D8509EC"/>
    <w:rsid w:val="12EC5067"/>
    <w:rsid w:val="1B6A1ED6"/>
    <w:rsid w:val="1C122A84"/>
    <w:rsid w:val="23E20D4A"/>
    <w:rsid w:val="28E73AF7"/>
    <w:rsid w:val="44BC5FB9"/>
    <w:rsid w:val="55D4525D"/>
    <w:rsid w:val="67367F1D"/>
    <w:rsid w:val="697F2E91"/>
    <w:rsid w:val="799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1439</Words>
  <Characters>1504</Characters>
  <Lines>0</Lines>
  <Paragraphs>0</Paragraphs>
  <TotalTime>69</TotalTime>
  <ScaleCrop>false</ScaleCrop>
  <LinksUpToDate>false</LinksUpToDate>
  <CharactersWithSpaces>2386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2021-06-07T08:46:00Z</dcterms:created>
  <dc:creator>精钢男</dc:creator>
  <cp:lastModifiedBy>华赢财务</cp:lastModifiedBy>
  <cp:lastPrinted>2022-04-27T02:56:00Z</cp:lastPrinted>
  <dcterms:modified xsi:type="dcterms:W3CDTF">2022-11-24T08:53:28Z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9D6DB3C39F294317B99C1109BB427351</vt:lpwstr>
  </property>
</Properties>
</file>