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黑体" w:hAnsi="黑体" w:eastAsia="黑体"/>
          <w:b/>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黑体" w:hAnsi="黑体" w:eastAsia="黑体"/>
          <w:b/>
          <w:sz w:val="44"/>
          <w:szCs w:val="44"/>
        </w:rPr>
      </w:pPr>
      <w:r>
        <w:rPr>
          <w:rFonts w:hint="eastAsia" w:ascii="黑体" w:hAnsi="黑体" w:eastAsia="黑体"/>
          <w:b/>
          <w:sz w:val="44"/>
          <w:szCs w:val="44"/>
        </w:rPr>
        <w:t>衡南县工商业联合会整体</w:t>
      </w:r>
      <w:r>
        <w:rPr>
          <w:rFonts w:hint="eastAsia" w:ascii="黑体" w:hAnsi="黑体" w:eastAsia="黑体"/>
          <w:b/>
          <w:sz w:val="44"/>
          <w:szCs w:val="44"/>
          <w:lang w:val="en-US" w:eastAsia="zh-CN"/>
        </w:rPr>
        <w:t xml:space="preserve">  </w:t>
      </w:r>
      <w:bookmarkStart w:id="0" w:name="_GoBack"/>
      <w:bookmarkEnd w:id="0"/>
      <w:r>
        <w:rPr>
          <w:rFonts w:hint="eastAsia" w:ascii="黑体" w:hAnsi="黑体" w:eastAsia="黑体"/>
          <w:b/>
          <w:sz w:val="44"/>
          <w:szCs w:val="44"/>
        </w:rPr>
        <w:t>支出绩效评价</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黑体" w:hAnsi="黑体" w:eastAsia="黑体"/>
          <w:b/>
          <w:sz w:val="44"/>
          <w:szCs w:val="44"/>
        </w:rPr>
      </w:pPr>
      <w:r>
        <w:rPr>
          <w:rFonts w:hint="eastAsia" w:ascii="黑体" w:hAnsi="黑体" w:eastAsia="黑体"/>
          <w:b/>
          <w:sz w:val="44"/>
          <w:szCs w:val="44"/>
        </w:rPr>
        <w:t>报  告</w:t>
      </w: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rPr>
          <w:rFonts w:hint="eastAsia" w:ascii="仿宋" w:hAnsi="仿宋" w:eastAsia="仿宋"/>
          <w:sz w:val="30"/>
          <w:szCs w:val="30"/>
        </w:rPr>
      </w:pPr>
    </w:p>
    <w:p>
      <w:pPr>
        <w:keepNext w:val="0"/>
        <w:keepLines w:val="0"/>
        <w:pageBreakBefore w:val="0"/>
        <w:widowControl w:val="0"/>
        <w:kinsoku/>
        <w:wordWrap/>
        <w:overflowPunct/>
        <w:topLinePunct w:val="0"/>
        <w:autoSpaceDE/>
        <w:autoSpaceDN/>
        <w:bidi w:val="0"/>
        <w:adjustRightInd/>
        <w:snapToGrid/>
        <w:spacing w:line="640" w:lineRule="exact"/>
        <w:ind w:firstLine="632" w:firstLineChars="200"/>
        <w:textAlignment w:val="auto"/>
        <w:rPr>
          <w:rFonts w:hint="eastAsia" w:ascii="仿宋" w:hAnsi="仿宋" w:eastAsia="仿宋"/>
          <w:sz w:val="30"/>
          <w:szCs w:val="30"/>
        </w:rPr>
      </w:pPr>
      <w:r>
        <w:rPr>
          <w:rFonts w:hint="eastAsia" w:ascii="仿宋" w:hAnsi="仿宋" w:eastAsia="仿宋" w:cs="仿宋"/>
          <w:spacing w:val="-2"/>
          <w:sz w:val="32"/>
          <w:szCs w:val="32"/>
        </w:rPr>
        <w:t>加强财政预算资金管理，进一步规范预算资金使用，提高财政资金使用效益，</w:t>
      </w:r>
      <w:r>
        <w:rPr>
          <w:rFonts w:hint="eastAsia" w:ascii="仿宋" w:hAnsi="仿宋" w:eastAsia="仿宋"/>
          <w:sz w:val="32"/>
          <w:szCs w:val="32"/>
        </w:rPr>
        <w:t>根据《湖南省委办公厅  湖南省人民政府办公厅关于全面实施预算绩效管理的意见》（湘办发【2019】10号）、财政部《项目支出绩效评价管理办法》（财预【2020】10号）、《湖南省预算绩效目标管理办法》（湘财绩【2020】7号）和《衡南县预算绩效管理工作考核办法》（清财绩【2021】66号）等文件要求，</w:t>
      </w:r>
      <w:r>
        <w:rPr>
          <w:rFonts w:hint="eastAsia" w:ascii="仿宋" w:hAnsi="仿宋" w:eastAsia="仿宋"/>
          <w:sz w:val="30"/>
          <w:szCs w:val="30"/>
        </w:rPr>
        <w:t>我联（总商会）对2021年度本单位整体支出进行了绩效自评，现将具体绩效评价情况报告如下：</w:t>
      </w:r>
      <w:r>
        <w:rPr>
          <w:rFonts w:hint="eastAsia" w:ascii="华文仿宋" w:hAnsi="华文仿宋" w:eastAsia="仿宋"/>
          <w:sz w:val="30"/>
          <w:szCs w:val="30"/>
        </w:rPr>
        <w:t>          </w:t>
      </w:r>
      <w:r>
        <w:rPr>
          <w:rFonts w:hint="eastAsia" w:ascii="仿宋" w:hAnsi="仿宋" w:eastAsia="仿宋"/>
          <w:sz w:val="30"/>
          <w:szCs w:val="30"/>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firstLine="600" w:firstLineChars="200"/>
        <w:textAlignment w:val="auto"/>
        <w:rPr>
          <w:rFonts w:hint="eastAsia" w:ascii="仿宋" w:hAnsi="仿宋" w:eastAsia="仿宋" w:cs="迷你简黑体"/>
          <w:sz w:val="30"/>
          <w:szCs w:val="30"/>
        </w:rPr>
      </w:pPr>
      <w:r>
        <w:rPr>
          <w:rFonts w:hint="eastAsia" w:ascii="仿宋" w:hAnsi="仿宋" w:eastAsia="仿宋" w:cs="迷你简黑体"/>
          <w:sz w:val="30"/>
          <w:szCs w:val="30"/>
        </w:rPr>
        <w:t>基本情况</w:t>
      </w:r>
    </w:p>
    <w:p>
      <w:pPr>
        <w:keepNext w:val="0"/>
        <w:keepLines w:val="0"/>
        <w:pageBreakBefore w:val="0"/>
        <w:widowControl w:val="0"/>
        <w:kinsoku/>
        <w:wordWrap/>
        <w:overflowPunct/>
        <w:topLinePunct w:val="0"/>
        <w:autoSpaceDE/>
        <w:autoSpaceDN/>
        <w:bidi w:val="0"/>
        <w:adjustRightInd/>
        <w:snapToGrid/>
        <w:spacing w:line="640" w:lineRule="exact"/>
        <w:ind w:firstLine="645"/>
        <w:textAlignment w:val="auto"/>
        <w:rPr>
          <w:rFonts w:hint="eastAsia" w:ascii="仿宋" w:hAnsi="仿宋" w:eastAsia="仿宋"/>
          <w:b/>
          <w:sz w:val="30"/>
          <w:szCs w:val="30"/>
        </w:rPr>
      </w:pPr>
      <w:r>
        <w:rPr>
          <w:rFonts w:hint="eastAsia" w:ascii="仿宋" w:hAnsi="仿宋" w:eastAsia="仿宋"/>
          <w:b/>
          <w:sz w:val="30"/>
          <w:szCs w:val="30"/>
        </w:rPr>
        <w:t>机构设置及人员编制情况：</w:t>
      </w:r>
    </w:p>
    <w:p>
      <w:pPr>
        <w:keepNext w:val="0"/>
        <w:keepLines w:val="0"/>
        <w:pageBreakBefore w:val="0"/>
        <w:widowControl w:val="0"/>
        <w:kinsoku/>
        <w:wordWrap/>
        <w:overflowPunct/>
        <w:topLinePunct w:val="0"/>
        <w:autoSpaceDE/>
        <w:autoSpaceDN/>
        <w:bidi w:val="0"/>
        <w:adjustRightInd/>
        <w:snapToGrid/>
        <w:spacing w:line="640" w:lineRule="exact"/>
        <w:ind w:firstLine="645"/>
        <w:textAlignment w:val="auto"/>
        <w:rPr>
          <w:rFonts w:hint="eastAsia" w:ascii="仿宋" w:hAnsi="仿宋" w:eastAsia="仿宋"/>
          <w:sz w:val="30"/>
          <w:szCs w:val="30"/>
        </w:rPr>
      </w:pPr>
      <w:r>
        <w:rPr>
          <w:rFonts w:hint="eastAsia" w:ascii="仿宋" w:hAnsi="仿宋" w:eastAsia="仿宋"/>
          <w:sz w:val="30"/>
          <w:szCs w:val="30"/>
        </w:rPr>
        <w:t>衡南县工商业联合会属财政全额拨款的单位，纳入财政会计集中核算和国库集中支付体系，财务执行《行政单位会计制度》。现有在职干部职工12人（其中行政编制4人，全额事业编8人），退休人员6人。单位内设办公室、</w:t>
      </w:r>
      <w:r>
        <w:rPr>
          <w:rFonts w:hint="eastAsia" w:ascii="仿宋" w:hAnsi="仿宋" w:eastAsia="仿宋" w:cs="宋体"/>
          <w:sz w:val="30"/>
          <w:szCs w:val="30"/>
        </w:rPr>
        <w:t>会员部、经济联络部、宣教部</w:t>
      </w:r>
      <w:r>
        <w:rPr>
          <w:rFonts w:hint="eastAsia" w:ascii="仿宋" w:hAnsi="仿宋" w:eastAsia="仿宋"/>
          <w:sz w:val="30"/>
          <w:szCs w:val="30"/>
        </w:rPr>
        <w:t>。</w:t>
      </w:r>
    </w:p>
    <w:p>
      <w:pPr>
        <w:keepNext w:val="0"/>
        <w:keepLines w:val="0"/>
        <w:pageBreakBefore w:val="0"/>
        <w:widowControl w:val="0"/>
        <w:kinsoku/>
        <w:wordWrap/>
        <w:overflowPunct/>
        <w:topLinePunct w:val="0"/>
        <w:autoSpaceDE/>
        <w:autoSpaceDN/>
        <w:bidi w:val="0"/>
        <w:adjustRightInd/>
        <w:snapToGrid/>
        <w:spacing w:line="640" w:lineRule="exact"/>
        <w:ind w:firstLine="602" w:firstLineChars="200"/>
        <w:textAlignment w:val="auto"/>
        <w:rPr>
          <w:rFonts w:hint="eastAsia" w:ascii="仿宋" w:hAnsi="仿宋" w:eastAsia="仿宋"/>
          <w:b/>
          <w:sz w:val="30"/>
          <w:szCs w:val="30"/>
        </w:rPr>
      </w:pPr>
      <w:r>
        <w:rPr>
          <w:rFonts w:hint="eastAsia" w:ascii="仿宋" w:hAnsi="仿宋" w:eastAsia="仿宋"/>
          <w:b/>
          <w:sz w:val="30"/>
          <w:szCs w:val="30"/>
        </w:rPr>
        <w:t>主要工作职责：</w:t>
      </w:r>
    </w:p>
    <w:p>
      <w:pPr>
        <w:keepNext w:val="0"/>
        <w:keepLines w:val="0"/>
        <w:pageBreakBefore w:val="0"/>
        <w:widowControl w:val="0"/>
        <w:kinsoku/>
        <w:wordWrap/>
        <w:overflowPunct/>
        <w:topLinePunct w:val="0"/>
        <w:autoSpaceDE/>
        <w:autoSpaceDN/>
        <w:bidi w:val="0"/>
        <w:adjustRightInd/>
        <w:snapToGrid/>
        <w:spacing w:line="640" w:lineRule="exact"/>
        <w:ind w:firstLine="531" w:firstLineChars="177"/>
        <w:textAlignment w:val="auto"/>
        <w:rPr>
          <w:rFonts w:ascii="仿宋" w:hAnsi="仿宋" w:eastAsia="仿宋"/>
          <w:sz w:val="30"/>
          <w:szCs w:val="30"/>
        </w:rPr>
      </w:pPr>
      <w:r>
        <w:rPr>
          <w:rFonts w:hint="eastAsia" w:ascii="仿宋" w:hAnsi="仿宋" w:eastAsia="仿宋"/>
          <w:sz w:val="30"/>
          <w:szCs w:val="30"/>
        </w:rPr>
        <w:t>1、团结、服务、引导、教育非公有制经济人士爱国、敬业、诚信、守法、贡献，培养拥护党的领导、走中国特色社会主义道路的非公有制经济人士队伍。</w:t>
      </w:r>
    </w:p>
    <w:p>
      <w:pPr>
        <w:keepNext w:val="0"/>
        <w:keepLines w:val="0"/>
        <w:pageBreakBefore w:val="0"/>
        <w:widowControl w:val="0"/>
        <w:kinsoku/>
        <w:wordWrap/>
        <w:overflowPunct/>
        <w:topLinePunct w:val="0"/>
        <w:autoSpaceDE/>
        <w:autoSpaceDN/>
        <w:bidi w:val="0"/>
        <w:adjustRightInd/>
        <w:snapToGrid/>
        <w:spacing w:line="640" w:lineRule="exact"/>
        <w:ind w:firstLine="531" w:firstLineChars="177"/>
        <w:textAlignment w:val="auto"/>
        <w:rPr>
          <w:rFonts w:ascii="仿宋" w:hAnsi="仿宋" w:eastAsia="仿宋"/>
          <w:sz w:val="30"/>
          <w:szCs w:val="30"/>
        </w:rPr>
      </w:pPr>
      <w:r>
        <w:rPr>
          <w:rFonts w:hint="eastAsia" w:ascii="仿宋" w:hAnsi="仿宋" w:eastAsia="仿宋"/>
          <w:sz w:val="30"/>
          <w:szCs w:val="30"/>
        </w:rPr>
        <w:t>2、做好非公有制经济代表人士政治安排的推荐工作。参与</w:t>
      </w:r>
      <w:r>
        <w:fldChar w:fldCharType="begin"/>
      </w:r>
      <w:r>
        <w:instrText xml:space="preserve"> HYPERLINK "https://www.baidu.com/s?wd=%E6%94%BF%E6%B2%BB%E5%8D%8F%E5%95%86&amp;tn=SE_PcZhidaonwhc_ngpagmjz&amp;rsv_dl=gh_pc_zhidao" \t "_blank" </w:instrText>
      </w:r>
      <w:r>
        <w:fldChar w:fldCharType="separate"/>
      </w:r>
      <w:r>
        <w:rPr>
          <w:rFonts w:hint="eastAsia" w:ascii="仿宋" w:hAnsi="仿宋" w:eastAsia="仿宋"/>
          <w:sz w:val="30"/>
          <w:szCs w:val="30"/>
        </w:rPr>
        <w:t>政治协商</w:t>
      </w:r>
      <w:r>
        <w:rPr>
          <w:rFonts w:hint="eastAsia" w:ascii="仿宋" w:hAnsi="仿宋" w:eastAsia="仿宋"/>
          <w:sz w:val="30"/>
          <w:szCs w:val="30"/>
        </w:rPr>
        <w:fldChar w:fldCharType="end"/>
      </w:r>
      <w:r>
        <w:rPr>
          <w:rFonts w:hint="eastAsia" w:ascii="仿宋" w:hAnsi="仿宋" w:eastAsia="仿宋"/>
          <w:sz w:val="30"/>
          <w:szCs w:val="30"/>
        </w:rPr>
        <w:t>，发挥民主监督作用，积极</w:t>
      </w:r>
      <w:r>
        <w:fldChar w:fldCharType="begin"/>
      </w:r>
      <w:r>
        <w:instrText xml:space="preserve"> HYPERLINK "https://www.baidu.com/s?wd=%E5%8F%82%E6%94%BF%E8%AE%AE%E6%94%BF&amp;tn=SE_PcZhidaonwhc_ngpagmjz&amp;rsv_dl=gh_pc_zhidao" \t "_blank" </w:instrText>
      </w:r>
      <w:r>
        <w:fldChar w:fldCharType="separate"/>
      </w:r>
      <w:r>
        <w:rPr>
          <w:rFonts w:hint="eastAsia" w:ascii="仿宋" w:hAnsi="仿宋" w:eastAsia="仿宋"/>
          <w:sz w:val="30"/>
          <w:szCs w:val="30"/>
        </w:rPr>
        <w:t>参政议政</w:t>
      </w:r>
      <w:r>
        <w:rPr>
          <w:rFonts w:hint="eastAsia" w:ascii="仿宋" w:hAnsi="仿宋" w:eastAsia="仿宋"/>
          <w:sz w:val="30"/>
          <w:szCs w:val="30"/>
        </w:rPr>
        <w:fldChar w:fldCharType="end"/>
      </w:r>
      <w:r>
        <w:rPr>
          <w:rFonts w:hint="eastAsia" w:ascii="仿宋" w:hAnsi="仿宋" w:eastAsia="仿宋"/>
          <w:sz w:val="30"/>
          <w:szCs w:val="30"/>
        </w:rPr>
        <w:t>。</w:t>
      </w:r>
    </w:p>
    <w:p>
      <w:pPr>
        <w:keepNext w:val="0"/>
        <w:keepLines w:val="0"/>
        <w:pageBreakBefore w:val="0"/>
        <w:widowControl w:val="0"/>
        <w:kinsoku/>
        <w:wordWrap/>
        <w:overflowPunct/>
        <w:topLinePunct w:val="0"/>
        <w:autoSpaceDE/>
        <w:autoSpaceDN/>
        <w:bidi w:val="0"/>
        <w:adjustRightInd/>
        <w:snapToGrid/>
        <w:spacing w:line="640" w:lineRule="exact"/>
        <w:ind w:firstLine="531" w:firstLineChars="177"/>
        <w:textAlignment w:val="auto"/>
        <w:rPr>
          <w:rFonts w:ascii="仿宋" w:hAnsi="仿宋" w:eastAsia="仿宋"/>
          <w:sz w:val="30"/>
          <w:szCs w:val="30"/>
        </w:rPr>
      </w:pPr>
      <w:r>
        <w:rPr>
          <w:rFonts w:hint="eastAsia" w:ascii="仿宋" w:hAnsi="仿宋" w:eastAsia="仿宋"/>
          <w:sz w:val="30"/>
          <w:szCs w:val="30"/>
        </w:rPr>
        <w:t>3、参与政府相关的经济活动，广泛联系各地工商界人士，开展民间外交，推动经贸交流和协作，促进经济社会发展。</w:t>
      </w:r>
    </w:p>
    <w:p>
      <w:pPr>
        <w:keepNext w:val="0"/>
        <w:keepLines w:val="0"/>
        <w:pageBreakBefore w:val="0"/>
        <w:widowControl w:val="0"/>
        <w:kinsoku/>
        <w:wordWrap/>
        <w:overflowPunct/>
        <w:topLinePunct w:val="0"/>
        <w:autoSpaceDE/>
        <w:autoSpaceDN/>
        <w:bidi w:val="0"/>
        <w:adjustRightInd/>
        <w:snapToGrid/>
        <w:spacing w:line="640" w:lineRule="exact"/>
        <w:ind w:firstLine="531" w:firstLineChars="177"/>
        <w:textAlignment w:val="auto"/>
        <w:rPr>
          <w:rFonts w:ascii="仿宋" w:hAnsi="仿宋" w:eastAsia="仿宋"/>
          <w:sz w:val="30"/>
          <w:szCs w:val="30"/>
        </w:rPr>
      </w:pPr>
      <w:r>
        <w:rPr>
          <w:rFonts w:hint="eastAsia" w:ascii="仿宋" w:hAnsi="仿宋" w:eastAsia="仿宋"/>
          <w:sz w:val="30"/>
          <w:szCs w:val="30"/>
        </w:rPr>
        <w:t>4、参与协调劳动关系，促进和谐社会建设。</w:t>
      </w:r>
    </w:p>
    <w:p>
      <w:pPr>
        <w:keepNext w:val="0"/>
        <w:keepLines w:val="0"/>
        <w:pageBreakBefore w:val="0"/>
        <w:widowControl w:val="0"/>
        <w:kinsoku/>
        <w:wordWrap/>
        <w:overflowPunct/>
        <w:topLinePunct w:val="0"/>
        <w:autoSpaceDE/>
        <w:autoSpaceDN/>
        <w:bidi w:val="0"/>
        <w:adjustRightInd/>
        <w:snapToGrid/>
        <w:spacing w:line="640" w:lineRule="exact"/>
        <w:ind w:firstLine="531" w:firstLineChars="177"/>
        <w:textAlignment w:val="auto"/>
        <w:rPr>
          <w:rFonts w:ascii="仿宋" w:hAnsi="仿宋" w:eastAsia="仿宋"/>
          <w:sz w:val="30"/>
          <w:szCs w:val="30"/>
        </w:rPr>
      </w:pPr>
      <w:r>
        <w:rPr>
          <w:rFonts w:hint="eastAsia" w:ascii="仿宋" w:hAnsi="仿宋" w:eastAsia="仿宋"/>
          <w:sz w:val="30"/>
          <w:szCs w:val="30"/>
        </w:rPr>
        <w:t>5、指导本会直属商会工作，积极参与社会组织建设工作，促进行业协会商会改革发展。</w:t>
      </w:r>
    </w:p>
    <w:p>
      <w:pPr>
        <w:keepNext w:val="0"/>
        <w:keepLines w:val="0"/>
        <w:pageBreakBefore w:val="0"/>
        <w:widowControl w:val="0"/>
        <w:kinsoku/>
        <w:wordWrap/>
        <w:overflowPunct/>
        <w:topLinePunct w:val="0"/>
        <w:autoSpaceDE/>
        <w:autoSpaceDN/>
        <w:bidi w:val="0"/>
        <w:adjustRightInd/>
        <w:snapToGrid/>
        <w:spacing w:line="640" w:lineRule="exact"/>
        <w:ind w:firstLine="531" w:firstLineChars="177"/>
        <w:textAlignment w:val="auto"/>
        <w:rPr>
          <w:rFonts w:ascii="仿宋" w:hAnsi="仿宋" w:eastAsia="仿宋"/>
          <w:sz w:val="30"/>
          <w:szCs w:val="30"/>
        </w:rPr>
      </w:pPr>
      <w:r>
        <w:rPr>
          <w:rFonts w:hint="eastAsia" w:ascii="仿宋" w:hAnsi="仿宋" w:eastAsia="仿宋"/>
          <w:sz w:val="30"/>
          <w:szCs w:val="30"/>
        </w:rPr>
        <w:t>6、反映非公有制企业和非公有制经济人士利益诉求，维护其合法权益。</w:t>
      </w:r>
      <w:r>
        <w:rPr>
          <w:rFonts w:hint="eastAsia" w:ascii="华文仿宋" w:hAnsi="华文仿宋" w:eastAsia="仿宋"/>
          <w:sz w:val="30"/>
          <w:szCs w:val="30"/>
        </w:rPr>
        <w:t>              </w:t>
      </w:r>
    </w:p>
    <w:p>
      <w:pPr>
        <w:keepNext w:val="0"/>
        <w:keepLines w:val="0"/>
        <w:pageBreakBefore w:val="0"/>
        <w:widowControl w:val="0"/>
        <w:kinsoku/>
        <w:wordWrap/>
        <w:overflowPunct/>
        <w:topLinePunct w:val="0"/>
        <w:autoSpaceDE/>
        <w:autoSpaceDN/>
        <w:bidi w:val="0"/>
        <w:adjustRightInd/>
        <w:snapToGrid/>
        <w:spacing w:line="640" w:lineRule="exact"/>
        <w:ind w:firstLine="531" w:firstLineChars="177"/>
        <w:textAlignment w:val="auto"/>
        <w:rPr>
          <w:rFonts w:ascii="仿宋" w:hAnsi="仿宋" w:eastAsia="仿宋"/>
          <w:sz w:val="30"/>
          <w:szCs w:val="30"/>
        </w:rPr>
      </w:pPr>
      <w:r>
        <w:rPr>
          <w:rFonts w:hint="eastAsia" w:ascii="仿宋" w:hAnsi="仿宋" w:eastAsia="仿宋"/>
          <w:sz w:val="30"/>
          <w:szCs w:val="30"/>
        </w:rPr>
        <w:t>7、为会员提供政策信息、人才交流培训等服务。组织会员企业参加各类经贸活动，外出参观考察，帮助会员企业拓展市场。</w:t>
      </w:r>
    </w:p>
    <w:p>
      <w:pPr>
        <w:keepNext w:val="0"/>
        <w:keepLines w:val="0"/>
        <w:pageBreakBefore w:val="0"/>
        <w:widowControl w:val="0"/>
        <w:kinsoku/>
        <w:wordWrap/>
        <w:overflowPunct/>
        <w:topLinePunct w:val="0"/>
        <w:autoSpaceDE/>
        <w:autoSpaceDN/>
        <w:bidi w:val="0"/>
        <w:adjustRightInd/>
        <w:snapToGrid/>
        <w:spacing w:line="640" w:lineRule="exact"/>
        <w:ind w:firstLine="531" w:firstLineChars="177"/>
        <w:textAlignment w:val="auto"/>
        <w:rPr>
          <w:rFonts w:ascii="仿宋" w:hAnsi="仿宋" w:eastAsia="仿宋"/>
          <w:sz w:val="30"/>
          <w:szCs w:val="30"/>
        </w:rPr>
      </w:pPr>
      <w:r>
        <w:rPr>
          <w:rFonts w:hint="eastAsia" w:ascii="仿宋" w:hAnsi="仿宋" w:eastAsia="仿宋"/>
          <w:sz w:val="30"/>
          <w:szCs w:val="30"/>
        </w:rPr>
        <w:t>8、配合有关部门开展非公有制会员企业党建工作。</w:t>
      </w:r>
    </w:p>
    <w:p>
      <w:pPr>
        <w:keepNext w:val="0"/>
        <w:keepLines w:val="0"/>
        <w:pageBreakBefore w:val="0"/>
        <w:widowControl w:val="0"/>
        <w:kinsoku/>
        <w:wordWrap/>
        <w:overflowPunct/>
        <w:topLinePunct w:val="0"/>
        <w:autoSpaceDE/>
        <w:autoSpaceDN/>
        <w:bidi w:val="0"/>
        <w:adjustRightInd/>
        <w:snapToGrid/>
        <w:spacing w:line="640" w:lineRule="exact"/>
        <w:ind w:firstLine="531" w:firstLineChars="177"/>
        <w:textAlignment w:val="auto"/>
        <w:rPr>
          <w:rFonts w:ascii="仿宋" w:hAnsi="仿宋" w:eastAsia="仿宋"/>
          <w:sz w:val="30"/>
          <w:szCs w:val="30"/>
        </w:rPr>
      </w:pPr>
      <w:r>
        <w:rPr>
          <w:rFonts w:hint="eastAsia" w:ascii="仿宋" w:hAnsi="仿宋" w:eastAsia="仿宋"/>
          <w:sz w:val="30"/>
          <w:szCs w:val="30"/>
        </w:rPr>
        <w:t>9、积极引导非公有制企业及其非公有制经济人士承担社会责任，大力支持慈善公益事业发展，积极投身</w:t>
      </w:r>
      <w:r>
        <w:fldChar w:fldCharType="begin"/>
      </w:r>
      <w:r>
        <w:instrText xml:space="preserve"> HYPERLINK "https://www.baidu.com/s?wd=%E5%85%89%E5%BD%A9%E4%BA%8B%E4%B8%9A&amp;tn=SE_PcZhidaonwhc_ngpagmjz&amp;rsv_dl=gh_pc_zhidao" \t "_blank" </w:instrText>
      </w:r>
      <w:r>
        <w:fldChar w:fldCharType="separate"/>
      </w:r>
      <w:r>
        <w:rPr>
          <w:rFonts w:hint="eastAsia" w:ascii="仿宋" w:hAnsi="仿宋" w:eastAsia="仿宋"/>
          <w:sz w:val="30"/>
          <w:szCs w:val="30"/>
        </w:rPr>
        <w:t>光彩事业</w:t>
      </w:r>
      <w:r>
        <w:rPr>
          <w:rFonts w:hint="eastAsia" w:ascii="仿宋" w:hAnsi="仿宋" w:eastAsia="仿宋"/>
          <w:sz w:val="30"/>
          <w:szCs w:val="30"/>
        </w:rPr>
        <w:fldChar w:fldCharType="end"/>
      </w:r>
      <w:r>
        <w:rPr>
          <w:rFonts w:hint="eastAsia" w:ascii="仿宋" w:hAnsi="仿宋" w:eastAsia="仿宋"/>
          <w:sz w:val="30"/>
          <w:szCs w:val="30"/>
        </w:rPr>
        <w:t>。</w:t>
      </w:r>
    </w:p>
    <w:p>
      <w:pPr>
        <w:keepNext w:val="0"/>
        <w:keepLines w:val="0"/>
        <w:pageBreakBefore w:val="0"/>
        <w:widowControl w:val="0"/>
        <w:kinsoku/>
        <w:wordWrap/>
        <w:overflowPunct/>
        <w:topLinePunct w:val="0"/>
        <w:autoSpaceDE/>
        <w:autoSpaceDN/>
        <w:bidi w:val="0"/>
        <w:adjustRightInd/>
        <w:snapToGrid/>
        <w:spacing w:line="640" w:lineRule="exact"/>
        <w:ind w:firstLine="531" w:firstLineChars="177"/>
        <w:textAlignment w:val="auto"/>
        <w:rPr>
          <w:rFonts w:ascii="仿宋" w:hAnsi="仿宋" w:eastAsia="仿宋"/>
          <w:sz w:val="30"/>
          <w:szCs w:val="30"/>
        </w:rPr>
      </w:pPr>
      <w:r>
        <w:rPr>
          <w:rFonts w:hint="eastAsia" w:ascii="仿宋" w:hAnsi="仿宋" w:eastAsia="仿宋"/>
          <w:sz w:val="30"/>
          <w:szCs w:val="30"/>
        </w:rPr>
        <w:t>10、承办县委、县政府和上级工商联交办的其它任务。</w:t>
      </w:r>
    </w:p>
    <w:p>
      <w:pPr>
        <w:keepNext w:val="0"/>
        <w:keepLines w:val="0"/>
        <w:pageBreakBefore w:val="0"/>
        <w:widowControl w:val="0"/>
        <w:kinsoku/>
        <w:wordWrap/>
        <w:overflowPunct/>
        <w:topLinePunct w:val="0"/>
        <w:autoSpaceDE/>
        <w:autoSpaceDN/>
        <w:bidi w:val="0"/>
        <w:adjustRightInd/>
        <w:snapToGrid/>
        <w:spacing w:line="640" w:lineRule="exact"/>
        <w:ind w:firstLine="645"/>
        <w:textAlignment w:val="auto"/>
        <w:rPr>
          <w:rFonts w:hint="eastAsia" w:ascii="仿宋" w:hAnsi="仿宋" w:eastAsia="仿宋" w:cs="迷你简黑体"/>
          <w:b/>
          <w:bCs/>
          <w:sz w:val="30"/>
          <w:szCs w:val="30"/>
        </w:rPr>
      </w:pPr>
      <w:r>
        <w:rPr>
          <w:rFonts w:hint="eastAsia" w:ascii="仿宋" w:hAnsi="仿宋" w:eastAsia="仿宋" w:cs="迷你简黑体"/>
          <w:b/>
          <w:bCs/>
          <w:sz w:val="30"/>
          <w:szCs w:val="30"/>
        </w:rPr>
        <w:t>二、部门整体支出管理及使用情况</w:t>
      </w:r>
    </w:p>
    <w:p>
      <w:pPr>
        <w:keepNext w:val="0"/>
        <w:keepLines w:val="0"/>
        <w:pageBreakBefore w:val="0"/>
        <w:widowControl w:val="0"/>
        <w:kinsoku/>
        <w:wordWrap/>
        <w:overflowPunct/>
        <w:topLinePunct w:val="0"/>
        <w:autoSpaceDE/>
        <w:autoSpaceDN/>
        <w:bidi w:val="0"/>
        <w:adjustRightInd/>
        <w:snapToGrid/>
        <w:spacing w:line="640" w:lineRule="exact"/>
        <w:ind w:firstLine="645"/>
        <w:textAlignment w:val="auto"/>
        <w:rPr>
          <w:rFonts w:ascii="仿宋" w:hAnsi="仿宋" w:eastAsia="仿宋" w:cs="迷你简黑体"/>
          <w:bCs/>
          <w:sz w:val="30"/>
          <w:szCs w:val="30"/>
        </w:rPr>
      </w:pPr>
      <w:r>
        <w:rPr>
          <w:rFonts w:hint="eastAsia" w:ascii="仿宋" w:hAnsi="仿宋" w:eastAsia="仿宋" w:cs="迷你简黑体"/>
          <w:bCs/>
          <w:sz w:val="30"/>
          <w:szCs w:val="30"/>
        </w:rPr>
        <w:t>我单位2021年年初各项支出预算批复经费包干数为</w:t>
      </w:r>
      <w:r>
        <w:rPr>
          <w:rFonts w:ascii="仿宋" w:hAnsi="仿宋" w:eastAsia="仿宋" w:cs="迷你简黑体"/>
          <w:bCs/>
          <w:sz w:val="30"/>
          <w:szCs w:val="30"/>
        </w:rPr>
        <w:t>256.30</w:t>
      </w:r>
      <w:r>
        <w:rPr>
          <w:rFonts w:hint="eastAsia" w:ascii="仿宋" w:hAnsi="仿宋" w:eastAsia="仿宋" w:cs="迷你简黑体"/>
          <w:bCs/>
          <w:sz w:val="30"/>
          <w:szCs w:val="30"/>
        </w:rPr>
        <w:t>万元（均为公共财政拨款），其中:基本支出</w:t>
      </w:r>
      <w:r>
        <w:rPr>
          <w:rFonts w:ascii="仿宋" w:hAnsi="仿宋" w:eastAsia="仿宋" w:cs="迷你简黑体"/>
          <w:bCs/>
          <w:sz w:val="30"/>
          <w:szCs w:val="30"/>
        </w:rPr>
        <w:t>118.30</w:t>
      </w:r>
      <w:r>
        <w:rPr>
          <w:rFonts w:hint="eastAsia" w:ascii="仿宋" w:hAnsi="仿宋" w:eastAsia="仿宋" w:cs="迷你简黑体"/>
          <w:bCs/>
          <w:sz w:val="30"/>
          <w:szCs w:val="30"/>
        </w:rPr>
        <w:t>万元，包括人员经费111.00万元，公用经费7.20万元。年度执行中调整预算后，当年预算收入</w:t>
      </w:r>
      <w:r>
        <w:rPr>
          <w:rFonts w:ascii="仿宋" w:hAnsi="仿宋" w:eastAsia="仿宋" w:cs="迷你简黑体"/>
          <w:bCs/>
          <w:sz w:val="30"/>
          <w:szCs w:val="30"/>
        </w:rPr>
        <w:t>306.18</w:t>
      </w:r>
      <w:r>
        <w:rPr>
          <w:rFonts w:hint="eastAsia" w:ascii="仿宋" w:hAnsi="仿宋" w:eastAsia="仿宋" w:cs="迷你简黑体"/>
          <w:bCs/>
          <w:sz w:val="30"/>
          <w:szCs w:val="30"/>
        </w:rPr>
        <w:t>万元，上年结转0.49万元，全年预算收入306.67万元。2021年支出决算数为306.67万元，其中基本支出完成</w:t>
      </w:r>
      <w:r>
        <w:rPr>
          <w:rFonts w:ascii="仿宋" w:hAnsi="仿宋" w:eastAsia="仿宋" w:cs="迷你简黑体"/>
          <w:bCs/>
          <w:sz w:val="30"/>
          <w:szCs w:val="30"/>
        </w:rPr>
        <w:t>219.58</w:t>
      </w:r>
      <w:r>
        <w:rPr>
          <w:rFonts w:hint="eastAsia" w:ascii="仿宋" w:hAnsi="仿宋" w:eastAsia="仿宋" w:cs="迷你简黑体"/>
          <w:bCs/>
          <w:sz w:val="30"/>
          <w:szCs w:val="30"/>
        </w:rPr>
        <w:t>万元，项目支出</w:t>
      </w:r>
      <w:r>
        <w:rPr>
          <w:rFonts w:ascii="仿宋" w:hAnsi="仿宋" w:eastAsia="仿宋" w:cs="迷你简黑体"/>
          <w:bCs/>
          <w:sz w:val="30"/>
          <w:szCs w:val="30"/>
        </w:rPr>
        <w:t>87.09</w:t>
      </w:r>
      <w:r>
        <w:rPr>
          <w:rFonts w:hint="eastAsia" w:ascii="仿宋" w:hAnsi="仿宋" w:eastAsia="仿宋" w:cs="迷你简黑体"/>
          <w:bCs/>
          <w:sz w:val="30"/>
          <w:szCs w:val="30"/>
        </w:rPr>
        <w:t>万元。</w:t>
      </w:r>
    </w:p>
    <w:p>
      <w:pPr>
        <w:keepNext w:val="0"/>
        <w:keepLines w:val="0"/>
        <w:pageBreakBefore w:val="0"/>
        <w:widowControl w:val="0"/>
        <w:numPr>
          <w:ilvl w:val="0"/>
          <w:numId w:val="2"/>
        </w:numPr>
        <w:kinsoku/>
        <w:wordWrap/>
        <w:overflowPunct/>
        <w:topLinePunct w:val="0"/>
        <w:autoSpaceDE/>
        <w:autoSpaceDN/>
        <w:bidi w:val="0"/>
        <w:adjustRightInd/>
        <w:snapToGrid/>
        <w:spacing w:line="640" w:lineRule="exact"/>
        <w:textAlignment w:val="auto"/>
        <w:rPr>
          <w:rFonts w:hint="eastAsia" w:ascii="仿宋" w:hAnsi="仿宋" w:eastAsia="仿宋"/>
          <w:sz w:val="30"/>
          <w:szCs w:val="30"/>
        </w:rPr>
      </w:pPr>
      <w:r>
        <w:rPr>
          <w:rFonts w:hint="eastAsia" w:ascii="仿宋" w:hAnsi="仿宋" w:eastAsia="仿宋"/>
          <w:sz w:val="30"/>
          <w:szCs w:val="30"/>
        </w:rPr>
        <w:t>基本支出管理情况</w:t>
      </w: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rPr>
          <w:rFonts w:hint="eastAsia" w:ascii="仿宋" w:hAnsi="仿宋" w:eastAsia="仿宋"/>
          <w:sz w:val="30"/>
          <w:szCs w:val="30"/>
        </w:rPr>
      </w:pPr>
      <w:r>
        <w:rPr>
          <w:rFonts w:hint="eastAsia" w:ascii="仿宋" w:hAnsi="仿宋" w:eastAsia="仿宋"/>
          <w:sz w:val="30"/>
          <w:szCs w:val="30"/>
        </w:rPr>
        <w:t>基本支出总额</w:t>
      </w:r>
      <w:r>
        <w:rPr>
          <w:rFonts w:ascii="仿宋" w:hAnsi="仿宋" w:eastAsia="仿宋" w:cs="迷你简黑体"/>
          <w:bCs/>
          <w:sz w:val="30"/>
          <w:szCs w:val="30"/>
        </w:rPr>
        <w:t>219.58</w:t>
      </w:r>
      <w:r>
        <w:rPr>
          <w:rFonts w:hint="eastAsia" w:ascii="仿宋" w:hAnsi="仿宋" w:eastAsia="仿宋"/>
          <w:sz w:val="30"/>
          <w:szCs w:val="30"/>
        </w:rPr>
        <w:t>万元，其中：工资福利支出140.23 万元；对个人和家庭的补助支出</w:t>
      </w:r>
      <w:r>
        <w:rPr>
          <w:rFonts w:ascii="仿宋" w:hAnsi="仿宋" w:eastAsia="仿宋"/>
          <w:sz w:val="30"/>
          <w:szCs w:val="30"/>
        </w:rPr>
        <w:t>6.87</w:t>
      </w:r>
      <w:r>
        <w:rPr>
          <w:rFonts w:hint="eastAsia" w:ascii="仿宋" w:hAnsi="仿宋" w:eastAsia="仿宋"/>
          <w:sz w:val="30"/>
          <w:szCs w:val="30"/>
        </w:rPr>
        <w:t>万元；一般商品和服务支出</w:t>
      </w:r>
      <w:r>
        <w:rPr>
          <w:rFonts w:ascii="仿宋" w:hAnsi="仿宋" w:eastAsia="仿宋"/>
          <w:sz w:val="30"/>
          <w:szCs w:val="30"/>
        </w:rPr>
        <w:t>71.79</w:t>
      </w:r>
      <w:r>
        <w:rPr>
          <w:rFonts w:hint="eastAsia" w:ascii="仿宋" w:hAnsi="仿宋" w:eastAsia="仿宋"/>
          <w:sz w:val="30"/>
          <w:szCs w:val="30"/>
        </w:rPr>
        <w:t>万元；资本性支出</w:t>
      </w:r>
      <w:r>
        <w:rPr>
          <w:rFonts w:ascii="仿宋" w:hAnsi="仿宋" w:eastAsia="仿宋"/>
          <w:sz w:val="30"/>
          <w:szCs w:val="30"/>
        </w:rPr>
        <w:t>0.69</w:t>
      </w:r>
      <w:r>
        <w:rPr>
          <w:rFonts w:hint="eastAsia" w:ascii="仿宋" w:hAnsi="仿宋" w:eastAsia="仿宋"/>
          <w:sz w:val="30"/>
          <w:szCs w:val="30"/>
        </w:rPr>
        <w:t>万元；主要用途包括：保障我联机构正常运转，完成日常工作任务发生的各项支出包括：在职人员基本工资、津补贴、公积金、社保等人员经费和办公费、印刷费、办公设备购置等日常公用经费。</w:t>
      </w: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rPr>
          <w:rFonts w:hint="eastAsia" w:ascii="仿宋" w:hAnsi="仿宋" w:eastAsia="仿宋"/>
          <w:sz w:val="30"/>
          <w:szCs w:val="30"/>
        </w:rPr>
      </w:pPr>
      <w:r>
        <w:rPr>
          <w:rFonts w:hint="eastAsia" w:ascii="仿宋" w:hAnsi="仿宋" w:eastAsia="仿宋"/>
          <w:sz w:val="30"/>
          <w:szCs w:val="30"/>
        </w:rPr>
        <w:t>（二）“三公”经费支出使用和管理情况</w:t>
      </w: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rPr>
          <w:rFonts w:hint="eastAsia" w:ascii="仿宋" w:hAnsi="仿宋" w:eastAsia="仿宋"/>
          <w:sz w:val="30"/>
          <w:szCs w:val="30"/>
        </w:rPr>
      </w:pPr>
      <w:r>
        <w:rPr>
          <w:rFonts w:hint="eastAsia" w:ascii="仿宋" w:hAnsi="仿宋" w:eastAsia="仿宋"/>
          <w:sz w:val="30"/>
          <w:szCs w:val="30"/>
        </w:rPr>
        <w:t>2021年“三公”经费财政预算6万元， 实际支出为14.19万元，其中公出国（境）费用0元、公务用车运行维护费0元、公务接待费</w:t>
      </w:r>
      <w:r>
        <w:rPr>
          <w:rFonts w:ascii="仿宋" w:hAnsi="仿宋" w:eastAsia="仿宋"/>
          <w:sz w:val="30"/>
          <w:szCs w:val="30"/>
        </w:rPr>
        <w:t>14.19</w:t>
      </w:r>
      <w:r>
        <w:rPr>
          <w:rFonts w:hint="eastAsia" w:ascii="仿宋" w:hAnsi="仿宋" w:eastAsia="仿宋"/>
          <w:sz w:val="30"/>
          <w:szCs w:val="30"/>
        </w:rPr>
        <w:t>万元。公务接待费较预算增幅较大，主要原因，一是2021年召开衡南县工商联第十五届换届选举大会前期至外地联系和来县参加会议筹备工作的代表及工商团体接待支出，二是海南、成都等衡南商会筹建支出，三是处理分会多次集访等支出。</w:t>
      </w: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rPr>
          <w:rFonts w:hint="eastAsia" w:ascii="仿宋" w:hAnsi="仿宋" w:eastAsia="仿宋"/>
          <w:sz w:val="30"/>
          <w:szCs w:val="30"/>
        </w:rPr>
      </w:pPr>
      <w:r>
        <w:rPr>
          <w:rFonts w:hint="eastAsia" w:ascii="仿宋" w:hAnsi="仿宋" w:eastAsia="仿宋"/>
          <w:sz w:val="30"/>
          <w:szCs w:val="30"/>
        </w:rPr>
        <w:t>（三）专项支出</w:t>
      </w: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rPr>
          <w:rFonts w:hint="eastAsia" w:ascii="仿宋" w:hAnsi="仿宋" w:eastAsia="仿宋"/>
          <w:sz w:val="30"/>
          <w:szCs w:val="30"/>
        </w:rPr>
      </w:pPr>
      <w:r>
        <w:rPr>
          <w:rFonts w:hint="eastAsia" w:ascii="仿宋" w:hAnsi="仿宋" w:eastAsia="仿宋"/>
          <w:sz w:val="30"/>
          <w:szCs w:val="30"/>
        </w:rPr>
        <w:t>2021年我联专项项目资金为</w:t>
      </w:r>
      <w:r>
        <w:rPr>
          <w:rFonts w:hint="eastAsia" w:ascii="仿宋" w:hAnsi="仿宋" w:eastAsia="仿宋" w:cs="迷你简黑体"/>
          <w:bCs/>
          <w:sz w:val="30"/>
          <w:szCs w:val="30"/>
        </w:rPr>
        <w:t>87.</w:t>
      </w:r>
      <w:r>
        <w:rPr>
          <w:rFonts w:ascii="仿宋" w:hAnsi="仿宋" w:eastAsia="仿宋" w:cs="迷你简黑体"/>
          <w:bCs/>
          <w:sz w:val="30"/>
          <w:szCs w:val="30"/>
        </w:rPr>
        <w:t>09</w:t>
      </w:r>
      <w:r>
        <w:rPr>
          <w:rFonts w:hint="eastAsia" w:ascii="仿宋" w:hAnsi="仿宋" w:eastAsia="仿宋"/>
          <w:sz w:val="30"/>
          <w:szCs w:val="30"/>
        </w:rPr>
        <w:t>万元，系保障我联分会遗留问题处理、商协会建立管理沟通、非公有制代表培训、民企工委等项目支出。</w:t>
      </w:r>
    </w:p>
    <w:p>
      <w:pPr>
        <w:keepNext w:val="0"/>
        <w:keepLines w:val="0"/>
        <w:pageBreakBefore w:val="0"/>
        <w:widowControl w:val="0"/>
        <w:kinsoku/>
        <w:wordWrap/>
        <w:overflowPunct/>
        <w:topLinePunct w:val="0"/>
        <w:autoSpaceDE/>
        <w:autoSpaceDN/>
        <w:bidi w:val="0"/>
        <w:adjustRightInd/>
        <w:snapToGrid/>
        <w:spacing w:line="640" w:lineRule="exact"/>
        <w:ind w:firstLine="602" w:firstLineChars="200"/>
        <w:textAlignment w:val="auto"/>
        <w:rPr>
          <w:rFonts w:hint="eastAsia" w:ascii="仿宋" w:hAnsi="仿宋" w:eastAsia="仿宋"/>
          <w:b/>
          <w:sz w:val="30"/>
          <w:szCs w:val="30"/>
        </w:rPr>
      </w:pPr>
      <w:r>
        <w:rPr>
          <w:rFonts w:hint="eastAsia" w:ascii="仿宋" w:hAnsi="仿宋" w:eastAsia="仿宋"/>
          <w:b/>
          <w:sz w:val="30"/>
          <w:szCs w:val="30"/>
        </w:rPr>
        <w:t>三、部门整体支出绩效情况</w:t>
      </w: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rPr>
          <w:rFonts w:hint="eastAsia" w:ascii="仿宋" w:hAnsi="仿宋" w:eastAsia="仿宋" w:cs="宋体"/>
          <w:kern w:val="0"/>
          <w:sz w:val="30"/>
          <w:szCs w:val="30"/>
        </w:rPr>
      </w:pPr>
      <w:r>
        <w:rPr>
          <w:rFonts w:hint="eastAsia" w:ascii="仿宋" w:hAnsi="仿宋" w:eastAsia="仿宋"/>
          <w:sz w:val="30"/>
          <w:szCs w:val="30"/>
        </w:rPr>
        <w:t>202</w:t>
      </w:r>
      <w:r>
        <w:rPr>
          <w:rFonts w:hint="eastAsia" w:ascii="仿宋" w:hAnsi="仿宋" w:eastAsia="仿宋"/>
          <w:sz w:val="30"/>
          <w:szCs w:val="30"/>
          <w:lang w:val="en-US" w:eastAsia="zh-CN"/>
        </w:rPr>
        <w:t>1</w:t>
      </w:r>
      <w:r>
        <w:rPr>
          <w:rFonts w:hint="eastAsia" w:ascii="仿宋" w:hAnsi="仿宋" w:eastAsia="仿宋"/>
          <w:sz w:val="30"/>
          <w:szCs w:val="30"/>
        </w:rPr>
        <w:t>年，我联整体支出情况较好，预算编制比较合理，财务制度健全且执行情况良好。</w:t>
      </w:r>
      <w:r>
        <w:rPr>
          <w:rFonts w:hint="eastAsia" w:ascii="仿宋" w:hAnsi="仿宋" w:eastAsia="仿宋" w:cs="宋体"/>
          <w:kern w:val="0"/>
          <w:sz w:val="30"/>
          <w:szCs w:val="30"/>
        </w:rPr>
        <w:t>（一）</w:t>
      </w:r>
      <w:r>
        <w:rPr>
          <w:rFonts w:hint="eastAsia" w:ascii="仿宋" w:hAnsi="仿宋" w:eastAsia="仿宋" w:cs="宋体"/>
          <w:sz w:val="30"/>
          <w:szCs w:val="30"/>
        </w:rPr>
        <w:t>在确保人员工资、日常公用经费的正常开支基础上，保证重点支出，压缩一般消费性支出。</w:t>
      </w:r>
      <w:r>
        <w:rPr>
          <w:rFonts w:hint="eastAsia" w:ascii="仿宋" w:hAnsi="仿宋" w:eastAsia="仿宋" w:cs="宋体"/>
          <w:kern w:val="0"/>
          <w:sz w:val="30"/>
          <w:szCs w:val="30"/>
        </w:rPr>
        <w:t>（二）预算执行方面，支出总额控制在预算总额以内；本年不存在截留或滞留专项资金情况。（三）严格执行了国库集中支付、政府采购等有关规定，按政府采购目录内的货物与服务全部按要求实施了政府采购，确保了支出管理流程、审批手续的完整。</w:t>
      </w:r>
    </w:p>
    <w:p>
      <w:pPr>
        <w:keepNext w:val="0"/>
        <w:keepLines w:val="0"/>
        <w:pageBreakBefore w:val="0"/>
        <w:widowControl w:val="0"/>
        <w:kinsoku/>
        <w:wordWrap/>
        <w:overflowPunct/>
        <w:topLinePunct w:val="0"/>
        <w:autoSpaceDE/>
        <w:autoSpaceDN/>
        <w:bidi w:val="0"/>
        <w:adjustRightInd/>
        <w:snapToGrid/>
        <w:spacing w:line="640" w:lineRule="exact"/>
        <w:ind w:firstLine="300" w:firstLineChars="100"/>
        <w:textAlignment w:val="auto"/>
        <w:rPr>
          <w:rFonts w:hint="eastAsia" w:ascii="仿宋" w:hAnsi="仿宋" w:eastAsia="仿宋" w:cs="宋体"/>
          <w:b/>
          <w:kern w:val="0"/>
          <w:sz w:val="30"/>
          <w:szCs w:val="30"/>
        </w:rPr>
      </w:pPr>
      <w:r>
        <w:rPr>
          <w:rFonts w:hint="eastAsia" w:ascii="仿宋" w:hAnsi="仿宋" w:eastAsia="仿宋" w:cs="宋体"/>
          <w:kern w:val="0"/>
          <w:sz w:val="30"/>
          <w:szCs w:val="30"/>
        </w:rPr>
        <w:t xml:space="preserve"> </w:t>
      </w:r>
      <w:r>
        <w:rPr>
          <w:rFonts w:hint="eastAsia" w:ascii="仿宋" w:hAnsi="仿宋" w:eastAsia="仿宋" w:cs="宋体"/>
          <w:b/>
          <w:kern w:val="0"/>
          <w:sz w:val="30"/>
          <w:szCs w:val="30"/>
        </w:rPr>
        <w:t xml:space="preserve"> 四、存在的主要问题</w:t>
      </w: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rPr>
          <w:rFonts w:hint="eastAsia" w:ascii="仿宋" w:hAnsi="仿宋" w:eastAsia="仿宋" w:cs="宋体"/>
          <w:kern w:val="0"/>
          <w:sz w:val="30"/>
          <w:szCs w:val="30"/>
        </w:rPr>
      </w:pPr>
      <w:r>
        <w:rPr>
          <w:rFonts w:hint="eastAsia" w:ascii="仿宋" w:hAnsi="仿宋" w:eastAsia="仿宋" w:cs="宋体"/>
          <w:kern w:val="0"/>
          <w:sz w:val="30"/>
          <w:szCs w:val="30"/>
        </w:rPr>
        <w:t>年初预算的编制较为精细，且金额较少，而年内活动不确定因素又多，致使资金有交叉使用并严重不足现象。</w:t>
      </w:r>
    </w:p>
    <w:p>
      <w:pPr>
        <w:keepNext w:val="0"/>
        <w:keepLines w:val="0"/>
        <w:pageBreakBefore w:val="0"/>
        <w:widowControl w:val="0"/>
        <w:kinsoku/>
        <w:wordWrap/>
        <w:overflowPunct/>
        <w:topLinePunct w:val="0"/>
        <w:autoSpaceDE/>
        <w:autoSpaceDN/>
        <w:bidi w:val="0"/>
        <w:adjustRightInd/>
        <w:snapToGrid/>
        <w:spacing w:line="640" w:lineRule="exact"/>
        <w:ind w:firstLine="602" w:firstLineChars="200"/>
        <w:textAlignment w:val="auto"/>
        <w:rPr>
          <w:rFonts w:hint="eastAsia" w:ascii="仿宋" w:hAnsi="仿宋" w:eastAsia="仿宋" w:cs="宋体"/>
          <w:b/>
          <w:kern w:val="0"/>
          <w:sz w:val="30"/>
          <w:szCs w:val="30"/>
        </w:rPr>
      </w:pPr>
      <w:r>
        <w:rPr>
          <w:rFonts w:hint="eastAsia" w:ascii="仿宋" w:hAnsi="仿宋" w:eastAsia="仿宋" w:cs="宋体"/>
          <w:b/>
          <w:kern w:val="0"/>
          <w:sz w:val="30"/>
          <w:szCs w:val="30"/>
        </w:rPr>
        <w:t>五、改进措施和建议</w:t>
      </w: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rPr>
          <w:rFonts w:hint="eastAsia" w:ascii="仿宋" w:hAnsi="仿宋" w:eastAsia="仿宋" w:cs="宋体"/>
          <w:kern w:val="0"/>
          <w:sz w:val="30"/>
          <w:szCs w:val="30"/>
        </w:rPr>
      </w:pPr>
      <w:r>
        <w:rPr>
          <w:rFonts w:hint="eastAsia" w:ascii="仿宋" w:hAnsi="仿宋" w:eastAsia="仿宋" w:cs="宋体"/>
          <w:kern w:val="0"/>
          <w:sz w:val="30"/>
          <w:szCs w:val="30"/>
        </w:rPr>
        <w:t>加强内部机构的预算管理意识，严格按照预算编制的相关制度和要求，进一步提高预算编制的科学性、合理性、严谨性和可控性，在日常预算管理过程中，进一步加强预算支出的审核、跟踪及预算执行情况分析，在资金管理上制定一系列完善的财务管理制度。</w:t>
      </w: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rPr>
          <w:rFonts w:hint="eastAsia" w:ascii="仿宋" w:hAnsi="仿宋" w:eastAsia="仿宋"/>
          <w:sz w:val="30"/>
          <w:szCs w:val="30"/>
        </w:rPr>
      </w:pPr>
      <w:r>
        <w:rPr>
          <w:rFonts w:hint="eastAsia" w:ascii="仿宋" w:hAnsi="仿宋" w:eastAsia="仿宋"/>
          <w:sz w:val="30"/>
          <w:szCs w:val="30"/>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textAlignment w:val="auto"/>
        <w:rPr>
          <w:rFonts w:hint="eastAsia" w:ascii="仿宋" w:hAnsi="仿宋" w:eastAsia="仿宋"/>
          <w:sz w:val="30"/>
          <w:szCs w:val="30"/>
        </w:rPr>
      </w:pPr>
    </w:p>
    <w:p>
      <w:pPr>
        <w:keepNext w:val="0"/>
        <w:keepLines w:val="0"/>
        <w:pageBreakBefore w:val="0"/>
        <w:widowControl w:val="0"/>
        <w:kinsoku/>
        <w:wordWrap/>
        <w:overflowPunct/>
        <w:topLinePunct w:val="0"/>
        <w:autoSpaceDE/>
        <w:autoSpaceDN/>
        <w:bidi w:val="0"/>
        <w:adjustRightInd/>
        <w:snapToGrid/>
        <w:spacing w:line="640" w:lineRule="exact"/>
        <w:ind w:firstLine="600" w:firstLineChars="200"/>
        <w:jc w:val="right"/>
        <w:textAlignment w:val="auto"/>
        <w:rPr>
          <w:rFonts w:hint="eastAsia" w:ascii="仿宋" w:hAnsi="仿宋" w:eastAsia="仿宋"/>
          <w:sz w:val="30"/>
          <w:szCs w:val="30"/>
        </w:rPr>
      </w:pPr>
    </w:p>
    <w:p>
      <w:pPr>
        <w:keepNext w:val="0"/>
        <w:keepLines w:val="0"/>
        <w:pageBreakBefore w:val="0"/>
        <w:widowControl w:val="0"/>
        <w:kinsoku/>
        <w:wordWrap/>
        <w:overflowPunct/>
        <w:topLinePunct w:val="0"/>
        <w:autoSpaceDE/>
        <w:autoSpaceDN/>
        <w:bidi w:val="0"/>
        <w:adjustRightInd/>
        <w:snapToGrid/>
        <w:spacing w:line="640" w:lineRule="exact"/>
        <w:ind w:right="640" w:firstLine="600" w:firstLineChars="200"/>
        <w:jc w:val="right"/>
        <w:textAlignment w:val="auto"/>
        <w:rPr>
          <w:rFonts w:hint="eastAsia" w:ascii="仿宋" w:hAnsi="仿宋" w:eastAsia="仿宋"/>
          <w:sz w:val="30"/>
          <w:szCs w:val="30"/>
        </w:rPr>
      </w:pPr>
      <w:r>
        <w:rPr>
          <w:rFonts w:hint="eastAsia" w:ascii="仿宋" w:hAnsi="仿宋" w:eastAsia="仿宋"/>
          <w:sz w:val="30"/>
          <w:szCs w:val="30"/>
        </w:rPr>
        <w:t xml:space="preserve">      衡南县工商业联合会（总商会）</w:t>
      </w:r>
    </w:p>
    <w:p>
      <w:pPr>
        <w:keepNext w:val="0"/>
        <w:keepLines w:val="0"/>
        <w:pageBreakBefore w:val="0"/>
        <w:widowControl w:val="0"/>
        <w:kinsoku/>
        <w:wordWrap/>
        <w:overflowPunct/>
        <w:topLinePunct w:val="0"/>
        <w:autoSpaceDE/>
        <w:autoSpaceDN/>
        <w:bidi w:val="0"/>
        <w:adjustRightInd/>
        <w:snapToGrid/>
        <w:spacing w:line="640" w:lineRule="exact"/>
        <w:ind w:right="1120" w:firstLine="4200" w:firstLineChars="1400"/>
        <w:textAlignment w:val="auto"/>
        <w:rPr>
          <w:rFonts w:hint="eastAsia" w:ascii="仿宋" w:hAnsi="仿宋" w:eastAsia="仿宋"/>
          <w:sz w:val="30"/>
          <w:szCs w:val="30"/>
        </w:rPr>
      </w:pPr>
      <w:r>
        <w:rPr>
          <w:rFonts w:hint="eastAsia" w:ascii="仿宋" w:hAnsi="仿宋" w:eastAsia="仿宋"/>
          <w:sz w:val="30"/>
          <w:szCs w:val="30"/>
        </w:rPr>
        <w:t>202</w:t>
      </w:r>
      <w:r>
        <w:rPr>
          <w:rFonts w:hint="eastAsia" w:ascii="仿宋" w:hAnsi="仿宋" w:eastAsia="仿宋"/>
          <w:sz w:val="30"/>
          <w:szCs w:val="30"/>
          <w:lang w:val="en-US" w:eastAsia="zh-CN"/>
        </w:rPr>
        <w:t>2</w:t>
      </w:r>
      <w:r>
        <w:rPr>
          <w:rFonts w:hint="eastAsia" w:ascii="仿宋" w:hAnsi="仿宋" w:eastAsia="仿宋"/>
          <w:sz w:val="30"/>
          <w:szCs w:val="30"/>
        </w:rPr>
        <w:t>年</w:t>
      </w:r>
      <w:r>
        <w:rPr>
          <w:rFonts w:hint="eastAsia" w:ascii="仿宋" w:hAnsi="仿宋" w:eastAsia="仿宋"/>
          <w:sz w:val="30"/>
          <w:szCs w:val="30"/>
          <w:lang w:val="en-US" w:eastAsia="zh-CN"/>
        </w:rPr>
        <w:t>4</w:t>
      </w:r>
      <w:r>
        <w:rPr>
          <w:rFonts w:hint="eastAsia" w:ascii="仿宋" w:hAnsi="仿宋" w:eastAsia="仿宋"/>
          <w:sz w:val="30"/>
          <w:szCs w:val="30"/>
        </w:rPr>
        <w:t>月</w:t>
      </w:r>
      <w:r>
        <w:rPr>
          <w:rFonts w:hint="eastAsia" w:ascii="仿宋" w:hAnsi="仿宋" w:eastAsia="仿宋"/>
          <w:sz w:val="30"/>
          <w:szCs w:val="30"/>
          <w:lang w:val="en-US" w:eastAsia="zh-CN"/>
        </w:rPr>
        <w:t>25</w:t>
      </w:r>
      <w:r>
        <w:rPr>
          <w:rFonts w:hint="eastAsia" w:ascii="仿宋" w:hAnsi="仿宋" w:eastAsia="仿宋"/>
          <w:sz w:val="30"/>
          <w:szCs w:val="30"/>
        </w:rPr>
        <w:t>日</w:t>
      </w:r>
    </w:p>
    <w:p>
      <w:pPr>
        <w:spacing w:line="500" w:lineRule="exact"/>
        <w:rPr>
          <w:rFonts w:hint="eastAsia" w:ascii="仿宋" w:hAnsi="仿宋" w:eastAsia="仿宋"/>
          <w:sz w:val="30"/>
          <w:szCs w:val="30"/>
        </w:rPr>
      </w:pPr>
    </w:p>
    <w:sectPr>
      <w:headerReference r:id="rId3" w:type="default"/>
      <w:pgSz w:w="11906" w:h="16838"/>
      <w:pgMar w:top="1440" w:right="1587" w:bottom="1440"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迷你简黑体">
    <w:altName w:val="黑体"/>
    <w:panose1 w:val="00000000000000000000"/>
    <w:charset w:val="86"/>
    <w:family w:val="auto"/>
    <w:pitch w:val="default"/>
    <w:sig w:usb0="00000000" w:usb1="00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4F0EAE"/>
    <w:multiLevelType w:val="multilevel"/>
    <w:tmpl w:val="494F0EAE"/>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5857928D"/>
    <w:multiLevelType w:val="singleLevel"/>
    <w:tmpl w:val="5857928D"/>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Y5MjIwMzg2YWRiZmYwNjcyMDNlMTRkNTRlMGY0YTQifQ=="/>
  </w:docVars>
  <w:rsids>
    <w:rsidRoot w:val="00C17386"/>
    <w:rsid w:val="00020D46"/>
    <w:rsid w:val="00024319"/>
    <w:rsid w:val="00072DE5"/>
    <w:rsid w:val="00075956"/>
    <w:rsid w:val="000809B3"/>
    <w:rsid w:val="00082392"/>
    <w:rsid w:val="00091697"/>
    <w:rsid w:val="000B2878"/>
    <w:rsid w:val="000B60FF"/>
    <w:rsid w:val="000E2EC4"/>
    <w:rsid w:val="000F4EEA"/>
    <w:rsid w:val="00105D72"/>
    <w:rsid w:val="00162781"/>
    <w:rsid w:val="001670D2"/>
    <w:rsid w:val="00173919"/>
    <w:rsid w:val="00195564"/>
    <w:rsid w:val="001C12A5"/>
    <w:rsid w:val="001F3C09"/>
    <w:rsid w:val="001F5025"/>
    <w:rsid w:val="00241CA4"/>
    <w:rsid w:val="00247BE3"/>
    <w:rsid w:val="00281645"/>
    <w:rsid w:val="002A745B"/>
    <w:rsid w:val="002B108F"/>
    <w:rsid w:val="002C6B0D"/>
    <w:rsid w:val="00323175"/>
    <w:rsid w:val="00325845"/>
    <w:rsid w:val="003845AA"/>
    <w:rsid w:val="0039199D"/>
    <w:rsid w:val="003C390A"/>
    <w:rsid w:val="003D57B3"/>
    <w:rsid w:val="00412FCC"/>
    <w:rsid w:val="00444ABC"/>
    <w:rsid w:val="004A4DCB"/>
    <w:rsid w:val="004E3B56"/>
    <w:rsid w:val="004F0CB6"/>
    <w:rsid w:val="00500ED2"/>
    <w:rsid w:val="00522E99"/>
    <w:rsid w:val="0053523B"/>
    <w:rsid w:val="00587A1F"/>
    <w:rsid w:val="005A5BCD"/>
    <w:rsid w:val="005C6292"/>
    <w:rsid w:val="005E2CDA"/>
    <w:rsid w:val="005E39B1"/>
    <w:rsid w:val="00615D11"/>
    <w:rsid w:val="0063353D"/>
    <w:rsid w:val="00672029"/>
    <w:rsid w:val="00673F66"/>
    <w:rsid w:val="00682F19"/>
    <w:rsid w:val="0069250C"/>
    <w:rsid w:val="006A57C9"/>
    <w:rsid w:val="006B0905"/>
    <w:rsid w:val="006C3D19"/>
    <w:rsid w:val="006C57FA"/>
    <w:rsid w:val="006D5888"/>
    <w:rsid w:val="006E5DEF"/>
    <w:rsid w:val="006F5365"/>
    <w:rsid w:val="006F698C"/>
    <w:rsid w:val="00707E25"/>
    <w:rsid w:val="007C1229"/>
    <w:rsid w:val="007E4A81"/>
    <w:rsid w:val="007F3B61"/>
    <w:rsid w:val="0082531E"/>
    <w:rsid w:val="008711D1"/>
    <w:rsid w:val="008F7537"/>
    <w:rsid w:val="00905932"/>
    <w:rsid w:val="00925ADC"/>
    <w:rsid w:val="00946106"/>
    <w:rsid w:val="009E152F"/>
    <w:rsid w:val="009E7894"/>
    <w:rsid w:val="009F7B96"/>
    <w:rsid w:val="00A34714"/>
    <w:rsid w:val="00A46FA5"/>
    <w:rsid w:val="00A746D5"/>
    <w:rsid w:val="00A85293"/>
    <w:rsid w:val="00A8750A"/>
    <w:rsid w:val="00AA2F21"/>
    <w:rsid w:val="00AC3556"/>
    <w:rsid w:val="00AC520B"/>
    <w:rsid w:val="00AC5D20"/>
    <w:rsid w:val="00AC6CAD"/>
    <w:rsid w:val="00AD254B"/>
    <w:rsid w:val="00AD316E"/>
    <w:rsid w:val="00AD3DAB"/>
    <w:rsid w:val="00B20A18"/>
    <w:rsid w:val="00B30CBD"/>
    <w:rsid w:val="00BA194D"/>
    <w:rsid w:val="00BA30E4"/>
    <w:rsid w:val="00BB41DA"/>
    <w:rsid w:val="00BB7D90"/>
    <w:rsid w:val="00BC2BAB"/>
    <w:rsid w:val="00BE1B3E"/>
    <w:rsid w:val="00BF0696"/>
    <w:rsid w:val="00C040D3"/>
    <w:rsid w:val="00C13F3D"/>
    <w:rsid w:val="00C17386"/>
    <w:rsid w:val="00C42338"/>
    <w:rsid w:val="00C75816"/>
    <w:rsid w:val="00C76AD5"/>
    <w:rsid w:val="00C852CD"/>
    <w:rsid w:val="00CB0160"/>
    <w:rsid w:val="00CD491D"/>
    <w:rsid w:val="00CF78EB"/>
    <w:rsid w:val="00D1333A"/>
    <w:rsid w:val="00D15AA1"/>
    <w:rsid w:val="00D27FAE"/>
    <w:rsid w:val="00D31171"/>
    <w:rsid w:val="00D3292F"/>
    <w:rsid w:val="00D50ECD"/>
    <w:rsid w:val="00D81E40"/>
    <w:rsid w:val="00DF5954"/>
    <w:rsid w:val="00E0398F"/>
    <w:rsid w:val="00E37B79"/>
    <w:rsid w:val="00E42621"/>
    <w:rsid w:val="00E7099F"/>
    <w:rsid w:val="00ED3E65"/>
    <w:rsid w:val="00EE113D"/>
    <w:rsid w:val="00F069B9"/>
    <w:rsid w:val="00F211C1"/>
    <w:rsid w:val="00F8234E"/>
    <w:rsid w:val="00F84573"/>
    <w:rsid w:val="00FD05AF"/>
    <w:rsid w:val="11C049F7"/>
    <w:rsid w:val="14121AC6"/>
    <w:rsid w:val="14193016"/>
    <w:rsid w:val="2DB22961"/>
    <w:rsid w:val="415E1341"/>
    <w:rsid w:val="53955AC7"/>
    <w:rsid w:val="5A4B74AC"/>
    <w:rsid w:val="65D91AE9"/>
    <w:rsid w:val="73E91F25"/>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alloon Text"/>
    <w:basedOn w:val="1"/>
    <w:semiHidden/>
    <w:qFormat/>
    <w:uiPriority w:val="0"/>
    <w:rPr>
      <w:sz w:val="18"/>
      <w:szCs w:val="18"/>
    </w:rPr>
  </w:style>
  <w:style w:type="paragraph" w:styleId="4">
    <w:name w:val="footer"/>
    <w:basedOn w:val="1"/>
    <w:link w:val="16"/>
    <w:qFormat/>
    <w:uiPriority w:val="0"/>
    <w:pPr>
      <w:tabs>
        <w:tab w:val="center" w:pos="4153"/>
        <w:tab w:val="right" w:pos="8306"/>
      </w:tabs>
      <w:snapToGrid w:val="0"/>
      <w:jc w:val="left"/>
    </w:pPr>
    <w:rPr>
      <w:sz w:val="18"/>
      <w:szCs w:val="18"/>
    </w:rPr>
  </w:style>
  <w:style w:type="paragraph" w:styleId="5">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b/>
      <w:bCs/>
    </w:rPr>
  </w:style>
  <w:style w:type="character" w:styleId="11">
    <w:name w:val="FollowedHyperlink"/>
    <w:qFormat/>
    <w:uiPriority w:val="0"/>
    <w:rPr>
      <w:color w:val="454545"/>
      <w:u w:val="none"/>
    </w:rPr>
  </w:style>
  <w:style w:type="character" w:styleId="12">
    <w:name w:val="Emphasis"/>
    <w:qFormat/>
    <w:uiPriority w:val="0"/>
    <w:rPr>
      <w:sz w:val="21"/>
      <w:szCs w:val="21"/>
    </w:rPr>
  </w:style>
  <w:style w:type="character" w:styleId="13">
    <w:name w:val="Hyperlink"/>
    <w:qFormat/>
    <w:uiPriority w:val="0"/>
    <w:rPr>
      <w:color w:val="454545"/>
      <w:u w:val="none"/>
    </w:rPr>
  </w:style>
  <w:style w:type="character" w:styleId="14">
    <w:name w:val="HTML Code"/>
    <w:qFormat/>
    <w:uiPriority w:val="0"/>
    <w:rPr>
      <w:rFonts w:ascii="Courier New" w:hAnsi="Courier New"/>
      <w:sz w:val="21"/>
      <w:szCs w:val="21"/>
      <w:bdr w:val="single" w:color="E3E3E3" w:sz="6" w:space="0"/>
    </w:rPr>
  </w:style>
  <w:style w:type="character" w:styleId="15">
    <w:name w:val="HTML Cite"/>
    <w:qFormat/>
    <w:uiPriority w:val="0"/>
    <w:rPr>
      <w:sz w:val="21"/>
      <w:szCs w:val="21"/>
    </w:rPr>
  </w:style>
  <w:style w:type="character" w:customStyle="1" w:styleId="16">
    <w:name w:val="页脚 字符"/>
    <w:link w:val="4"/>
    <w:qFormat/>
    <w:uiPriority w:val="0"/>
    <w:rPr>
      <w:kern w:val="2"/>
      <w:sz w:val="18"/>
      <w:szCs w:val="18"/>
    </w:rPr>
  </w:style>
  <w:style w:type="character" w:customStyle="1" w:styleId="17">
    <w:name w:val="页眉 字符"/>
    <w:link w:val="5"/>
    <w:qFormat/>
    <w:uiPriority w:val="0"/>
    <w:rPr>
      <w:kern w:val="2"/>
      <w:sz w:val="18"/>
      <w:szCs w:val="18"/>
    </w:rPr>
  </w:style>
  <w:style w:type="character" w:customStyle="1" w:styleId="18">
    <w:name w:val="bsharetext"/>
    <w:qFormat/>
    <w:uiPriority w:val="0"/>
  </w:style>
  <w:style w:type="character" w:customStyle="1" w:styleId="19">
    <w:name w:val="editor_quote_active"/>
    <w:qFormat/>
    <w:uiPriority w:val="0"/>
  </w:style>
  <w:style w:type="character" w:customStyle="1" w:styleId="20">
    <w:name w:val="editor_createlink"/>
    <w:qFormat/>
    <w:uiPriority w:val="0"/>
  </w:style>
  <w:style w:type="character" w:customStyle="1" w:styleId="21">
    <w:name w:val="hover40"/>
    <w:qFormat/>
    <w:uiPriority w:val="0"/>
    <w:rPr>
      <w:shd w:val="clear" w:color="auto" w:fill="E9EDFF"/>
    </w:rPr>
  </w:style>
  <w:style w:type="character" w:customStyle="1" w:styleId="22">
    <w:name w:val="editor_createlink_mousedown"/>
    <w:qFormat/>
    <w:uiPriority w:val="0"/>
  </w:style>
  <w:style w:type="character" w:customStyle="1" w:styleId="23">
    <w:name w:val="editor_quote_disabled"/>
    <w:qFormat/>
    <w:uiPriority w:val="0"/>
  </w:style>
  <w:style w:type="character" w:customStyle="1" w:styleId="24">
    <w:name w:val="editor_quote_mouseover"/>
    <w:qFormat/>
    <w:uiPriority w:val="0"/>
  </w:style>
  <w:style w:type="character" w:customStyle="1" w:styleId="25">
    <w:name w:val="editor_createlink_mouseover"/>
    <w:uiPriority w:val="0"/>
  </w:style>
  <w:style w:type="character" w:customStyle="1" w:styleId="26">
    <w:name w:val="editor_createlink_disabled"/>
    <w:qFormat/>
    <w:uiPriority w:val="0"/>
  </w:style>
  <w:style w:type="character" w:customStyle="1" w:styleId="27">
    <w:name w:val="editor_createlink_active"/>
    <w:qFormat/>
    <w:uiPriority w:val="0"/>
  </w:style>
  <w:style w:type="character" w:customStyle="1" w:styleId="28">
    <w:name w:val="editor_quote_mousedown"/>
    <w:qFormat/>
    <w:uiPriority w:val="0"/>
  </w:style>
  <w:style w:type="character" w:customStyle="1" w:styleId="29">
    <w:name w:val="editor_quote"/>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4</Pages>
  <Words>1722</Words>
  <Characters>1841</Characters>
  <Lines>16</Lines>
  <Paragraphs>4</Paragraphs>
  <TotalTime>20</TotalTime>
  <ScaleCrop>false</ScaleCrop>
  <LinksUpToDate>false</LinksUpToDate>
  <CharactersWithSpaces>1905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2022-04-26T03:10:00Z</dcterms:created>
  <dc:creator>Administrator</dc:creator>
  <cp:lastModifiedBy>贺页皓</cp:lastModifiedBy>
  <cp:lastPrinted>2022-05-11T01:15:49Z</cp:lastPrinted>
  <dcterms:modified xsi:type="dcterms:W3CDTF">2022-05-11T01:28:55Z</dcterms:modified>
  <dc:title>衡南县人民检察院</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C6BE847150BB4946B05372A4AD0A1459</vt:lpwstr>
  </property>
</Properties>
</file>