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heme="majorEastAsia"/>
          <w:b/>
          <w:bCs/>
          <w:kern w:val="0"/>
          <w:sz w:val="44"/>
          <w:szCs w:val="44"/>
        </w:rPr>
      </w:pPr>
      <w:r>
        <w:rPr>
          <w:rFonts w:hint="eastAsia" w:ascii="宋体" w:hAnsi="宋体" w:eastAsia="宋体" w:cstheme="majorEastAsia"/>
          <w:b/>
          <w:bCs/>
          <w:kern w:val="0"/>
          <w:sz w:val="44"/>
          <w:szCs w:val="44"/>
        </w:rPr>
        <w:t>衡南县市场监督管理局</w:t>
      </w:r>
    </w:p>
    <w:p>
      <w:pPr>
        <w:jc w:val="center"/>
        <w:rPr>
          <w:rFonts w:ascii="宋体" w:hAnsi="宋体" w:eastAsia="宋体" w:cstheme="majorEastAsia"/>
          <w:b/>
          <w:bCs/>
          <w:kern w:val="0"/>
          <w:sz w:val="44"/>
          <w:szCs w:val="44"/>
        </w:rPr>
      </w:pPr>
      <w:r>
        <w:rPr>
          <w:rFonts w:hint="eastAsia" w:ascii="宋体" w:hAnsi="宋体" w:eastAsia="宋体" w:cstheme="majorEastAsia"/>
          <w:b/>
          <w:bCs/>
          <w:kern w:val="0"/>
          <w:sz w:val="44"/>
          <w:szCs w:val="44"/>
        </w:rPr>
        <w:t>部门整体支出绩效自评报告</w:t>
      </w:r>
    </w:p>
    <w:p/>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根据《中共湖南省委办公厅 湖南省人民政府办公厅关于全面实施预算绩效管理的实施意见》（湘办发〔2019〕10号）、财政部《项目支出绩效评价管理办法》（财预〔2020〕10号）、《湖南省预算支出绩效评价管理办法》（湘财绩〔2020〕7号）等文件精神，我局就2021年度财政资金部门整体支出的使用情况开展绩效评价，自评报告如下：</w:t>
      </w:r>
    </w:p>
    <w:p>
      <w:pPr>
        <w:numPr>
          <w:ilvl w:val="0"/>
          <w:numId w:val="1"/>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部门基本情况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1.部门职责</w:t>
      </w:r>
    </w:p>
    <w:p>
      <w:pPr>
        <w:numPr>
          <w:ilvl w:val="0"/>
          <w:numId w:val="0"/>
        </w:numPr>
        <w:ind w:firstLine="640"/>
        <w:rPr>
          <w:rFonts w:hint="eastAsia" w:ascii="仿宋" w:hAnsi="仿宋" w:eastAsia="仿宋" w:cs="仿宋"/>
          <w:sz w:val="32"/>
          <w:szCs w:val="32"/>
        </w:rPr>
      </w:pPr>
      <w:r>
        <w:rPr>
          <w:rFonts w:hint="eastAsia" w:ascii="仿宋" w:hAnsi="仿宋" w:eastAsia="仿宋" w:cs="仿宋"/>
          <w:sz w:val="32"/>
          <w:szCs w:val="32"/>
          <w:lang w:val="en-US" w:eastAsia="zh-CN"/>
        </w:rPr>
        <w:t>我</w:t>
      </w:r>
      <w:r>
        <w:rPr>
          <w:rFonts w:hint="eastAsia" w:ascii="仿宋" w:hAnsi="仿宋" w:eastAsia="仿宋" w:cs="仿宋"/>
          <w:sz w:val="32"/>
          <w:szCs w:val="32"/>
        </w:rPr>
        <w:t>局贯彻落实党中央关于市场监督管理工作的方针政策和决策部署,全面贯彻落实省委、市委</w:t>
      </w:r>
      <w:r>
        <w:rPr>
          <w:rFonts w:hint="eastAsia" w:ascii="仿宋" w:hAnsi="仿宋" w:eastAsia="仿宋" w:cs="仿宋"/>
          <w:sz w:val="32"/>
          <w:szCs w:val="32"/>
          <w:lang w:eastAsia="zh-CN"/>
        </w:rPr>
        <w:t>、</w:t>
      </w:r>
      <w:r>
        <w:rPr>
          <w:rFonts w:hint="eastAsia" w:ascii="仿宋" w:hAnsi="仿宋" w:eastAsia="仿宋" w:cs="仿宋"/>
          <w:sz w:val="32"/>
          <w:szCs w:val="32"/>
        </w:rPr>
        <w:t>县委关于市场监督管理工作的部署要求,在履行职责过程中坚持和加强党对市场监督管理工作的集中统一领导。</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2.机构设置情况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全局共设内设办公室、政策法规股等机构</w:t>
      </w:r>
      <w:r>
        <w:rPr>
          <w:rFonts w:ascii="仿宋_GB2312" w:hAnsi="仿宋_GB2312" w:eastAsia="仿宋_GB2312" w:cs="仿宋_GB2312"/>
          <w:kern w:val="0"/>
          <w:sz w:val="32"/>
          <w:szCs w:val="32"/>
        </w:rPr>
        <w:t>26个，派出机构（乡镇监管所）13个</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 w:hAnsi="仿宋" w:eastAsia="仿宋" w:cs="仿宋"/>
          <w:sz w:val="32"/>
          <w:szCs w:val="32"/>
          <w:lang w:val="en-US" w:eastAsia="zh-CN"/>
        </w:rPr>
        <w:t>人员编制情况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在职干部职工262人，其中,行政编制122人，全额事业编104人，差额编制18人，自费编制18人。</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二、部门整体支出管理及使用情况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1.部门预算收支情况（含公共财政</w:t>
      </w:r>
      <w:bookmarkStart w:id="0" w:name="_GoBack"/>
      <w:bookmarkEnd w:id="0"/>
      <w:r>
        <w:rPr>
          <w:rFonts w:hint="eastAsia" w:ascii="仿宋" w:hAnsi="仿宋" w:eastAsia="仿宋" w:cs="仿宋"/>
          <w:sz w:val="32"/>
          <w:szCs w:val="32"/>
          <w:lang w:val="en-US" w:eastAsia="zh-CN"/>
        </w:rPr>
        <w:t>拨款、政府性基金拨款、纳入专户管理的非税收入拨款及其他资金）及部门决算情况。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2021年度年初经费预算安排数为2889.89万元，其中：基本支出2642.89万元，项目支出247万元，年中追加财政预算933.75万元，其中包括追加人员经费、公用经费等基本支出483.7万元，追加食品药品监管补助、市场监督管理、食品抽检等项目经费450.05万元。</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2.支出分类情况</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部门整体支出分为基本支出和项目支出两部分，其中基本支出3126.59万元，项目支出697.05万元，2021年支出决算数合计3823.64万元。具体分类情况如下：</w:t>
      </w:r>
    </w:p>
    <w:p>
      <w:pPr>
        <w:numPr>
          <w:ilvl w:val="0"/>
          <w:numId w:val="0"/>
        </w:numPr>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年基本支出主要用于人员经费和日常公用经费。其中：工资福利支出</w:t>
      </w:r>
      <w:r>
        <w:rPr>
          <w:rFonts w:hint="eastAsia" w:ascii="仿宋" w:hAnsi="仿宋" w:eastAsia="仿宋" w:cs="仿宋"/>
          <w:sz w:val="32"/>
          <w:szCs w:val="32"/>
          <w:lang w:val="en-US" w:eastAsia="zh-CN"/>
        </w:rPr>
        <w:t>2721.04</w:t>
      </w:r>
      <w:r>
        <w:rPr>
          <w:rFonts w:hint="default" w:ascii="仿宋" w:hAnsi="仿宋" w:eastAsia="仿宋" w:cs="仿宋"/>
          <w:sz w:val="32"/>
          <w:szCs w:val="32"/>
          <w:lang w:val="en-US" w:eastAsia="zh-CN"/>
        </w:rPr>
        <w:t>万元，商品和服务支出</w:t>
      </w:r>
      <w:r>
        <w:rPr>
          <w:rFonts w:hint="eastAsia" w:ascii="仿宋" w:hAnsi="仿宋" w:eastAsia="仿宋" w:cs="仿宋"/>
          <w:sz w:val="32"/>
          <w:szCs w:val="32"/>
          <w:lang w:val="en-US" w:eastAsia="zh-CN"/>
        </w:rPr>
        <w:t>303.36</w:t>
      </w:r>
      <w:r>
        <w:rPr>
          <w:rFonts w:hint="default" w:ascii="仿宋" w:hAnsi="仿宋" w:eastAsia="仿宋" w:cs="仿宋"/>
          <w:sz w:val="32"/>
          <w:szCs w:val="32"/>
          <w:lang w:val="en-US" w:eastAsia="zh-CN"/>
        </w:rPr>
        <w:t>万元，对个人和家庭补助</w:t>
      </w:r>
      <w:r>
        <w:rPr>
          <w:rFonts w:hint="eastAsia" w:ascii="仿宋" w:hAnsi="仿宋" w:eastAsia="仿宋" w:cs="仿宋"/>
          <w:sz w:val="32"/>
          <w:szCs w:val="32"/>
          <w:lang w:val="en-US" w:eastAsia="zh-CN"/>
        </w:rPr>
        <w:t>58.28</w:t>
      </w:r>
      <w:r>
        <w:rPr>
          <w:rFonts w:hint="default" w:ascii="仿宋" w:hAnsi="仿宋" w:eastAsia="仿宋" w:cs="仿宋"/>
          <w:sz w:val="32"/>
          <w:szCs w:val="32"/>
          <w:lang w:val="en-US" w:eastAsia="zh-CN"/>
        </w:rPr>
        <w:t>万元，资本性支出</w:t>
      </w:r>
      <w:r>
        <w:rPr>
          <w:rFonts w:hint="eastAsia" w:ascii="仿宋" w:hAnsi="仿宋" w:eastAsia="仿宋" w:cs="仿宋"/>
          <w:sz w:val="32"/>
          <w:szCs w:val="32"/>
          <w:lang w:val="en-US" w:eastAsia="zh-CN"/>
        </w:rPr>
        <w:t>43.91</w:t>
      </w:r>
      <w:r>
        <w:rPr>
          <w:rFonts w:hint="default" w:ascii="仿宋" w:hAnsi="仿宋" w:eastAsia="仿宋" w:cs="仿宋"/>
          <w:sz w:val="32"/>
          <w:szCs w:val="32"/>
          <w:lang w:val="en-US" w:eastAsia="zh-CN"/>
        </w:rPr>
        <w:t>万元。</w:t>
      </w:r>
    </w:p>
    <w:p>
      <w:pPr>
        <w:numPr>
          <w:ilvl w:val="0"/>
          <w:numId w:val="0"/>
        </w:numPr>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年项目支出</w:t>
      </w:r>
      <w:r>
        <w:rPr>
          <w:rFonts w:hint="eastAsia" w:ascii="仿宋" w:hAnsi="仿宋" w:eastAsia="仿宋" w:cs="仿宋"/>
          <w:sz w:val="32"/>
          <w:szCs w:val="32"/>
          <w:lang w:val="en-US" w:eastAsia="zh-CN"/>
        </w:rPr>
        <w:t>697.05</w:t>
      </w:r>
      <w:r>
        <w:rPr>
          <w:rFonts w:hint="default" w:ascii="仿宋" w:hAnsi="仿宋" w:eastAsia="仿宋" w:cs="仿宋"/>
          <w:sz w:val="32"/>
          <w:szCs w:val="32"/>
          <w:lang w:val="en-US" w:eastAsia="zh-CN"/>
        </w:rPr>
        <w:t>万元，其中市场监督管理工作经费</w:t>
      </w:r>
      <w:r>
        <w:rPr>
          <w:rFonts w:hint="eastAsia" w:ascii="仿宋" w:hAnsi="仿宋" w:eastAsia="仿宋" w:cs="仿宋"/>
          <w:sz w:val="32"/>
          <w:szCs w:val="32"/>
          <w:lang w:val="en-US" w:eastAsia="zh-CN"/>
        </w:rPr>
        <w:t>407</w:t>
      </w:r>
      <w:r>
        <w:rPr>
          <w:rFonts w:hint="default" w:ascii="仿宋" w:hAnsi="仿宋" w:eastAsia="仿宋" w:cs="仿宋"/>
          <w:sz w:val="32"/>
          <w:szCs w:val="32"/>
          <w:lang w:val="en-US" w:eastAsia="zh-CN"/>
        </w:rPr>
        <w:t>万元,系保障执法办案、</w:t>
      </w:r>
      <w:r>
        <w:rPr>
          <w:rFonts w:hint="eastAsia" w:ascii="仿宋" w:hAnsi="仿宋" w:eastAsia="仿宋" w:cs="仿宋"/>
          <w:sz w:val="32"/>
          <w:szCs w:val="32"/>
          <w:lang w:val="en-US" w:eastAsia="zh-CN"/>
        </w:rPr>
        <w:t>法制建设</w:t>
      </w:r>
      <w:r>
        <w:rPr>
          <w:rFonts w:hint="default" w:ascii="仿宋" w:hAnsi="仿宋" w:eastAsia="仿宋" w:cs="仿宋"/>
          <w:sz w:val="32"/>
          <w:szCs w:val="32"/>
          <w:lang w:val="en-US" w:eastAsia="zh-CN"/>
        </w:rPr>
        <w:t>、价格监督与反垄断</w:t>
      </w:r>
      <w:r>
        <w:rPr>
          <w:rFonts w:hint="eastAsia" w:ascii="仿宋" w:hAnsi="仿宋" w:eastAsia="仿宋" w:cs="仿宋"/>
          <w:sz w:val="32"/>
          <w:szCs w:val="32"/>
          <w:lang w:val="en-US" w:eastAsia="zh-CN"/>
        </w:rPr>
        <w:t>、食品安全抽检</w:t>
      </w:r>
      <w:r>
        <w:rPr>
          <w:rFonts w:hint="default" w:ascii="仿宋" w:hAnsi="仿宋" w:eastAsia="仿宋" w:cs="仿宋"/>
          <w:sz w:val="32"/>
          <w:szCs w:val="32"/>
          <w:lang w:val="en-US" w:eastAsia="zh-CN"/>
        </w:rPr>
        <w:t>等支出；</w:t>
      </w:r>
      <w:r>
        <w:rPr>
          <w:rFonts w:hint="eastAsia" w:ascii="仿宋" w:hAnsi="仿宋" w:eastAsia="仿宋" w:cs="仿宋"/>
          <w:sz w:val="32"/>
          <w:szCs w:val="32"/>
          <w:lang w:val="en-US" w:eastAsia="zh-CN"/>
        </w:rPr>
        <w:t>资产处置费用150.05万</w:t>
      </w:r>
      <w:r>
        <w:rPr>
          <w:rFonts w:hint="default" w:ascii="仿宋" w:hAnsi="仿宋" w:eastAsia="仿宋" w:cs="仿宋"/>
          <w:sz w:val="32"/>
          <w:szCs w:val="32"/>
          <w:lang w:val="en-US" w:eastAsia="zh-CN"/>
        </w:rPr>
        <w:t>；气瓶追溯体系建设安全监管设备购置经费</w:t>
      </w:r>
      <w:r>
        <w:rPr>
          <w:rFonts w:hint="eastAsia" w:ascii="仿宋" w:hAnsi="仿宋" w:eastAsia="仿宋" w:cs="仿宋"/>
          <w:sz w:val="32"/>
          <w:szCs w:val="32"/>
          <w:lang w:val="en-US" w:eastAsia="zh-CN"/>
        </w:rPr>
        <w:t>80万；办公房屋维修</w:t>
      </w:r>
      <w:r>
        <w:rPr>
          <w:rFonts w:hint="default" w:ascii="仿宋" w:hAnsi="仿宋" w:eastAsia="仿宋" w:cs="仿宋"/>
          <w:sz w:val="32"/>
          <w:szCs w:val="32"/>
          <w:lang w:val="en-US" w:eastAsia="zh-CN"/>
        </w:rPr>
        <w:t>经费</w:t>
      </w: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0万元</w:t>
      </w:r>
      <w:r>
        <w:rPr>
          <w:rFonts w:hint="eastAsia" w:ascii="仿宋" w:hAnsi="仿宋" w:eastAsia="仿宋" w:cs="仿宋"/>
          <w:sz w:val="32"/>
          <w:szCs w:val="32"/>
          <w:lang w:val="en-US" w:eastAsia="zh-CN"/>
        </w:rPr>
        <w:t>；“个转企”工作资金20万</w:t>
      </w:r>
      <w:r>
        <w:rPr>
          <w:rFonts w:hint="default" w:ascii="仿宋" w:hAnsi="仿宋" w:eastAsia="仿宋" w:cs="仿宋"/>
          <w:sz w:val="32"/>
          <w:szCs w:val="32"/>
          <w:lang w:val="en-US" w:eastAsia="zh-CN"/>
        </w:rPr>
        <w:t>。</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3.“三公”经费情况</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2021年“三公”经费开支26.76万元,其中,公务接待费3.07万元,公务用车购置及运行维护费23.69万元，无因公出国出境开支。</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三、部门整体支出绩效评价情况</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严格按照国家财经法律法规和制度的要求，围绕县委、县政府中心工作，积极履职，强化管理，较好的完成了年度工作目标，加强了对各项资金的绩效管理。通过内部控制领导小组，严格遵循专款专用、独立核算的管理原则。专项项目的申报严格按照县财政资金管理的要求进行，专项资金财政拨款到位后及时进行了项目开支和资金投入。</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2021年我局通过加强预算收支管理，不断建立健全内部管理制度，梳理内部管理流程，部门整体支出管理情况得到提升。根据2021年部门整体支出状况的概述和分析，部门整体支出绩效情况如下：</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财政供养人员控制在预算编制以内，编制内在职人员控制率为100%；</w:t>
      </w:r>
    </w:p>
    <w:p>
      <w:pPr>
        <w:numPr>
          <w:ilvl w:val="0"/>
          <w:numId w:val="2"/>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“三公”经费变动率小于0，控制率为100%，主要因为我局在202</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年按照规定严格控制招待费支出，公务用车运行维护费开支也低于预算控制数</w:t>
      </w:r>
      <w:r>
        <w:rPr>
          <w:rFonts w:hint="eastAsia" w:ascii="仿宋" w:hAnsi="仿宋" w:eastAsia="仿宋" w:cs="仿宋"/>
          <w:sz w:val="32"/>
          <w:szCs w:val="32"/>
          <w:lang w:val="en-US" w:eastAsia="zh-CN"/>
        </w:rPr>
        <w:t>；</w:t>
      </w:r>
    </w:p>
    <w:p>
      <w:pPr>
        <w:numPr>
          <w:ilvl w:val="0"/>
          <w:numId w:val="2"/>
        </w:numPr>
        <w:ind w:firstLine="640" w:firstLineChars="200"/>
        <w:rPr>
          <w:rFonts w:hint="default" w:ascii="仿宋" w:hAnsi="仿宋" w:eastAsia="仿宋" w:cs="仿宋"/>
          <w:sz w:val="32"/>
          <w:szCs w:val="32"/>
          <w:lang w:val="en-US" w:eastAsia="zh-CN"/>
        </w:rPr>
      </w:pPr>
      <w:r>
        <w:rPr>
          <w:rFonts w:hint="eastAsia" w:ascii="仿宋_GB2312" w:hAnsi="仿宋_GB2312" w:eastAsia="仿宋_GB2312" w:cs="仿宋_GB2312"/>
          <w:kern w:val="0"/>
          <w:sz w:val="32"/>
          <w:szCs w:val="32"/>
        </w:rPr>
        <w:t>预算完成率：</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lang w:eastAsia="zh-CN"/>
        </w:rPr>
        <w:t>；</w:t>
      </w:r>
    </w:p>
    <w:p>
      <w:pPr>
        <w:numPr>
          <w:ilvl w:val="0"/>
          <w:numId w:val="2"/>
        </w:numPr>
        <w:ind w:firstLine="640" w:firstLineChars="200"/>
        <w:rPr>
          <w:rFonts w:hint="default"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rPr>
        <w:t>预算调整率：132.31%。2021年预算调整数3823.64万元，2021年决算数3823.64万元。年初预算2889.89万元，决算数为全年预算的132.31%，主要原因是：</w:t>
      </w:r>
      <w:r>
        <w:rPr>
          <w:rFonts w:ascii="仿宋_GB2312" w:hAnsi="仿宋_GB2312" w:eastAsia="仿宋_GB2312" w:cs="仿宋_GB2312"/>
          <w:kern w:val="0"/>
          <w:sz w:val="32"/>
          <w:szCs w:val="32"/>
        </w:rPr>
        <w:t>1、政策性追加人员经费</w:t>
      </w:r>
      <w:r>
        <w:rPr>
          <w:rFonts w:hint="eastAsia" w:ascii="仿宋_GB2312" w:hAnsi="仿宋_GB2312" w:eastAsia="仿宋_GB2312" w:cs="仿宋_GB2312"/>
          <w:kern w:val="0"/>
          <w:sz w:val="32"/>
          <w:szCs w:val="32"/>
          <w:lang w:eastAsia="zh-CN"/>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我局2</w:t>
      </w:r>
      <w:r>
        <w:rPr>
          <w:rFonts w:ascii="仿宋_GB2312" w:hAnsi="仿宋_GB2312" w:eastAsia="仿宋_GB2312" w:cs="仿宋_GB2312"/>
          <w:kern w:val="0"/>
          <w:sz w:val="32"/>
          <w:szCs w:val="32"/>
        </w:rPr>
        <w:t>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气瓶追溯</w:t>
      </w:r>
      <w:r>
        <w:rPr>
          <w:rFonts w:hint="default" w:ascii="仿宋" w:hAnsi="仿宋" w:eastAsia="仿宋" w:cs="仿宋"/>
          <w:sz w:val="32"/>
          <w:szCs w:val="32"/>
          <w:lang w:val="en-US" w:eastAsia="zh-CN"/>
        </w:rPr>
        <w:t>体系建设安全监管设备购置</w:t>
      </w:r>
      <w:r>
        <w:rPr>
          <w:rFonts w:hint="eastAsia" w:ascii="仿宋" w:hAnsi="仿宋" w:eastAsia="仿宋" w:cs="仿宋"/>
          <w:sz w:val="32"/>
          <w:szCs w:val="32"/>
          <w:lang w:val="en-US" w:eastAsia="zh-CN"/>
        </w:rPr>
        <w:t>及食品安全抽检</w:t>
      </w:r>
      <w:r>
        <w:rPr>
          <w:rFonts w:hint="eastAsia" w:ascii="仿宋_GB2312" w:hAnsi="仿宋_GB2312" w:eastAsia="仿宋_GB2312" w:cs="仿宋_GB2312"/>
          <w:kern w:val="0"/>
          <w:sz w:val="32"/>
          <w:szCs w:val="32"/>
        </w:rPr>
        <w:t>，本级财政追加必要项目资金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3、市局追加</w:t>
      </w:r>
      <w:r>
        <w:rPr>
          <w:rFonts w:hint="eastAsia" w:ascii="仿宋_GB2312" w:hAnsi="仿宋_GB2312" w:eastAsia="仿宋_GB2312" w:cs="仿宋_GB2312"/>
          <w:kern w:val="0"/>
          <w:sz w:val="32"/>
          <w:szCs w:val="32"/>
          <w:lang w:val="en-US" w:eastAsia="zh-CN"/>
        </w:rPr>
        <w:t>市场监管及食品监管</w:t>
      </w:r>
      <w:r>
        <w:rPr>
          <w:rFonts w:hint="eastAsia" w:ascii="仿宋_GB2312" w:hAnsi="仿宋_GB2312" w:eastAsia="仿宋_GB2312" w:cs="仿宋_GB2312"/>
          <w:kern w:val="0"/>
          <w:sz w:val="32"/>
          <w:szCs w:val="32"/>
        </w:rPr>
        <w:t>项目资金</w:t>
      </w:r>
      <w:r>
        <w:rPr>
          <w:rFonts w:hint="eastAsia" w:ascii="仿宋_GB2312" w:hAnsi="仿宋_GB2312" w:eastAsia="仿宋_GB2312" w:cs="仿宋_GB2312"/>
          <w:kern w:val="0"/>
          <w:sz w:val="32"/>
          <w:szCs w:val="32"/>
          <w:lang w:val="en-US" w:eastAsia="zh-CN"/>
        </w:rPr>
        <w:t>。</w:t>
      </w:r>
    </w:p>
    <w:p>
      <w:pPr>
        <w:numPr>
          <w:ilvl w:val="0"/>
          <w:numId w:val="2"/>
        </w:numPr>
        <w:ind w:firstLine="640" w:firstLineChars="200"/>
        <w:rPr>
          <w:rFonts w:hint="default"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rPr>
        <w:t>政府采购执行率100%；</w:t>
      </w:r>
    </w:p>
    <w:p>
      <w:pPr>
        <w:numPr>
          <w:ilvl w:val="0"/>
          <w:numId w:val="2"/>
        </w:numPr>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kern w:val="0"/>
          <w:sz w:val="32"/>
          <w:szCs w:val="32"/>
          <w:lang w:val="en-US" w:eastAsia="zh-CN"/>
        </w:rPr>
        <w:t>在资金管理上，我局制定了一系列的财务管理制度。</w:t>
      </w:r>
    </w:p>
    <w:p>
      <w:pPr>
        <w:numPr>
          <w:ilvl w:val="0"/>
          <w:numId w:val="3"/>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存在的主要问题</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1、预算收支方面。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2、结转结余方面。预算管理方面，制度执行总体较为有效，仍需进一步强化；资金使用管理需进一步加强。</w:t>
      </w: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五、改进措施及建议</w:t>
      </w:r>
    </w:p>
    <w:p>
      <w:p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1、加强财务预算管理，严格执行财务管理制度，充分发挥监督作用，严格做好预算控制，精打细算执行资金管理。</w:t>
      </w:r>
    </w:p>
    <w:p>
      <w:p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2、严格财务支出审批。抓好审核和审批两个环节，在审核审批中严把支出关，切实维护财务</w:t>
      </w:r>
      <w:r>
        <w:rPr>
          <w:rFonts w:hint="eastAsia" w:ascii="仿宋" w:hAnsi="仿宋" w:eastAsia="仿宋" w:cs="仿宋"/>
          <w:b w:val="0"/>
          <w:bCs w:val="0"/>
          <w:sz w:val="32"/>
          <w:szCs w:val="32"/>
          <w:lang w:val="en-US" w:eastAsia="zh-CN"/>
        </w:rPr>
        <w:t>制度</w:t>
      </w:r>
      <w:r>
        <w:rPr>
          <w:rFonts w:hint="default" w:ascii="仿宋" w:hAnsi="仿宋" w:eastAsia="仿宋" w:cs="仿宋"/>
          <w:b w:val="0"/>
          <w:bCs w:val="0"/>
          <w:sz w:val="32"/>
          <w:szCs w:val="32"/>
          <w:lang w:val="en-US" w:eastAsia="zh-CN"/>
        </w:rPr>
        <w:t>的严肃性。</w:t>
      </w:r>
    </w:p>
    <w:p>
      <w:pPr>
        <w:ind w:firstLine="640" w:firstLineChars="200"/>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3、强化经费管理。重点加强公用经费管理，严格控制支出，降低行政运行成本。</w:t>
      </w:r>
    </w:p>
    <w:p>
      <w:pPr>
        <w:ind w:firstLine="640" w:firstLineChars="200"/>
        <w:rPr>
          <w:rFonts w:hint="default" w:ascii="仿宋" w:hAnsi="仿宋" w:eastAsia="仿宋" w:cs="仿宋"/>
          <w:b w:val="0"/>
          <w:bCs w:val="0"/>
          <w:sz w:val="32"/>
          <w:szCs w:val="32"/>
          <w:lang w:val="en-US" w:eastAsia="zh-CN"/>
        </w:rPr>
      </w:pPr>
    </w:p>
    <w:p>
      <w:pPr>
        <w:ind w:firstLine="640" w:firstLineChars="200"/>
        <w:jc w:val="righ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衡南县市场监督管理局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711FA"/>
    <w:multiLevelType w:val="singleLevel"/>
    <w:tmpl w:val="8C6711FA"/>
    <w:lvl w:ilvl="0" w:tentative="0">
      <w:start w:val="1"/>
      <w:numFmt w:val="chineseCounting"/>
      <w:suff w:val="nothing"/>
      <w:lvlText w:val="%1、"/>
      <w:lvlJc w:val="left"/>
      <w:rPr>
        <w:rFonts w:hint="eastAsia"/>
      </w:rPr>
    </w:lvl>
  </w:abstractNum>
  <w:abstractNum w:abstractNumId="1">
    <w:nsid w:val="5302D36B"/>
    <w:multiLevelType w:val="singleLevel"/>
    <w:tmpl w:val="5302D36B"/>
    <w:lvl w:ilvl="0" w:tentative="0">
      <w:start w:val="1"/>
      <w:numFmt w:val="decimal"/>
      <w:lvlText w:val="%1."/>
      <w:lvlJc w:val="left"/>
      <w:pPr>
        <w:tabs>
          <w:tab w:val="left" w:pos="312"/>
        </w:tabs>
      </w:pPr>
    </w:lvl>
  </w:abstractNum>
  <w:abstractNum w:abstractNumId="2">
    <w:nsid w:val="73E516C3"/>
    <w:multiLevelType w:val="singleLevel"/>
    <w:tmpl w:val="73E516C3"/>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F3623"/>
    <w:rsid w:val="084604D1"/>
    <w:rsid w:val="18AE2C91"/>
    <w:rsid w:val="1D594678"/>
    <w:rsid w:val="1ECE2A12"/>
    <w:rsid w:val="214C3644"/>
    <w:rsid w:val="25217F33"/>
    <w:rsid w:val="2D021B5F"/>
    <w:rsid w:val="2E4B53AF"/>
    <w:rsid w:val="3D3221CB"/>
    <w:rsid w:val="44E5172B"/>
    <w:rsid w:val="4C7B6DED"/>
    <w:rsid w:val="50E7338E"/>
    <w:rsid w:val="52195EFA"/>
    <w:rsid w:val="53F459EC"/>
    <w:rsid w:val="59F95B23"/>
    <w:rsid w:val="5D0F6CD8"/>
    <w:rsid w:val="66D9405A"/>
    <w:rsid w:val="69FD44AB"/>
    <w:rsid w:val="6C7D0661"/>
    <w:rsid w:val="71F60505"/>
    <w:rsid w:val="761F0668"/>
    <w:rsid w:val="7B73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1667</Words>
  <Characters>1860</Characters>
  <Lines>0</Lines>
  <Paragraphs>0</Paragraphs>
  <TotalTime>40</TotalTime>
  <ScaleCrop>false</ScaleCrop>
  <LinksUpToDate>false</LinksUpToDate>
  <CharactersWithSpaces>1873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2022-04-21T03:27:00Z</dcterms:created>
  <dc:creator>ASUS</dc:creator>
  <cp:lastModifiedBy>柿餅</cp:lastModifiedBy>
  <dcterms:modified xsi:type="dcterms:W3CDTF">2022-04-24T03:11:34Z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4A47910BBECC4733A859CB6AC63DDDB6</vt:lpwstr>
  </property>
</Properties>
</file>