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b w:val="0"/>
          <w:bCs w:val="0"/>
          <w:sz w:val="44"/>
          <w:szCs w:val="44"/>
          <w:lang w:val="en-US" w:eastAsia="zh-CN"/>
        </w:rPr>
      </w:pPr>
    </w:p>
    <w:p>
      <w:pPr>
        <w:jc w:val="center"/>
        <w:rPr>
          <w:rFonts w:hint="eastAsia" w:ascii="黑体" w:hAnsi="黑体" w:eastAsia="黑体" w:cs="黑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44"/>
          <w:szCs w:val="44"/>
          <w:lang w:val="en-US" w:eastAsia="zh-CN"/>
        </w:rPr>
        <w:t>衡南县委网信办</w:t>
      </w:r>
    </w:p>
    <w:p>
      <w:pPr>
        <w:jc w:val="center"/>
        <w:rPr>
          <w:rFonts w:hint="eastAsia" w:ascii="黑体" w:hAnsi="黑体" w:eastAsia="黑体" w:cs="黑体"/>
          <w:b w:val="0"/>
          <w:bCs w:val="0"/>
          <w:sz w:val="44"/>
          <w:szCs w:val="44"/>
        </w:rPr>
      </w:pPr>
      <w:r>
        <w:rPr>
          <w:rFonts w:hint="eastAsia" w:ascii="黑体" w:hAnsi="黑体" w:eastAsia="黑体" w:cs="黑体"/>
          <w:b w:val="0"/>
          <w:bCs w:val="0"/>
          <w:sz w:val="44"/>
          <w:szCs w:val="44"/>
          <w:lang w:val="en-US" w:eastAsia="zh-CN"/>
        </w:rPr>
        <w:t>2021年</w:t>
      </w:r>
      <w:r>
        <w:rPr>
          <w:rFonts w:hint="eastAsia" w:ascii="黑体" w:hAnsi="黑体" w:eastAsia="黑体" w:cs="黑体"/>
          <w:b w:val="0"/>
          <w:bCs w:val="0"/>
          <w:sz w:val="44"/>
          <w:szCs w:val="44"/>
        </w:rPr>
        <w:t>部门整体支出绩效</w:t>
      </w:r>
      <w:r>
        <w:rPr>
          <w:rFonts w:hint="eastAsia" w:ascii="黑体" w:hAnsi="黑体" w:eastAsia="黑体" w:cs="黑体"/>
          <w:b w:val="0"/>
          <w:bCs w:val="0"/>
          <w:sz w:val="44"/>
          <w:szCs w:val="44"/>
          <w:lang w:val="en-US" w:eastAsia="zh-CN"/>
        </w:rPr>
        <w:t>自评</w:t>
      </w:r>
      <w:r>
        <w:rPr>
          <w:rFonts w:hint="eastAsia" w:ascii="黑体" w:hAnsi="黑体" w:eastAsia="黑体" w:cs="黑体"/>
          <w:b w:val="0"/>
          <w:bCs w:val="0"/>
          <w:sz w:val="44"/>
          <w:szCs w:val="44"/>
        </w:rPr>
        <w:t>报告</w:t>
      </w:r>
    </w:p>
    <w:p>
      <w:pPr>
        <w:jc w:val="center"/>
        <w:rPr>
          <w:rFonts w:hint="eastAsia" w:ascii="黑体" w:hAnsi="黑体" w:eastAsia="黑体" w:cs="黑体"/>
          <w:b w:val="0"/>
          <w:bCs w:val="0"/>
          <w:sz w:val="44"/>
          <w:szCs w:val="4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kern w:val="32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为切实加强财政资金管理，进一步规范预算资金使用，提高财政资金使用效益，根据《中共湖南省委办公厅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kern w:val="0"/>
          <w:sz w:val="32"/>
          <w:szCs w:val="32"/>
        </w:rPr>
        <w:t>湖南省人民政府办公厅关于全面实施预算绩效管理的实施意见》（湘办发〔2019〕10号）、财政部《项目支出绩效评价管理办法》（财预〔2020〕10号）、</w:t>
      </w:r>
      <w:r>
        <w:rPr>
          <w:rFonts w:hint="eastAsia" w:ascii="仿宋" w:hAnsi="仿宋" w:eastAsia="仿宋" w:cs="仿宋"/>
          <w:sz w:val="32"/>
          <w:szCs w:val="32"/>
        </w:rPr>
        <w:t>《湖南省预算支出绩效评价管理办法》（湘财绩</w:t>
      </w:r>
      <w:r>
        <w:rPr>
          <w:rFonts w:hint="eastAsia" w:ascii="仿宋" w:hAnsi="仿宋" w:eastAsia="仿宋" w:cs="仿宋"/>
          <w:kern w:val="0"/>
          <w:sz w:val="32"/>
          <w:szCs w:val="32"/>
        </w:rPr>
        <w:t>〔2020〕7号</w:t>
      </w:r>
      <w:r>
        <w:rPr>
          <w:rFonts w:hint="eastAsia" w:ascii="仿宋" w:hAnsi="仿宋" w:eastAsia="仿宋" w:cs="仿宋"/>
          <w:sz w:val="32"/>
          <w:szCs w:val="32"/>
        </w:rPr>
        <w:t>）、《衡南县财政局关于开展202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</w:rPr>
        <w:t>年度财政资金绩效自评工作的通知》（清财绩【202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32</w:t>
      </w:r>
      <w:r>
        <w:rPr>
          <w:rFonts w:hint="eastAsia" w:ascii="仿宋" w:hAnsi="仿宋" w:eastAsia="仿宋" w:cs="仿宋"/>
          <w:sz w:val="32"/>
          <w:szCs w:val="32"/>
        </w:rPr>
        <w:t>号）等文件精神要求，我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办</w:t>
      </w:r>
      <w:r>
        <w:rPr>
          <w:rFonts w:hint="eastAsia" w:ascii="仿宋" w:hAnsi="仿宋" w:eastAsia="仿宋" w:cs="仿宋"/>
          <w:sz w:val="32"/>
          <w:szCs w:val="32"/>
        </w:rPr>
        <w:t>领导高度重视，召开了绩效评价工作专题会议，并对该项工作进行了安排部署，</w:t>
      </w:r>
      <w:r>
        <w:rPr>
          <w:rFonts w:hint="eastAsia" w:ascii="仿宋" w:hAnsi="仿宋" w:eastAsia="仿宋" w:cs="仿宋"/>
          <w:kern w:val="32"/>
          <w:sz w:val="32"/>
          <w:szCs w:val="32"/>
        </w:rPr>
        <w:t>现将我</w:t>
      </w:r>
      <w:r>
        <w:rPr>
          <w:rFonts w:hint="eastAsia" w:ascii="仿宋" w:hAnsi="仿宋" w:eastAsia="仿宋" w:cs="仿宋"/>
          <w:kern w:val="32"/>
          <w:sz w:val="32"/>
          <w:szCs w:val="32"/>
          <w:lang w:val="en-US" w:eastAsia="zh-CN"/>
        </w:rPr>
        <w:t>办</w:t>
      </w:r>
      <w:r>
        <w:rPr>
          <w:rFonts w:hint="eastAsia" w:ascii="仿宋" w:hAnsi="仿宋" w:eastAsia="仿宋" w:cs="仿宋"/>
          <w:kern w:val="32"/>
          <w:sz w:val="32"/>
          <w:szCs w:val="32"/>
        </w:rPr>
        <w:t>202</w:t>
      </w:r>
      <w:r>
        <w:rPr>
          <w:rFonts w:hint="eastAsia" w:ascii="仿宋" w:hAnsi="仿宋" w:eastAsia="仿宋" w:cs="仿宋"/>
          <w:kern w:val="32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kern w:val="32"/>
          <w:sz w:val="32"/>
          <w:szCs w:val="32"/>
        </w:rPr>
        <w:t>年度财政资金绩效自评工作汇报如下：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一、部门基本情况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（一）单位主要职能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因本办主要职能属涉密信息，不宜对外公开。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bidi w:val="0"/>
        <w:spacing w:line="600" w:lineRule="exact"/>
        <w:ind w:left="30" w:leftChars="0" w:firstLine="600" w:firstLineChars="0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机构设置情况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600" w:lineRule="exact"/>
        <w:ind w:firstLine="624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pacing w:val="-4"/>
          <w:sz w:val="32"/>
          <w:szCs w:val="32"/>
        </w:rPr>
        <w:t>我办于2019年4月成立，内设综合组（政策法规组、网络宣传评论组）、网络舆情应急和网络管理执法组（网络安全协调和信息化发展组、社会工作组）两个组室。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另辖衡南网络信息中心（股级公益一类事业单位）。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bidi w:val="0"/>
        <w:spacing w:line="600" w:lineRule="exact"/>
        <w:ind w:left="30" w:leftChars="0" w:firstLine="600" w:firstLineChars="0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人员编制情况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</w:rPr>
        <w:t>年本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办</w:t>
      </w:r>
      <w:r>
        <w:rPr>
          <w:rFonts w:hint="eastAsia" w:ascii="仿宋" w:hAnsi="仿宋" w:eastAsia="仿宋" w:cs="仿宋"/>
          <w:sz w:val="32"/>
          <w:szCs w:val="32"/>
        </w:rPr>
        <w:t>年未实有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在编在岗</w:t>
      </w:r>
      <w:r>
        <w:rPr>
          <w:rFonts w:hint="eastAsia" w:ascii="仿宋" w:hAnsi="仿宋" w:eastAsia="仿宋" w:cs="仿宋"/>
          <w:sz w:val="32"/>
          <w:szCs w:val="32"/>
        </w:rPr>
        <w:t>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员为</w:t>
      </w:r>
      <w:r>
        <w:rPr>
          <w:rFonts w:hint="eastAsia" w:ascii="仿宋" w:hAnsi="仿宋" w:eastAsia="仿宋" w:cs="仿宋"/>
          <w:sz w:val="32"/>
          <w:szCs w:val="32"/>
        </w:rPr>
        <w:t>8人。其中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在岗人员</w:t>
      </w:r>
      <w:r>
        <w:rPr>
          <w:rFonts w:hint="eastAsia" w:ascii="仿宋" w:hAnsi="仿宋" w:eastAsia="仿宋" w:cs="仿宋"/>
          <w:sz w:val="32"/>
          <w:szCs w:val="32"/>
        </w:rPr>
        <w:t>行政编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制</w:t>
      </w:r>
      <w:r>
        <w:rPr>
          <w:rFonts w:hint="eastAsia" w:ascii="仿宋" w:hAnsi="仿宋" w:eastAsia="仿宋" w:cs="仿宋"/>
          <w:sz w:val="32"/>
          <w:szCs w:val="32"/>
        </w:rPr>
        <w:t>3人，事业编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制</w:t>
      </w:r>
      <w:r>
        <w:rPr>
          <w:rFonts w:hint="eastAsia" w:ascii="仿宋" w:hAnsi="仿宋" w:eastAsia="仿宋" w:cs="仿宋"/>
          <w:sz w:val="32"/>
          <w:szCs w:val="32"/>
        </w:rPr>
        <w:t>5人。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二、部门整体支出管理及使用情况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一）部门预算收支情况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600" w:lineRule="exact"/>
        <w:ind w:firstLine="640"/>
        <w:textAlignment w:val="auto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</w:rPr>
        <w:t>年，本部门年初预算收入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141.37</w:t>
      </w:r>
      <w:r>
        <w:rPr>
          <w:rFonts w:hint="eastAsia" w:ascii="仿宋" w:hAnsi="仿宋" w:eastAsia="仿宋" w:cs="仿宋"/>
          <w:sz w:val="32"/>
          <w:szCs w:val="32"/>
        </w:rPr>
        <w:t>万元，其中：一般公共预算财政拨款收入年初预算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141.37</w:t>
      </w:r>
      <w:r>
        <w:rPr>
          <w:rFonts w:hint="eastAsia" w:ascii="仿宋" w:hAnsi="仿宋" w:eastAsia="仿宋" w:cs="仿宋"/>
          <w:sz w:val="32"/>
          <w:szCs w:val="32"/>
        </w:rPr>
        <w:t>万元。收入调整预算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数为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208.80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万元，其中一般公共预算财政拨款收入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 xml:space="preserve">202.80 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万元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,其它收入6万元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。</w:t>
      </w:r>
      <w:r>
        <w:rPr>
          <w:rFonts w:hint="eastAsia" w:ascii="仿宋" w:hAnsi="仿宋" w:eastAsia="仿宋" w:cs="迷你简黑体"/>
          <w:bCs/>
          <w:sz w:val="30"/>
          <w:szCs w:val="30"/>
        </w:rPr>
        <w:t>2021年支出决算数</w:t>
      </w:r>
      <w:r>
        <w:rPr>
          <w:rFonts w:hint="eastAsia" w:ascii="仿宋" w:hAnsi="仿宋" w:eastAsia="仿宋" w:cs="迷你简黑体"/>
          <w:bCs/>
          <w:sz w:val="30"/>
          <w:szCs w:val="30"/>
          <w:highlight w:val="none"/>
        </w:rPr>
        <w:t>为</w:t>
      </w:r>
      <w:r>
        <w:rPr>
          <w:rFonts w:hint="eastAsia" w:ascii="仿宋" w:hAnsi="仿宋" w:eastAsia="仿宋" w:cs="迷你简黑体"/>
          <w:bCs/>
          <w:sz w:val="30"/>
          <w:szCs w:val="30"/>
          <w:highlight w:val="none"/>
          <w:lang w:val="en-US" w:eastAsia="zh-CN"/>
        </w:rPr>
        <w:t>223.84</w:t>
      </w:r>
      <w:r>
        <w:rPr>
          <w:rFonts w:hint="eastAsia" w:ascii="仿宋" w:hAnsi="仿宋" w:eastAsia="仿宋" w:cs="迷你简黑体"/>
          <w:bCs/>
          <w:sz w:val="30"/>
          <w:szCs w:val="30"/>
          <w:highlight w:val="none"/>
        </w:rPr>
        <w:t>万元，其中基本支出</w:t>
      </w:r>
      <w:r>
        <w:rPr>
          <w:rFonts w:hint="eastAsia" w:ascii="仿宋" w:hAnsi="仿宋" w:eastAsia="仿宋" w:cs="迷你简黑体"/>
          <w:bCs/>
          <w:sz w:val="30"/>
          <w:szCs w:val="30"/>
          <w:highlight w:val="none"/>
          <w:lang w:val="en-US" w:eastAsia="zh-CN"/>
        </w:rPr>
        <w:t xml:space="preserve"> 66.65</w:t>
      </w:r>
      <w:r>
        <w:rPr>
          <w:rFonts w:hint="eastAsia" w:ascii="仿宋" w:hAnsi="仿宋" w:eastAsia="仿宋" w:cs="迷你简黑体"/>
          <w:bCs/>
          <w:sz w:val="30"/>
          <w:szCs w:val="30"/>
          <w:highlight w:val="none"/>
        </w:rPr>
        <w:t>万元，项目支出</w:t>
      </w:r>
      <w:r>
        <w:rPr>
          <w:rFonts w:hint="eastAsia" w:ascii="仿宋" w:hAnsi="仿宋" w:eastAsia="仿宋" w:cs="迷你简黑体"/>
          <w:bCs/>
          <w:sz w:val="30"/>
          <w:szCs w:val="30"/>
          <w:highlight w:val="none"/>
          <w:lang w:val="en-US" w:eastAsia="zh-CN"/>
        </w:rPr>
        <w:t>157.19</w:t>
      </w:r>
      <w:r>
        <w:rPr>
          <w:rFonts w:hint="eastAsia" w:ascii="仿宋" w:hAnsi="仿宋" w:eastAsia="仿宋" w:cs="迷你简黑体"/>
          <w:bCs/>
          <w:sz w:val="30"/>
          <w:szCs w:val="30"/>
          <w:highlight w:val="none"/>
        </w:rPr>
        <w:t>万元。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600" w:lineRule="exact"/>
        <w:ind w:firstLine="640"/>
        <w:textAlignment w:val="auto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</w:rPr>
        <w:t>年，本部门年初预算支出1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41.37</w:t>
      </w:r>
      <w:r>
        <w:rPr>
          <w:rFonts w:hint="eastAsia" w:ascii="仿宋" w:hAnsi="仿宋" w:eastAsia="仿宋" w:cs="仿宋"/>
          <w:sz w:val="32"/>
          <w:szCs w:val="32"/>
        </w:rPr>
        <w:t>万元，其中：基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本</w:t>
      </w:r>
      <w:r>
        <w:rPr>
          <w:rFonts w:hint="eastAsia" w:ascii="仿宋" w:hAnsi="仿宋" w:eastAsia="仿宋" w:cs="仿宋"/>
          <w:sz w:val="32"/>
          <w:szCs w:val="32"/>
          <w:highlight w:val="none"/>
          <w:lang w:val="zh-CN"/>
        </w:rPr>
        <w:t>支出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年初预算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65.72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万元，项目支出年初预算7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.65万元，年度执行中因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人员增加及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协调网络新闻媒体等工作需要，预算跟随调整，支出2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23.84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万元，其中基本支出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66.65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万元，项目支出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157.19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万元。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ind w:firstLine="643" w:firstLineChars="200"/>
        <w:textAlignment w:val="auto"/>
        <w:rPr>
          <w:rFonts w:hint="default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（二）支出分类情况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bidi w:val="0"/>
        <w:spacing w:line="600" w:lineRule="exact"/>
        <w:ind w:firstLine="643" w:firstLineChars="200"/>
        <w:textAlignment w:val="auto"/>
        <w:rPr>
          <w:rFonts w:hint="eastAsia" w:ascii="仿宋" w:hAnsi="仿宋" w:eastAsia="仿宋" w:cs="仿宋"/>
          <w:b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sz w:val="32"/>
          <w:szCs w:val="32"/>
          <w:lang w:val="en-US" w:eastAsia="zh-CN"/>
        </w:rPr>
        <w:t>1、</w:t>
      </w:r>
      <w:r>
        <w:rPr>
          <w:rFonts w:hint="eastAsia" w:ascii="仿宋" w:hAnsi="仿宋" w:eastAsia="仿宋" w:cs="仿宋"/>
          <w:b/>
          <w:sz w:val="32"/>
          <w:szCs w:val="32"/>
        </w:rPr>
        <w:t>基本支出</w:t>
      </w:r>
      <w:r>
        <w:rPr>
          <w:rFonts w:hint="eastAsia" w:ascii="仿宋" w:hAnsi="仿宋" w:eastAsia="仿宋" w:cs="仿宋"/>
          <w:b/>
          <w:sz w:val="32"/>
          <w:szCs w:val="32"/>
          <w:lang w:val="en-US" w:eastAsia="zh-CN"/>
        </w:rPr>
        <w:t>管理情况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</w:rPr>
        <w:t>年基本支出数为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66.65</w:t>
      </w:r>
      <w:r>
        <w:rPr>
          <w:rFonts w:hint="eastAsia" w:ascii="仿宋" w:hAnsi="仿宋" w:eastAsia="仿宋" w:cs="仿宋"/>
          <w:sz w:val="32"/>
          <w:szCs w:val="32"/>
        </w:rPr>
        <w:t>万元（含工资福利支出、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一般</w:t>
      </w:r>
      <w:r>
        <w:rPr>
          <w:rFonts w:hint="eastAsia" w:ascii="仿宋" w:hAnsi="仿宋" w:eastAsia="仿宋" w:cs="仿宋"/>
          <w:sz w:val="32"/>
          <w:szCs w:val="32"/>
        </w:rPr>
        <w:t>商品和服务支出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资本性支出等</w:t>
      </w:r>
      <w:r>
        <w:rPr>
          <w:rFonts w:hint="eastAsia" w:ascii="仿宋" w:hAnsi="仿宋" w:eastAsia="仿宋" w:cs="仿宋"/>
          <w:sz w:val="32"/>
          <w:szCs w:val="32"/>
        </w:rPr>
        <w:t>），是指为保障单位机构正常运转、完成日常工作任务而发生的各项支出，包括用于基本工资、津贴补贴等人员经费以及办公费、印刷费、办公设备购置等日常公用经费。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  <w:lang w:val="en-US" w:eastAsia="zh-CN"/>
        </w:rPr>
        <w:t>2、</w:t>
      </w: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</w:rPr>
        <w:t>“三公经费”的支出使用和管理情况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</w:rPr>
        <w:t>202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年度“三公”经费支出为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0.73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万元</w:t>
      </w:r>
      <w:bookmarkStart w:id="0" w:name="_GoBack"/>
      <w:r>
        <w:rPr>
          <w:rFonts w:hint="eastAsia" w:ascii="仿宋" w:hAnsi="仿宋" w:eastAsia="仿宋" w:cs="仿宋"/>
          <w:color w:val="auto"/>
          <w:sz w:val="32"/>
          <w:szCs w:val="32"/>
          <w:highlight w:val="yellow"/>
          <w:lang w:val="en-US" w:eastAsia="zh-CN"/>
        </w:rPr>
        <w:t>(因年末财政资金不足不足，尚有应列未列支出，待下年支付)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yellow"/>
        </w:rPr>
        <w:t>。</w:t>
      </w:r>
      <w:bookmarkEnd w:id="0"/>
      <w:r>
        <w:rPr>
          <w:rFonts w:hint="eastAsia" w:ascii="仿宋" w:hAnsi="仿宋" w:eastAsia="仿宋" w:cs="仿宋"/>
          <w:sz w:val="32"/>
          <w:szCs w:val="32"/>
          <w:highlight w:val="none"/>
        </w:rPr>
        <w:t>其中：因公出国出境费用本年未发生经费支出；公务接待费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0.73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万元；车辆运行维护费，因公车改革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后无车，因而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未发生经费支出。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bidi w:val="0"/>
        <w:spacing w:line="600" w:lineRule="exact"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3、专项支出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</w:rPr>
        <w:t>年项目支出为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157.19</w:t>
      </w:r>
      <w:r>
        <w:rPr>
          <w:rFonts w:hint="eastAsia" w:ascii="仿宋" w:hAnsi="仿宋" w:eastAsia="仿宋" w:cs="仿宋"/>
          <w:sz w:val="32"/>
          <w:szCs w:val="32"/>
        </w:rPr>
        <w:t>万元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主要用于：网络媒体和新媒体对接协调工作；重大突发事件舆情协调；县委县政府中心工作及重点工作网络宣传；协调中央、省、市重点新闻网站和龙头商业网站外宣报道；党政机关及企事业单位网站和全县关键信息基础设施网络安全检查、检测、培训等；国家网络安全宣传周活动；网络评论工作会议、培训、绩效管理和稿酬发放；5个政府购买服务岗位支出；每年两次高规格县委网信委全会会务费、资料印刷费等；舆情专报、周报、季报、年报和舆情交办函编辑出版费用等支出。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bidi w:val="0"/>
        <w:spacing w:line="600" w:lineRule="exact"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部门整体支出绩效情况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bidi w:val="0"/>
        <w:spacing w:line="600" w:lineRule="exact"/>
        <w:textAlignment w:val="auto"/>
        <w:rPr>
          <w:rFonts w:hint="default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年，在县委、县委网信委的坚强领导和市委网信办的精心指导下，县委网信办坚持以习近平新时代中国特色社会主义思想为指导，认真学习贯彻习近平总书记关于网络强国的重要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论述</w:t>
      </w:r>
      <w:r>
        <w:rPr>
          <w:rFonts w:hint="eastAsia" w:ascii="仿宋_GB2312" w:hAnsi="仿宋_GB2312" w:eastAsia="仿宋_GB2312" w:cs="仿宋_GB2312"/>
          <w:sz w:val="32"/>
          <w:szCs w:val="32"/>
        </w:rPr>
        <w:t>，围绕中心，服务大局，按照中央、省委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市委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和</w:t>
      </w:r>
      <w:r>
        <w:rPr>
          <w:rFonts w:hint="eastAsia" w:ascii="仿宋_GB2312" w:hAnsi="仿宋_GB2312" w:eastAsia="仿宋_GB2312" w:cs="仿宋_GB2312"/>
          <w:sz w:val="32"/>
          <w:szCs w:val="32"/>
        </w:rPr>
        <w:t>县委决策部署，围绕中心、服务大局，坚决守好网络意识形态“主阵地”，筑牢网络安全“防护网”，精准打好综合治网“组合拳”，坚持“内容管理、保障网络安全、统筹信息化发展”三驾马车并驾齐驱，各项工作取得了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较好成效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根据《202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年度整体支出绩效自评考核评价表》评分细则，我单位整体支出绩效自评分为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97.7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分，具体指标的自评分详见《202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年度整体支出绩效自评考核评价表》。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四、存在的主要问题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从预算收支情况看：年初预算与部门决算仍存在偏差，在预算执行过程中，由于各种客观原因存在指标之间调剂使用的现象，预算编制、下达需要更加科学、及时。同时，内部控制制度还待于进一步完善，行政运行成本控制方面还有一定压缩空间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年初预算的编制较为精细，按照费用支出的使用范围和内容，进行了基本支出、项目支出的严格区分，并按照预算的最末级明细进行预算支出管理，专款专用。但对于追加项目支出、上年结余结转的项目资金，没有进行预算分解，编制明细预算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五、改进措施和有关建议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1、抓好财务预算管理，严格执行财务管理制度，充分发挥监督作用。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2、严格财务支出审批。抓好审核和审批两个环节，在审核审批中严把支出关，切实维护财务纪律的严肃性。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3、强化经费管理。重点加强招待费和办公经费的管理，严格控制支出，降低行政运行成本。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bCs/>
          <w:color w:val="333333"/>
          <w:kern w:val="0"/>
          <w:sz w:val="32"/>
          <w:szCs w:val="32"/>
          <w:shd w:val="clear" w:color="auto" w:fill="FFFFFF"/>
          <w:lang w:bidi="ar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4.</w:t>
      </w:r>
      <w:r>
        <w:rPr>
          <w:rFonts w:hint="eastAsia" w:ascii="仿宋" w:hAnsi="仿宋" w:eastAsia="仿宋" w:cs="仿宋"/>
          <w:bCs/>
          <w:color w:val="333333"/>
          <w:kern w:val="0"/>
          <w:sz w:val="32"/>
          <w:szCs w:val="32"/>
          <w:shd w:val="clear" w:color="auto" w:fill="FFFFFF"/>
          <w:lang w:bidi="ar"/>
        </w:rPr>
        <w:t>完善管理制度，进一步加强资产管理。严格按照《固定资产管理办法》的规定加强固定资产管理，及时登记、更新台账，加强资产卡片管理，年终前对各类实物资产进行全面盘点和积极核销，确保账账、账卡、账实相符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jc w:val="right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衡南县委网信办</w:t>
      </w:r>
      <w:r>
        <w:rPr>
          <w:rFonts w:hint="eastAsia" w:ascii="仿宋" w:hAnsi="仿宋" w:eastAsia="仿宋" w:cs="仿宋"/>
          <w:sz w:val="32"/>
          <w:szCs w:val="32"/>
        </w:rPr>
        <w:t xml:space="preserve">               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jc w:val="right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22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</w:rPr>
        <w:t>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26</w:t>
      </w:r>
      <w:r>
        <w:rPr>
          <w:rFonts w:hint="eastAsia" w:ascii="仿宋" w:hAnsi="仿宋" w:eastAsia="仿宋" w:cs="仿宋"/>
          <w:sz w:val="32"/>
          <w:szCs w:val="32"/>
        </w:rPr>
        <w:t>日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ind w:firstLine="640" w:firstLineChars="200"/>
        <w:jc w:val="right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ind w:firstLine="600" w:firstLineChars="200"/>
        <w:textAlignment w:val="auto"/>
        <w:rPr>
          <w:rFonts w:ascii="仿宋" w:hAnsi="仿宋" w:eastAsia="仿宋" w:cs="仿宋"/>
          <w:sz w:val="30"/>
          <w:szCs w:val="30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600" w:lineRule="exact"/>
        <w:ind w:firstLine="600" w:firstLineChars="200"/>
        <w:textAlignment w:val="auto"/>
        <w:rPr>
          <w:rFonts w:ascii="仿宋" w:hAnsi="仿宋" w:eastAsia="仿宋" w:cs="仿宋"/>
          <w:sz w:val="30"/>
          <w:szCs w:val="30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ind w:left="1088" w:leftChars="304" w:hanging="450" w:hangingChars="150"/>
        <w:textAlignment w:val="auto"/>
        <w:rPr>
          <w:rFonts w:ascii="仿宋" w:hAnsi="仿宋" w:eastAsia="仿宋" w:cs="仿宋"/>
          <w:sz w:val="30"/>
          <w:szCs w:val="30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textAlignment w:val="auto"/>
        <w:rPr>
          <w:rFonts w:ascii="仿宋" w:hAnsi="仿宋" w:eastAsia="仿宋" w:cs="仿宋"/>
          <w:sz w:val="30"/>
          <w:szCs w:val="30"/>
        </w:rPr>
      </w:pPr>
    </w:p>
    <w:sectPr>
      <w:pgSz w:w="11906" w:h="16838"/>
      <w:pgMar w:top="1440" w:right="1797" w:bottom="1440" w:left="1797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迷你简黑体">
    <w:altName w:val="黑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DA4E9"/>
    <w:multiLevelType w:val="singleLevel"/>
    <w:tmpl w:val="035DA4E9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40E42D48"/>
    <w:multiLevelType w:val="singleLevel"/>
    <w:tmpl w:val="40E42D48"/>
    <w:lvl w:ilvl="0" w:tentative="0">
      <w:start w:val="2"/>
      <w:numFmt w:val="chineseCounting"/>
      <w:suff w:val="nothing"/>
      <w:lvlText w:val="（%1）"/>
      <w:lvlJc w:val="left"/>
      <w:pPr>
        <w:ind w:left="30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7285"/>
    <w:rsid w:val="00131FE3"/>
    <w:rsid w:val="001C0947"/>
    <w:rsid w:val="004725FD"/>
    <w:rsid w:val="00507285"/>
    <w:rsid w:val="00665097"/>
    <w:rsid w:val="007D5DD8"/>
    <w:rsid w:val="008D4096"/>
    <w:rsid w:val="00AA2EC1"/>
    <w:rsid w:val="00BA43ED"/>
    <w:rsid w:val="00DB2569"/>
    <w:rsid w:val="00EA42F5"/>
    <w:rsid w:val="00F20528"/>
    <w:rsid w:val="00FA3A89"/>
    <w:rsid w:val="00FF688D"/>
    <w:rsid w:val="02DC3EDD"/>
    <w:rsid w:val="0B670535"/>
    <w:rsid w:val="0F06475F"/>
    <w:rsid w:val="12517446"/>
    <w:rsid w:val="13E2186F"/>
    <w:rsid w:val="158E131F"/>
    <w:rsid w:val="16036706"/>
    <w:rsid w:val="161B2CBA"/>
    <w:rsid w:val="16873D30"/>
    <w:rsid w:val="207835DE"/>
    <w:rsid w:val="23E03CAA"/>
    <w:rsid w:val="26F97992"/>
    <w:rsid w:val="2D973D30"/>
    <w:rsid w:val="2EAA68FC"/>
    <w:rsid w:val="301878AE"/>
    <w:rsid w:val="33DF74F0"/>
    <w:rsid w:val="3E2275D8"/>
    <w:rsid w:val="40400BE8"/>
    <w:rsid w:val="40C07434"/>
    <w:rsid w:val="42E6172A"/>
    <w:rsid w:val="4394635A"/>
    <w:rsid w:val="4AAA348D"/>
    <w:rsid w:val="4AC56960"/>
    <w:rsid w:val="4D6E5C7B"/>
    <w:rsid w:val="4DBA25C8"/>
    <w:rsid w:val="4E387473"/>
    <w:rsid w:val="4F977460"/>
    <w:rsid w:val="4FBB403F"/>
    <w:rsid w:val="4FCE578F"/>
    <w:rsid w:val="50403247"/>
    <w:rsid w:val="552F2F0D"/>
    <w:rsid w:val="57E26786"/>
    <w:rsid w:val="5A4D5CBF"/>
    <w:rsid w:val="5B6519F8"/>
    <w:rsid w:val="5E9D5662"/>
    <w:rsid w:val="5F96704C"/>
    <w:rsid w:val="60A108C5"/>
    <w:rsid w:val="66E57FD3"/>
    <w:rsid w:val="6753027C"/>
    <w:rsid w:val="68E97B61"/>
    <w:rsid w:val="6AFA7472"/>
    <w:rsid w:val="6BA063DE"/>
    <w:rsid w:val="6C7C633F"/>
    <w:rsid w:val="70350E1A"/>
    <w:rsid w:val="73B861AD"/>
    <w:rsid w:val="750D65F0"/>
    <w:rsid w:val="76B953AE"/>
    <w:rsid w:val="77300CCA"/>
    <w:rsid w:val="7BE47BD1"/>
    <w:rsid w:val="7F5C0C91"/>
    <w:rsid w:val="7F70553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Char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1887</Words>
  <Characters>2028</Characters>
  <Lines>19</Lines>
  <Paragraphs>5</Paragraphs>
  <TotalTime>29</TotalTime>
  <ScaleCrop>false</ScaleCrop>
  <LinksUpToDate>false</LinksUpToDate>
  <CharactersWithSpaces>2065</CharactersWithSpaces>
  <Application>WPS Office_11.1.0.10009_F1E327BC-269C-435d-A152-05C5408002CA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2020-06-11T10:23:00Z</dcterms:created>
  <dc:creator>Administrator</dc:creator>
  <cp:lastModifiedBy>巧克力争上游</cp:lastModifiedBy>
  <cp:lastPrinted>2021-06-15T11:09:00Z</cp:lastPrinted>
  <dcterms:modified xsi:type="dcterms:W3CDTF">2022-04-28T16:00:07Z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2052-11.1.0.10009</vt:lpwstr>
  </property>
  <property fmtid="{D5CDD505-2E9C-101B-9397-08002B2CF9AE}" pid="3" name="ICV">
    <vt:lpwstr>42E87F8190F146BFB49D2296DCAC0260</vt:lpwstr>
  </property>
</Properties>
</file>