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衡南县文化旅游广电体育局</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2020年度部门决算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widowControl/>
        <w:jc w:val="left"/>
        <w:rPr>
          <w:rFonts w:ascii="黑体" w:eastAsia="黑体" w:cs="黑体"/>
          <w:color w:val="000000"/>
          <w:kern w:val="0"/>
          <w:sz w:val="56"/>
          <w:szCs w:val="56"/>
        </w:rPr>
      </w:pPr>
      <w:r>
        <w:rPr>
          <w:sz w:val="56"/>
          <w:szCs w:val="56"/>
        </w:rPr>
        <w:br w:type="page"/>
      </w: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第一部分衡南县文化旅游广电体育局单位概况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2020</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ind w:firstLine="700" w:firstLineChars="250"/>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2020</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九、国有资本经营预算财政拨款支出决算情况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十、关于机关运行经费支出说明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十一、一般性支出情况说明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十二、关于政府采购支出说明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十三、关于国有资产占用情况说明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十四、关于2020年度预算绩效情况说明</w:t>
      </w:r>
    </w:p>
    <w:p>
      <w:pPr>
        <w:autoSpaceDE w:val="0"/>
        <w:autoSpaceDN w:val="0"/>
        <w:adjustRightInd w:val="0"/>
        <w:spacing w:line="520" w:lineRule="exact"/>
        <w:ind w:firstLine="703" w:firstLineChars="250"/>
        <w:jc w:val="left"/>
        <w:rPr>
          <w:rFonts w:ascii="仿宋_GB2312" w:hAnsi="仿宋_GB2312" w:cs="仿宋_GB2312"/>
          <w:color w:val="000000"/>
          <w:kern w:val="0"/>
          <w:sz w:val="28"/>
          <w:szCs w:val="28"/>
        </w:rPr>
      </w:pPr>
      <w:r>
        <w:rPr>
          <w:rFonts w:ascii="黑体" w:hAnsi="黑体" w:eastAsia="黑体" w:cs="黑体"/>
          <w:b/>
          <w:color w:val="000000"/>
          <w:kern w:val="0"/>
          <w:sz w:val="28"/>
          <w:szCs w:val="28"/>
        </w:rPr>
        <w:t>第四部分名词解释</w:t>
      </w:r>
    </w:p>
    <w:p>
      <w:pPr>
        <w:autoSpaceDE w:val="0"/>
        <w:autoSpaceDN w:val="0"/>
        <w:adjustRightInd w:val="0"/>
        <w:spacing w:line="520" w:lineRule="exact"/>
        <w:ind w:firstLine="703" w:firstLineChars="250"/>
        <w:jc w:val="left"/>
        <w:rPr>
          <w:rFonts w:ascii="仿宋_GB2312" w:hAnsi="仿宋_GB2312" w:cs="仿宋_GB2312"/>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rPr>
          <w:sz w:val="72"/>
          <w:szCs w:val="72"/>
        </w:rPr>
      </w:pPr>
    </w:p>
    <w:p>
      <w:pPr>
        <w:rPr>
          <w:sz w:val="72"/>
          <w:szCs w:val="72"/>
        </w:rPr>
      </w:pPr>
    </w:p>
    <w:p>
      <w:pPr>
        <w:rPr>
          <w:sz w:val="72"/>
          <w:szCs w:val="72"/>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第一部分</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衡南县文化旅游广电体育局</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widowControl/>
        <w:jc w:val="left"/>
        <w:rPr>
          <w:rFonts w:cs="方正仿宋_GBK" w:asciiTheme="majorEastAsia" w:hAnsiTheme="majorEastAsia" w:eastAsiaTheme="majorEastAsia"/>
          <w:b/>
          <w:kern w:val="0"/>
          <w:sz w:val="34"/>
          <w:szCs w:val="34"/>
        </w:rPr>
      </w:pPr>
      <w:r>
        <w:rPr>
          <w:rFonts w:cs="方正黑体_GBK" w:asciiTheme="majorEastAsia" w:hAnsiTheme="majorEastAsia" w:eastAsiaTheme="majorEastAsia"/>
          <w:b/>
          <w:sz w:val="34"/>
          <w:szCs w:val="34"/>
        </w:rPr>
        <w:t>一、部门职责</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１．贯彻执行党和国家有关文化（文物）、旅游、广播电视、体育工作的方针、政策和法律、法规，拟订全县文化（文物）、旅游、广播电视、体育事业发展战略、规划并组织实施；推进文化旅游广电体育领域体制机制改革。</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２．管理全县性重大文体活动，指导重点文体设施建设，统筹规划文化产业、旅游、广电、体育产业，组织实施文化、旅游、广电、体育资源普查、挖掘、保护和利用工作，促进文化、旅游、广电、体育产业发展。</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３．指导文化、旅游、广电、体育市场发展，对文化（文物）、旅游、广电、体育、新闻出版（版权）市场经营进行行业监管，推进行业信用体系建设，依法规范文化、文物、旅游、广电、体育市场。</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４．指导、推进文化（文物）、旅游、广电、体育科技创新发展，推进文化、旅游、广电、体育行业信息化、标准化建设。</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５．推进文化（文物）、旅游、广电、体育领域的公共服务，会同有关部门统筹安排文旅广体相关事业经费；规划、指导全县文化旅游广电体育产品生产；组织、指导、协调全县重点公共文化、旅游、广电、体育设施建设和基层公共文化、体育设施建设；负责指导公共图书馆、文化馆（站）、美术馆、博物馆、纪念馆、体育场（馆）等基层公共文化体育事业建设。</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６．管理全县文化（文物）、旅游、体育、艺术事业；指导、协调艺术创作与艺术生产；扶持地方性、代表性、示范性、实验性文化艺术品种和体育项目，推动各门类艺术的发展；管理、指导艺术教育事业；指导、组织、协调全县性重大文化和体育活动。负责监测全县文化、旅游、广电、体育经济运行和全县文化、旅游、广电、体育统计及行业信息发布。</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７．指导、监督管理全县文化市场综合执法和文物、旅游、体育、新闻出版（版权）行政执法工作；负责对从事演艺活动的民办机构和网络游戏服务进行监管（不含网络游戏的网上出版前置审批）。</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８．统筹规划指导全县群众体育发展及活动开展；负责推行全民健身计划，监督实施国家体育锻炼标准；推动国民体质监测和社会体育指导工作队伍制度建设。</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9. 组织管理体育训练、体育竞赛、运动队伍建设，协调运动员社会保障工作；统筹规划青少年体育发展，加强体育后备人才建设，指导和推进青少年体育工作。</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10. 指导和监督全县广播电视事业，实施准入和退出管理；拟订发展规划；负责对广播电视播出机构所播出的节目内容、质量及传输、监测、播出、覆盖等进行监管；指导、协调电信网、广播电视网、互联网融合中的相关工作。</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11. 协调和指导全县文物的保护、管理和利用工作。履行文物行政执法督察职责，依法组织协调重大文物违法案件的查处，协同有关部门查处文物犯罪的重大案件；负责文化遗产申报及保护、管理的监督工作，协同有关部门负责历史文化名城（镇、村）保护和监督管理工作。</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12. 管理全县非物质文化遗产保护工作，拟订非物质文化遗产保护规划并组织实施；负责优秀民族文化的传承普及工作。</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13. 拟订全县文旅广体系统人才教育、培训规划并组织实施；负责相关系列专业技术职称申报工作。</w:t>
      </w:r>
    </w:p>
    <w:p>
      <w:pPr>
        <w:widowControl/>
        <w:autoSpaceDE w:val="0"/>
        <w:spacing w:line="600" w:lineRule="exac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14. 承办县委、县政府交办的其他事项。</w:t>
      </w:r>
    </w:p>
    <w:p>
      <w:pPr>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（二）机构设置</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局机关设办公室、政策法规与组织人事股、行政审批服务股与市场监管股、公共文化艺术服务股、旅游与文化遗产管理股、广播电视与科技规划发展股、群众体育竞训股（挂体育总会秘书处牌子）、审计与财务股共8个股室，二级机构有文化馆、图书馆、文化市场综合执法大队、文化遗产事务中心、全民健身服务中心、业余体校等六个。</w:t>
      </w:r>
    </w:p>
    <w:p>
      <w:pPr>
        <w:pStyle w:val="14"/>
        <w:spacing w:before="0" w:beforeAutospacing="0" w:afterAutospacing="0" w:line="600" w:lineRule="exact"/>
        <w:jc w:val="both"/>
        <w:rPr>
          <w:rFonts w:hint="default" w:cs="方正黑体_GBK" w:asciiTheme="majorEastAsia" w:hAnsiTheme="majorEastAsia" w:eastAsiaTheme="majorEastAsia"/>
          <w:b/>
          <w:sz w:val="34"/>
          <w:szCs w:val="34"/>
        </w:rPr>
      </w:pPr>
      <w:r>
        <w:rPr>
          <w:rFonts w:cs="方正黑体_GBK" w:asciiTheme="majorEastAsia" w:hAnsiTheme="majorEastAsia" w:eastAsiaTheme="majorEastAsia"/>
          <w:b/>
          <w:sz w:val="34"/>
          <w:szCs w:val="34"/>
        </w:rPr>
        <w:t>二、机构设置及决算单位构成</w:t>
      </w:r>
    </w:p>
    <w:p>
      <w:pPr>
        <w:widowControl/>
        <w:autoSpaceDE w:val="0"/>
        <w:spacing w:line="600" w:lineRule="exact"/>
        <w:ind w:firstLine="340" w:firstLineChars="1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内设机构设置。衡南县文化旅游广电体育局内设机构包括：办公室、政策法规与组织人事股、行政审批服务股与市场监管股、公共文化艺术服务股、旅游与文化遗产管理股、广播电视与科技规划发展股、群众体育竞训股（挂体育总会秘书处牌子）、审计与财务股共8个股室</w:t>
      </w:r>
    </w:p>
    <w:p>
      <w:pPr>
        <w:widowControl/>
        <w:autoSpaceDE w:val="0"/>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（二）决算单位构成。衡南县文化旅游广电体育局</w:t>
      </w:r>
      <w:r>
        <w:rPr>
          <w:rFonts w:cs="方正仿宋_GBK" w:asciiTheme="majorEastAsia" w:hAnsiTheme="majorEastAsia" w:eastAsiaTheme="majorEastAsia"/>
          <w:kern w:val="0"/>
          <w:sz w:val="34"/>
          <w:szCs w:val="34"/>
        </w:rPr>
        <w:t>20</w:t>
      </w:r>
      <w:r>
        <w:rPr>
          <w:rFonts w:hint="eastAsia" w:cs="方正仿宋_GBK" w:asciiTheme="majorEastAsia" w:hAnsiTheme="majorEastAsia" w:eastAsiaTheme="majorEastAsia"/>
          <w:kern w:val="0"/>
          <w:sz w:val="34"/>
          <w:szCs w:val="34"/>
        </w:rPr>
        <w:t>20年部门决算汇总公开单位构成包括：衡南县文化旅游广电体育局本级以及非独立核算的事业单位23个乡镇（片区、办事处）综合文化站。</w:t>
      </w:r>
    </w:p>
    <w:p>
      <w:pPr>
        <w:ind w:firstLine="683" w:firstLineChars="200"/>
        <w:rPr>
          <w:rFonts w:cs="方正仿宋_GBK" w:asciiTheme="majorEastAsia" w:hAnsiTheme="majorEastAsia" w:eastAsiaTheme="majorEastAsia"/>
          <w:b/>
          <w:kern w:val="0"/>
          <w:sz w:val="34"/>
          <w:szCs w:val="34"/>
        </w:rPr>
      </w:pPr>
    </w:p>
    <w:p>
      <w:pPr>
        <w:widowControl/>
        <w:autoSpaceDE w:val="0"/>
        <w:spacing w:line="600" w:lineRule="exact"/>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widowControl/>
        <w:jc w:val="left"/>
        <w:rPr>
          <w:rFonts w:ascii="方正仿宋_GBK" w:hAnsi="方正仿宋_GBK" w:eastAsia="方正仿宋_GBK" w:cs="方正仿宋_GBK"/>
          <w:b/>
          <w:kern w:val="0"/>
          <w:sz w:val="34"/>
          <w:szCs w:val="34"/>
        </w:rPr>
      </w:pPr>
      <w:r>
        <w:rPr>
          <w:rFonts w:ascii="方正仿宋_GBK" w:hAnsi="方正仿宋_GBK" w:eastAsia="方正仿宋_GBK" w:cs="方正仿宋_GBK"/>
          <w:b/>
          <w:kern w:val="0"/>
          <w:sz w:val="34"/>
          <w:szCs w:val="34"/>
        </w:rPr>
        <w:br w:type="page"/>
      </w: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第二部分</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2020年部门决算表</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（部门决算公示表附后）</w:t>
      </w:r>
    </w:p>
    <w:p>
      <w:pPr>
        <w:jc w:val="center"/>
        <w:rPr>
          <w:sz w:val="72"/>
          <w:szCs w:val="72"/>
        </w:rPr>
      </w:pPr>
    </w:p>
    <w:p>
      <w:pPr>
        <w:jc w:val="left"/>
        <w:rPr>
          <w:sz w:val="32"/>
          <w:szCs w:val="32"/>
        </w:rPr>
      </w:pPr>
    </w:p>
    <w:p>
      <w:pPr>
        <w:jc w:val="left"/>
        <w:rPr>
          <w:rFonts w:asciiTheme="minorEastAsia" w:hAnsiTheme="minorEastAsia"/>
          <w:sz w:val="32"/>
          <w:szCs w:val="32"/>
        </w:rPr>
      </w:pPr>
    </w:p>
    <w:p>
      <w:pPr>
        <w:jc w:val="left"/>
        <w:rPr>
          <w:rFonts w:asciiTheme="minorEastAsia" w:hAnsiTheme="minorEastAsia"/>
          <w:sz w:val="32"/>
          <w:szCs w:val="32"/>
        </w:rPr>
      </w:pPr>
    </w:p>
    <w:p>
      <w:pPr>
        <w:jc w:val="left"/>
        <w:rPr>
          <w:rFonts w:asciiTheme="minorEastAsia" w:hAnsiTheme="minorEastAsia"/>
          <w:sz w:val="32"/>
          <w:szCs w:val="32"/>
        </w:rPr>
      </w:pPr>
    </w:p>
    <w:p>
      <w:pPr>
        <w:jc w:val="left"/>
        <w:rPr>
          <w:rFonts w:asciiTheme="minorEastAsia" w:hAnsiTheme="minorEastAsia"/>
          <w:sz w:val="32"/>
          <w:szCs w:val="32"/>
        </w:rPr>
      </w:pPr>
    </w:p>
    <w:p>
      <w:pPr>
        <w:jc w:val="left"/>
        <w:rPr>
          <w:rFonts w:asciiTheme="minorEastAsia" w:hAnsiTheme="minorEastAsia"/>
          <w:sz w:val="32"/>
          <w:szCs w:val="32"/>
        </w:rPr>
        <w:sectPr>
          <w:pgSz w:w="11906" w:h="16838"/>
          <w:pgMar w:top="1440" w:right="1700" w:bottom="1440" w:left="1800" w:header="851" w:footer="992" w:gutter="0"/>
          <w:cols w:space="425" w:num="1"/>
          <w:docGrid w:type="lines" w:linePitch="312" w:charSpace="0"/>
        </w:sect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第三部分</w:t>
      </w:r>
    </w:p>
    <w:p>
      <w:pPr>
        <w:widowControl/>
        <w:jc w:val="center"/>
        <w:rPr>
          <w:rFonts w:ascii="方正小标宋_GBK" w:hAnsi="方正小标宋_GBK" w:eastAsia="方正小标宋_GBK" w:cs="方正小标宋_GBK"/>
          <w:kern w:val="0"/>
          <w:sz w:val="52"/>
          <w:szCs w:val="52"/>
        </w:rPr>
      </w:pPr>
      <w:r>
        <w:rPr>
          <w:rFonts w:ascii="方正小标宋_GBK" w:hAnsi="方正小标宋_GBK" w:eastAsia="方正小标宋_GBK" w:cs="方正小标宋_GBK"/>
          <w:kern w:val="0"/>
          <w:sz w:val="52"/>
          <w:szCs w:val="52"/>
        </w:rPr>
        <w:t>2020</w:t>
      </w:r>
      <w:r>
        <w:rPr>
          <w:rFonts w:hint="eastAsia" w:ascii="方正小标宋_GBK" w:hAnsi="方正小标宋_GBK" w:eastAsia="方正小标宋_GBK" w:cs="方正小标宋_GBK"/>
          <w:kern w:val="0"/>
          <w:sz w:val="52"/>
          <w:szCs w:val="52"/>
        </w:rPr>
        <w:t>年度部门决算情况说明</w:t>
      </w:r>
    </w:p>
    <w:p>
      <w:pPr>
        <w:widowControl/>
        <w:jc w:val="left"/>
        <w:rPr>
          <w:rFonts w:ascii="黑体" w:eastAsia="黑体" w:cs="黑体"/>
          <w:color w:val="000000"/>
          <w:kern w:val="0"/>
          <w:sz w:val="70"/>
          <w:szCs w:val="70"/>
        </w:rPr>
      </w:pPr>
      <w:r>
        <w:rPr>
          <w:sz w:val="70"/>
          <w:szCs w:val="70"/>
        </w:rPr>
        <w:br w:type="page"/>
      </w:r>
    </w:p>
    <w:p>
      <w:pPr>
        <w:pStyle w:val="14"/>
        <w:spacing w:before="0" w:beforeAutospacing="0" w:afterAutospacing="0" w:line="600" w:lineRule="exact"/>
        <w:jc w:val="center"/>
        <w:rPr>
          <w:rFonts w:hint="default" w:ascii="方正小标宋_GBK" w:hAnsi="方正小标宋_GBK" w:eastAsia="方正小标宋_GBK" w:cs="方正小标宋_GBK"/>
          <w:sz w:val="40"/>
          <w:szCs w:val="40"/>
        </w:rPr>
      </w:pPr>
    </w:p>
    <w:p>
      <w:pPr>
        <w:pStyle w:val="14"/>
        <w:spacing w:before="0" w:beforeAutospacing="0" w:afterAutospacing="0" w:line="600" w:lineRule="exact"/>
        <w:jc w:val="center"/>
        <w:rPr>
          <w:rFonts w:hint="default" w:ascii="方正小标宋_GBK" w:hAnsi="方正小标宋_GBK" w:eastAsia="方正小标宋_GBK" w:cs="方正小标宋_GBK"/>
          <w:sz w:val="40"/>
          <w:szCs w:val="40"/>
        </w:rPr>
      </w:pPr>
      <w:r>
        <w:rPr>
          <w:rFonts w:ascii="方正小标宋_GBK" w:hAnsi="方正小标宋_GBK" w:eastAsia="方正小标宋_GBK" w:cs="方正小标宋_GBK"/>
          <w:sz w:val="40"/>
          <w:szCs w:val="40"/>
        </w:rPr>
        <w:t>第三部分  2020年度部门决算情况说明</w:t>
      </w:r>
    </w:p>
    <w:p>
      <w:pPr>
        <w:pStyle w:val="10"/>
        <w:rPr>
          <w:rFonts w:asciiTheme="minorEastAsia" w:hAnsiTheme="minorEastAsia" w:eastAsiaTheme="minorEastAsia"/>
          <w:sz w:val="32"/>
          <w:szCs w:val="32"/>
        </w:rPr>
      </w:pP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一、收入支出决算总体情况说明</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 年度收、支总计2019.4万元。与2019年相比，增加17.35万元，增长（减少）0.87%，主要是因为本年财政拨款收入较上年增加17.35万元。</w:t>
      </w:r>
    </w:p>
    <w:p>
      <w:pPr>
        <w:widowControl/>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2020年度支出总计2019.4万元，较上年决算数增加17.35万元，增加0.87%，主要原因是一般公共服务支出较上年增加239万元、文化旅游体育与传媒支出较上年增加163.92万元、卫生健康支出增加18.5万元、住房保障支出减少8.01万元、社会保障和就业支出较上年减少21.94万元、抗疫特别国债支出较上年增加10万元、其他支出较上年减少354.13万元</w:t>
      </w:r>
      <w:r>
        <w:rPr>
          <w:rFonts w:hint="eastAsia" w:cs="方正仿宋_GBK" w:asciiTheme="majorEastAsia" w:hAnsiTheme="majorEastAsia" w:eastAsiaTheme="majorEastAsia"/>
          <w:b/>
          <w:kern w:val="0"/>
          <w:sz w:val="34"/>
          <w:szCs w:val="34"/>
        </w:rPr>
        <w:t>。</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二、收入决算情况说明</w:t>
      </w:r>
    </w:p>
    <w:p>
      <w:pPr>
        <w:widowControl/>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2020年度本年收入合计2019.4万元，较上年决算数增加17.35万元，增长0.87%。本年收入决算各项构成及占比情况如下：</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（一）财政拨款收入1809.4万元，占本年收入合计的89.6%。</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（二）政府性基金预算收入财政拨款收入200万元，占本年收入合计的10.4%。</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三、支出决算情况说明</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度本年支出合计2019.4万元，较上年决算数增加17.35万元，增长0.87%。本年支出按支出性质和经济分类：基本支出968.28万元，占比47.95%；项目支出1051.12万元，占比52.05%。本年支出按功能分类各项构成及占比情况如下：</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b/>
          <w:kern w:val="0"/>
          <w:sz w:val="34"/>
          <w:szCs w:val="34"/>
        </w:rPr>
        <w:t>（</w:t>
      </w:r>
      <w:r>
        <w:rPr>
          <w:rFonts w:hint="eastAsia" w:cs="方正仿宋_GBK" w:asciiTheme="majorEastAsia" w:hAnsiTheme="majorEastAsia" w:eastAsiaTheme="majorEastAsia"/>
          <w:kern w:val="0"/>
          <w:sz w:val="34"/>
          <w:szCs w:val="34"/>
        </w:rPr>
        <w:t>一）一般公共服务支出2万元，占本年支出合计的0.1%。</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（二）文化旅游体育与传媒支出1226.47万元，占本年支出合计的61.26%。</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（三）社会保障和就业支出166.59万元，占本年支出合计的8.32%。</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（四）卫生健康支出14.5万元，占本年支出合计的0.72%。</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（五）城乡社区支出30万元，占本年支出合计的1.5%。</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（六）住房保障支出8.35万元，占本年支出合计的0.42%。</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（七）其他支出554.13万元，占本年支出合计的27.68%。</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四、财政拨款收入支出决算总体情况说明</w:t>
      </w:r>
    </w:p>
    <w:p>
      <w:pPr>
        <w:widowControl/>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2020年度财政拨款收入总计、支出总计均为2019.4万元，较上年决算数2002.05万元增加17.35万元，增长0.87%，主要原因是根据工作任务，县财政厅年中追加了业务工作经费。</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五、一般公共预算财政拨款支出决算情况说明</w:t>
      </w:r>
    </w:p>
    <w:p>
      <w:pPr>
        <w:widowControl/>
        <w:spacing w:line="600" w:lineRule="exact"/>
        <w:ind w:firstLine="680" w:firstLineChars="200"/>
        <w:rPr>
          <w:rFonts w:cs="方正楷体_GBK" w:asciiTheme="majorEastAsia" w:hAnsiTheme="majorEastAsia" w:eastAsiaTheme="majorEastAsia"/>
          <w:kern w:val="0"/>
          <w:sz w:val="34"/>
          <w:szCs w:val="34"/>
        </w:rPr>
      </w:pPr>
      <w:r>
        <w:rPr>
          <w:rFonts w:hint="eastAsia" w:cs="方正楷体_GBK" w:asciiTheme="majorEastAsia" w:hAnsiTheme="majorEastAsia" w:eastAsiaTheme="majorEastAsia"/>
          <w:kern w:val="0"/>
          <w:sz w:val="34"/>
          <w:szCs w:val="34"/>
        </w:rPr>
        <w:t>（一）财政拨款支出决算总体情况</w:t>
      </w:r>
    </w:p>
    <w:p>
      <w:pPr>
        <w:widowControl/>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2020年度财政拨款支出总计2019.4万元，其中财政拨款收入本年支出合计2019.4万元，较上年决算数增加17.35万元，增长10.73%，主要原因是根据工作任务，县财政厅年中追加了项目经费。</w:t>
      </w:r>
    </w:p>
    <w:p>
      <w:pPr>
        <w:pStyle w:val="10"/>
        <w:rPr>
          <w:rFonts w:cs="方正楷体_GBK" w:asciiTheme="majorEastAsia" w:hAnsiTheme="majorEastAsia" w:eastAsiaTheme="majorEastAsia"/>
          <w:color w:val="auto"/>
          <w:sz w:val="34"/>
          <w:szCs w:val="34"/>
        </w:rPr>
      </w:pPr>
      <w:r>
        <w:rPr>
          <w:rFonts w:hint="eastAsia" w:cs="方正楷体_GBK" w:asciiTheme="majorEastAsia" w:hAnsiTheme="majorEastAsia" w:eastAsiaTheme="majorEastAsia"/>
          <w:color w:val="auto"/>
          <w:sz w:val="34"/>
          <w:szCs w:val="34"/>
        </w:rPr>
        <w:t>（二）财政拨款支出决算结构情况</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度财政拨款支出合计2019.4万元，为一般公共预算财政拨款支出和政府性基金预算财政拨款支出。一般公共预算财政拨款支出，其中基本支出968.28万元，占比47.95%；项目支出1051.12万元，占比52.05%。政府性基金预算财政拨款支出，其中应急物资保障支出10万元，占比4.76%；其他支出200万元，占比95.24%；按照功能分类各项构成及占比情况如下：</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1.一般公共服务支出（类）241万元，占财政拨款本年支出合计的11.94%。</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2.文化旅游体育与传媒支出1390.4万元，占财政拨款本年支出合计的68.85%。</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3.社会保障和就业支出（类）144.66万元，占财政拨款本年支出合计的7.16%。</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4.卫生健康支出（类）33万元，占财政拨款本年支出合计的1.63%。</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5.住房保障支出（类）0.34万元，占财政拨款本年支出合计的0.02%。</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6.其他支出（类）200万元，占财政拨款本年支出合计的9.9%。</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7. 抗疫特别国债支出10万元，占财政拨款本年支出合计的0.5%。</w:t>
      </w:r>
    </w:p>
    <w:p>
      <w:pPr>
        <w:widowControl/>
        <w:spacing w:line="600" w:lineRule="exact"/>
        <w:ind w:firstLine="680" w:firstLineChars="200"/>
        <w:rPr>
          <w:rFonts w:cs="方正楷体_GBK" w:asciiTheme="majorEastAsia" w:hAnsiTheme="majorEastAsia" w:eastAsiaTheme="majorEastAsia"/>
          <w:kern w:val="0"/>
          <w:sz w:val="34"/>
          <w:szCs w:val="34"/>
        </w:rPr>
      </w:pPr>
      <w:r>
        <w:rPr>
          <w:rFonts w:hint="eastAsia" w:cs="方正楷体_GBK" w:asciiTheme="majorEastAsia" w:hAnsiTheme="majorEastAsia" w:eastAsiaTheme="majorEastAsia"/>
          <w:kern w:val="0"/>
          <w:sz w:val="34"/>
          <w:szCs w:val="34"/>
        </w:rPr>
        <w:t>（三）财政拨款支出决算具体情况</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2020年度财政拨款支出年初预算数1215.84万元，支出决算数2019.4万元，预决算差额原因主要是财政根据政策及实际工作需要在年中追加了部分工作经费。2020年度一般公共预算财政拨款支出具体情况如下：</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1.一般公共服务支出（类）支出决算数241万元，年初无预算，主要为社会足球场建设资金及2019年省农耕健身大赛活动经费。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2.文化旅游体育与传媒支出（类）年初预算数1215.84万元，决算数1390.4万元，完成年初预算的114.36%。其中：</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文化旅游体育与传媒支出（类）——文化和旅游（款）——行政运行（项）支出决算数777.68万元，年初预算数858.27万元，完成年初预算90.61%。</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文化旅游体育与传媒支出（类）——文化和旅游（款）——一般行政管理事务（项）支出决算数12.6万元，年初预算数18万元，完成年初预算70%。</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文化旅游体育与传媒支出（类）——文化和旅游（款）——文化活动（项）支出决算数30万元，该科目与年初预算数持平。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文化旅游体育与传媒支出（类）——文化和旅游（款）——群众文化（项）支出决算数4万元，年初无预算数，主要为财政年中追加经费。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文化旅游体育与传媒支出（类）——文化和旅游（款）——旅游宣传（项）支出决算数150万元，年初无预算数，主要为财政年中追加经费。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文化旅游体育与传媒支出（类）——文化和旅游（款）——其他文化和旅游支出（项）支出决算数230.5万元，年初预算数56万元，财政年中追加业务经费174.5万元。完成年初预算411.6%。</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文化旅游体育与传媒支出（类）——体育（款）——群众体育（项）支出决算数30万元，该科目与年初预算数持平。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文化旅游体育与传媒支出（类）——其他文化体育与传媒（款）——其他文化体育与传媒（项）支出决算数155.62万元，年初无预算，主要为财政年中追加经费。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3.社会保障和就业支出（类）年初预算数183.41万元，支出决算数144.66万元，完成年初预算的78.87%，其中：</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（1）社会保障和就业支出（类）——机关事业单位基本养老保险缴费支出（项）决算数141.96万元，年初预算数178.5万元，完成年初预算的79.53%。</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（2）社会保障和就业支出（类）——财政对工伤、生育保险基金的补助支出（项）决算数2.7万元，年初预算数2.7万元，与年初预算数持平。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4.卫生健康支出（类）2020年度支出33万元，年初预算数33万元，与年初预算数持平。。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（1）行政事业单位医疗（款）——行政单位医疗（项）支出决算数8.47万元，年初预算数8.47万元，与年初预算数持平。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（2）行政事业单位医疗（款）——事业单位医疗（项）支出决算数24.53万元，与年初预算数持平。</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5.住房保障支出（类）——住房公积金（项）决算数0.34万元，年初预算数11.16万元，完成年初预算的3.05%。</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6.其他支出（类）——彩票公益金安排的支出（款）——用于社会福利的彩票公益金支出（项）年初无预算数，2020年度决算数200万元，根据工作实际财政年中追加业务工作经费。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7.抗疫特别国债安排的支出——应急物资保障（款）——用于肺炎防控支出（项）年初无预算，2020年度决算数10万元，根据抗疫工作实际需要，财政年中追加业务工作经费。</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六、一般公共预算财政拨款基本支出决算情况说明</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度一般公共预算财政拨款基本支出决算合计968.28万元。其中：人员经费合计955.68万元，占比98.7%，主要包括：基本工资、津贴补贴、奖金、伙食补助费、绩效工资、机关事业单位基本养老保险缴费、职工基本医疗保险缴费、公务员医疗补助缴费、其他社会保障缴费、住房公积金、医疗费、其他工资福利支出、离休费、退休费、抚恤金、生活补助、医疗费补助、奖励金、其他对个人和家庭的补助支出。公用经费合计12.6万元，占比1.3%，主要包括：办公费、印刷费、水费、电费、邮电费、取暖费、物业管理费、差旅费、维修（护）费、租赁费、会议费、培训费、公务接待费、专用材料费、劳务费、工会经费、福利费、公务用车运行维护费、其他交通费用、其他商品和服务支出、办公设备购置、专用设备购置、信息网络及软件购置更新、其他资本性支出。</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七、一般公共预算财政拨款三公经费支出决算情况说明</w:t>
      </w:r>
    </w:p>
    <w:p>
      <w:pPr>
        <w:widowControl/>
        <w:spacing w:line="600" w:lineRule="exact"/>
        <w:ind w:firstLine="680" w:firstLineChars="200"/>
        <w:rPr>
          <w:rFonts w:cs="方正楷体_GBK" w:asciiTheme="majorEastAsia" w:hAnsiTheme="majorEastAsia" w:eastAsiaTheme="majorEastAsia"/>
          <w:kern w:val="0"/>
          <w:sz w:val="34"/>
          <w:szCs w:val="34"/>
        </w:rPr>
      </w:pPr>
      <w:r>
        <w:rPr>
          <w:rFonts w:hint="eastAsia" w:cs="方正楷体_GBK" w:asciiTheme="majorEastAsia" w:hAnsiTheme="majorEastAsia" w:eastAsiaTheme="majorEastAsia"/>
          <w:kern w:val="0"/>
          <w:sz w:val="34"/>
          <w:szCs w:val="34"/>
        </w:rPr>
        <w:t>（一）“三公”经费财政拨款支出决算总体情况说明</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“三公”经费财政拨款支出预算为5.4万元，支出决算为1.36万元，完成预算的25.19%，其中：</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因公出国（境）费支出预算为0万元，支出决算为0万元，完成预算的0%，与上年相比持平，持平的主要原因是本单位无因公出国的支出。</w:t>
      </w:r>
    </w:p>
    <w:p>
      <w:pPr>
        <w:pStyle w:val="10"/>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公务接待费支出预算为5.4万元，支出决算为1.36万元，完成预算的25.19%，决算数小于年初预算数的主要原因是贯彻落实国家过“紧日子”要求，压减了一般性开支，努力降低行政运行成本。</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公务用车购置费及运行维护费支出预算为0万元，支出决算为0万元，完成预算的0%。</w:t>
      </w:r>
    </w:p>
    <w:p>
      <w:pPr>
        <w:pStyle w:val="10"/>
        <w:ind w:firstLine="680" w:firstLineChars="200"/>
        <w:rPr>
          <w:rFonts w:cs="方正楷体_GBK" w:asciiTheme="majorEastAsia" w:hAnsiTheme="majorEastAsia" w:eastAsiaTheme="majorEastAsia"/>
          <w:color w:val="auto"/>
          <w:sz w:val="34"/>
          <w:szCs w:val="34"/>
        </w:rPr>
      </w:pPr>
      <w:r>
        <w:rPr>
          <w:rFonts w:hint="eastAsia" w:cs="方正楷体_GBK" w:asciiTheme="majorEastAsia" w:hAnsiTheme="majorEastAsia" w:eastAsiaTheme="majorEastAsia"/>
          <w:color w:val="auto"/>
          <w:sz w:val="34"/>
          <w:szCs w:val="34"/>
        </w:rPr>
        <w:t>（二）“三公”经费财政拨款支出决算具体情况说明</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2020年度“三公”经费财政拨款支出决算中，公务接待费支出决算1.36万元,占100%，因公出国（境）费支出决算0万元，占0%,公务用车购置费及运行维护费支出决算0万元，占0%。其中：</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1、因公出国（境）费支出决算为0万元，全年安排因公出国（境）团组0个，累计0人次。</w:t>
      </w:r>
    </w:p>
    <w:p>
      <w:pPr>
        <w:pStyle w:val="10"/>
        <w:ind w:firstLine="640" w:firstLineChars="200"/>
        <w:rPr>
          <w:rFonts w:asciiTheme="minorEastAsia" w:hAnsiTheme="minorEastAsia" w:eastAsiaTheme="minorEastAsia"/>
          <w:sz w:val="32"/>
          <w:szCs w:val="32"/>
          <w:lang w:val="zh-CN"/>
        </w:rPr>
      </w:pPr>
      <w:r>
        <w:rPr>
          <w:rFonts w:hint="eastAsia" w:asciiTheme="minorEastAsia" w:hAnsiTheme="minorEastAsia" w:eastAsiaTheme="minorEastAsia"/>
          <w:sz w:val="32"/>
          <w:szCs w:val="32"/>
        </w:rPr>
        <w:t>2、公务接待费支出决算为1.36万元，全年国内公务接待的批次50个，累计340人次。</w:t>
      </w:r>
    </w:p>
    <w:p>
      <w:pPr>
        <w:pStyle w:val="10"/>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3、公务用车购置费及运行维护费支出决算为0万元，其中：</w:t>
      </w:r>
      <w:r>
        <w:rPr>
          <w:rFonts w:hint="eastAsia" w:asciiTheme="minorEastAsia" w:hAnsiTheme="minorEastAsia" w:eastAsiaTheme="minorEastAsia"/>
          <w:sz w:val="32"/>
          <w:szCs w:val="32"/>
          <w:lang w:val="zh-CN"/>
        </w:rPr>
        <w:t>公务用车购置完成为</w:t>
      </w:r>
      <w:r>
        <w:rPr>
          <w:rFonts w:hint="eastAsia" w:asciiTheme="minorEastAsia" w:hAnsiTheme="minorEastAsia" w:eastAsiaTheme="minorEastAsia"/>
          <w:sz w:val="32"/>
          <w:szCs w:val="32"/>
        </w:rPr>
        <w:t>0万元；公务用车</w:t>
      </w:r>
      <w:r>
        <w:rPr>
          <w:rFonts w:hint="eastAsia" w:asciiTheme="minorEastAsia" w:hAnsiTheme="minorEastAsia" w:eastAsiaTheme="minorEastAsia"/>
          <w:sz w:val="32"/>
          <w:szCs w:val="32"/>
          <w:lang w:val="zh-CN"/>
        </w:rPr>
        <w:t>运行维护费</w:t>
      </w:r>
      <w:r>
        <w:rPr>
          <w:rFonts w:hint="eastAsia" w:asciiTheme="minorEastAsia" w:hAnsiTheme="minorEastAsia" w:eastAsiaTheme="minorEastAsia"/>
          <w:sz w:val="32"/>
          <w:szCs w:val="32"/>
        </w:rPr>
        <w:t>完成0万元。至2020年12月31日，本单位公务用车保有量为0辆，当年新增公务用车为0辆。</w:t>
      </w:r>
    </w:p>
    <w:p>
      <w:pPr>
        <w:widowControl/>
        <w:spacing w:line="600" w:lineRule="exact"/>
        <w:ind w:firstLine="680" w:firstLineChars="200"/>
        <w:jc w:val="left"/>
        <w:rPr>
          <w:rFonts w:cs="方正黑体_GBK" w:asciiTheme="majorEastAsia" w:hAnsiTheme="majorEastAsia" w:eastAsiaTheme="majorEastAsia"/>
          <w:b/>
          <w:kern w:val="0"/>
          <w:sz w:val="34"/>
          <w:szCs w:val="34"/>
        </w:rPr>
      </w:pPr>
      <w:r>
        <w:rPr>
          <w:rFonts w:hint="eastAsia" w:cs="方正黑体_GBK" w:asciiTheme="majorEastAsia" w:hAnsiTheme="majorEastAsia" w:eastAsiaTheme="majorEastAsia"/>
          <w:b/>
          <w:kern w:val="0"/>
          <w:sz w:val="34"/>
          <w:szCs w:val="34"/>
        </w:rPr>
        <w:t>八、</w:t>
      </w:r>
      <w:r>
        <w:rPr>
          <w:rFonts w:hint="eastAsia" w:cs="方正仿宋_GBK" w:asciiTheme="majorEastAsia" w:hAnsiTheme="majorEastAsia" w:eastAsiaTheme="majorEastAsia"/>
          <w:b/>
          <w:kern w:val="0"/>
          <w:sz w:val="34"/>
          <w:szCs w:val="34"/>
        </w:rPr>
        <w:t>政府性基金预算收入支出决算情况</w:t>
      </w:r>
    </w:p>
    <w:p>
      <w:pPr>
        <w:widowControl/>
        <w:spacing w:line="600" w:lineRule="exact"/>
        <w:ind w:firstLine="680" w:firstLineChars="200"/>
        <w:rPr>
          <w:rFonts w:cs="方正仿宋_GBK" w:asciiTheme="majorEastAsia" w:hAnsiTheme="majorEastAsia" w:eastAsiaTheme="majorEastAsia"/>
          <w:b/>
          <w:sz w:val="34"/>
          <w:szCs w:val="34"/>
        </w:rPr>
      </w:pPr>
      <w:r>
        <w:rPr>
          <w:rFonts w:hint="eastAsia" w:cs="方正仿宋_GBK" w:asciiTheme="majorEastAsia" w:hAnsiTheme="majorEastAsia" w:eastAsiaTheme="majorEastAsia"/>
          <w:kern w:val="0"/>
          <w:sz w:val="34"/>
          <w:szCs w:val="34"/>
        </w:rPr>
        <w:t>2020年度政府性基金预算财政拨款收入210万元；年初无结转和结余，均为项目支出。其中：用于社会福利的彩票公益金支出200万元，严格按照体彩公益金专项资金使用办法使用；抗疫特别国债安排支出10万元，用于新冠疫情应急物资保障支出。年末无结转和结余。</w:t>
      </w:r>
    </w:p>
    <w:p>
      <w:pPr>
        <w:widowControl/>
        <w:spacing w:line="600" w:lineRule="exact"/>
        <w:ind w:firstLine="680" w:firstLineChars="200"/>
        <w:jc w:val="left"/>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九、国有资本经营预算财政拨款支出决算情况</w:t>
      </w:r>
    </w:p>
    <w:p>
      <w:pPr>
        <w:widowControl/>
        <w:spacing w:line="600" w:lineRule="exact"/>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本部门2020年没有国有资本经营预算财政拨款支出。</w:t>
      </w:r>
    </w:p>
    <w:p>
      <w:pPr>
        <w:widowControl/>
        <w:autoSpaceDE w:val="0"/>
        <w:autoSpaceDN w:val="0"/>
        <w:adjustRightInd w:val="0"/>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十、机关运行经费支出情况</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本部门2020 年度机关运行经费支出12.6万元，与2019年13.8万元相比，减少1.2万元减少9.52%，主要是人员减少经费减少。</w:t>
      </w:r>
    </w:p>
    <w:p>
      <w:pPr>
        <w:widowControl/>
        <w:autoSpaceDE w:val="0"/>
        <w:autoSpaceDN w:val="0"/>
        <w:adjustRightInd w:val="0"/>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十一、一般性支出情况</w:t>
      </w:r>
    </w:p>
    <w:p>
      <w:pPr>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2020年本部门开支会议费0.12万元，用于召开安全生产、“扫黄打非”等会议。</w:t>
      </w:r>
    </w:p>
    <w:p>
      <w:pPr>
        <w:widowControl/>
        <w:autoSpaceDE w:val="0"/>
        <w:autoSpaceDN w:val="0"/>
        <w:adjustRightInd w:val="0"/>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十二、政府采购支出情况</w:t>
      </w:r>
    </w:p>
    <w:p>
      <w:pPr>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本部门2020年度政府采购支出总额542万元，其中：政府采购货物支出389万元、政府采购服务支出153万元。</w:t>
      </w:r>
      <w:r>
        <w:rPr>
          <w:rFonts w:cs="方正仿宋_GBK" w:asciiTheme="majorEastAsia" w:hAnsiTheme="majorEastAsia" w:eastAsiaTheme="majorEastAsia"/>
          <w:kern w:val="0"/>
          <w:sz w:val="34"/>
          <w:szCs w:val="34"/>
        </w:rPr>
        <w:t>授予中小企业合同金额</w:t>
      </w:r>
      <w:r>
        <w:rPr>
          <w:rFonts w:hint="eastAsia" w:cs="方正仿宋_GBK" w:asciiTheme="majorEastAsia" w:hAnsiTheme="majorEastAsia" w:eastAsiaTheme="majorEastAsia"/>
          <w:kern w:val="0"/>
          <w:sz w:val="34"/>
          <w:szCs w:val="34"/>
        </w:rPr>
        <w:t>469</w:t>
      </w:r>
      <w:r>
        <w:rPr>
          <w:rFonts w:cs="方正仿宋_GBK" w:asciiTheme="majorEastAsia" w:hAnsiTheme="majorEastAsia" w:eastAsiaTheme="majorEastAsia"/>
          <w:kern w:val="0"/>
          <w:sz w:val="34"/>
          <w:szCs w:val="34"/>
        </w:rPr>
        <w:t>万元，占政府采购支出总额的</w:t>
      </w:r>
      <w:r>
        <w:rPr>
          <w:rFonts w:hint="eastAsia" w:cs="方正仿宋_GBK" w:asciiTheme="majorEastAsia" w:hAnsiTheme="majorEastAsia" w:eastAsiaTheme="majorEastAsia"/>
          <w:kern w:val="0"/>
          <w:sz w:val="34"/>
          <w:szCs w:val="34"/>
        </w:rPr>
        <w:t>86.5</w:t>
      </w:r>
      <w:r>
        <w:rPr>
          <w:rFonts w:cs="方正仿宋_GBK" w:asciiTheme="majorEastAsia" w:hAnsiTheme="majorEastAsia" w:eastAsiaTheme="majorEastAsia"/>
          <w:kern w:val="0"/>
          <w:sz w:val="34"/>
          <w:szCs w:val="34"/>
        </w:rPr>
        <w:t xml:space="preserve"> %，其中：授予小微企业合同金额</w:t>
      </w:r>
      <w:r>
        <w:rPr>
          <w:rFonts w:hint="eastAsia" w:cs="方正仿宋_GBK" w:asciiTheme="majorEastAsia" w:hAnsiTheme="majorEastAsia" w:eastAsiaTheme="majorEastAsia"/>
          <w:kern w:val="0"/>
          <w:sz w:val="34"/>
          <w:szCs w:val="34"/>
        </w:rPr>
        <w:t>73</w:t>
      </w:r>
      <w:r>
        <w:rPr>
          <w:rFonts w:cs="方正仿宋_GBK" w:asciiTheme="majorEastAsia" w:hAnsiTheme="majorEastAsia" w:eastAsiaTheme="majorEastAsia"/>
          <w:kern w:val="0"/>
          <w:sz w:val="34"/>
          <w:szCs w:val="34"/>
        </w:rPr>
        <w:t>万元，占政府采购支出总额的</w:t>
      </w:r>
      <w:r>
        <w:rPr>
          <w:rFonts w:hint="eastAsia" w:cs="方正仿宋_GBK" w:asciiTheme="majorEastAsia" w:hAnsiTheme="majorEastAsia" w:eastAsiaTheme="majorEastAsia"/>
          <w:kern w:val="0"/>
          <w:sz w:val="34"/>
          <w:szCs w:val="34"/>
        </w:rPr>
        <w:t>13.5</w:t>
      </w:r>
      <w:r>
        <w:rPr>
          <w:rFonts w:cs="方正仿宋_GBK" w:asciiTheme="majorEastAsia" w:hAnsiTheme="majorEastAsia" w:eastAsiaTheme="majorEastAsia"/>
          <w:kern w:val="0"/>
          <w:sz w:val="34"/>
          <w:szCs w:val="34"/>
        </w:rPr>
        <w:t xml:space="preserve"> %。（政府采购金额的计算口径为：本部门纳入</w:t>
      </w:r>
      <w:r>
        <w:rPr>
          <w:rFonts w:hint="eastAsia" w:cs="方正仿宋_GBK" w:asciiTheme="majorEastAsia" w:hAnsiTheme="majorEastAsia" w:eastAsiaTheme="majorEastAsia"/>
          <w:kern w:val="0"/>
          <w:sz w:val="34"/>
          <w:szCs w:val="34"/>
        </w:rPr>
        <w:t>2020</w:t>
      </w:r>
      <w:r>
        <w:rPr>
          <w:rFonts w:cs="方正仿宋_GBK" w:asciiTheme="majorEastAsia" w:hAnsiTheme="majorEastAsia" w:eastAsiaTheme="majorEastAsia"/>
          <w:kern w:val="0"/>
          <w:sz w:val="34"/>
          <w:szCs w:val="34"/>
        </w:rPr>
        <w:t>年 度部门预算范围的各项政府采购支出金额之和，不包括涉密采购项目的支出金额）</w:t>
      </w:r>
    </w:p>
    <w:p>
      <w:pPr>
        <w:widowControl/>
        <w:autoSpaceDE w:val="0"/>
        <w:autoSpaceDN w:val="0"/>
        <w:adjustRightInd w:val="0"/>
        <w:spacing w:line="600" w:lineRule="exac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十三、国有资产占用情况</w:t>
      </w:r>
    </w:p>
    <w:p>
      <w:pPr>
        <w:widowControl/>
        <w:spacing w:line="600" w:lineRule="exact"/>
        <w:ind w:firstLine="66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截至2020年12月31日，</w:t>
      </w:r>
      <w:r>
        <w:rPr>
          <w:rFonts w:cs="方正仿宋_GBK" w:asciiTheme="majorEastAsia" w:hAnsiTheme="majorEastAsia" w:eastAsiaTheme="majorEastAsia"/>
          <w:kern w:val="0"/>
          <w:sz w:val="34"/>
          <w:szCs w:val="34"/>
        </w:rPr>
        <w:t>本部门共有公务用车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辆，其中，机要通信用车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辆，应急保障用车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 xml:space="preserve"> 辆，执法执勤用车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辆，特种专业技术用车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辆，其他按照规定配备的公务用车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辆；单位价值50万元以上通用设备</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台，单位价值100万元以上专用设备</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台。</w:t>
      </w:r>
      <w:r>
        <w:rPr>
          <w:rFonts w:hint="eastAsia" w:cs="方正仿宋_GBK" w:asciiTheme="majorEastAsia" w:hAnsiTheme="majorEastAsia" w:eastAsiaTheme="majorEastAsia"/>
          <w:kern w:val="0"/>
          <w:sz w:val="34"/>
          <w:szCs w:val="34"/>
        </w:rPr>
        <w:t>2021</w:t>
      </w:r>
      <w:r>
        <w:rPr>
          <w:rFonts w:cs="方正仿宋_GBK" w:asciiTheme="majorEastAsia" w:hAnsiTheme="majorEastAsia" w:eastAsiaTheme="majorEastAsia"/>
          <w:kern w:val="0"/>
          <w:sz w:val="34"/>
          <w:szCs w:val="34"/>
        </w:rPr>
        <w:t>年拟新增配置公务用车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辆，其中，机要通信用车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 xml:space="preserve"> 辆，应急保障用车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辆，执法执勤用车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辆，特种专业技术用车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辆，其他按照规定配备的公务用车</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辆；新增配备单位价值50万元以上通用设备</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 xml:space="preserve">台，单位价值100万元以上专用设备 </w:t>
      </w:r>
      <w:r>
        <w:rPr>
          <w:rFonts w:hint="eastAsia" w:cs="方正仿宋_GBK" w:asciiTheme="majorEastAsia" w:hAnsiTheme="majorEastAsia" w:eastAsiaTheme="majorEastAsia"/>
          <w:kern w:val="0"/>
          <w:sz w:val="34"/>
          <w:szCs w:val="34"/>
        </w:rPr>
        <w:t>0</w:t>
      </w:r>
      <w:r>
        <w:rPr>
          <w:rFonts w:cs="方正仿宋_GBK" w:asciiTheme="majorEastAsia" w:hAnsiTheme="majorEastAsia" w:eastAsiaTheme="majorEastAsia"/>
          <w:kern w:val="0"/>
          <w:sz w:val="34"/>
          <w:szCs w:val="34"/>
        </w:rPr>
        <w:t xml:space="preserve"> 台。</w:t>
      </w:r>
    </w:p>
    <w:p>
      <w:pPr>
        <w:widowControl/>
        <w:spacing w:line="600" w:lineRule="exact"/>
        <w:ind w:firstLine="680" w:firstLineChars="200"/>
        <w:jc w:val="left"/>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十四、关于2020年度预算绩效情况说明</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为进一步规范财政资金管理、强化绩效和责任意识，切实提高财政资金使用效益，根据财政预算管理要求及省财政厅的统一部署，我局对2020年度部门整体支出认真开展绩效自评，按财政要求及时报送了《衡南县文化旅游广电体育局2020年度部门整体支出绩效评价报告》、《部门整体支出绩效评价基础数据表》等表格及佐证资料，并在门户网站上进行了公开。</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我厅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县委、县政府的充分肯定以及社会各界的普遍好评。我局连续多年保持县政府绩效评估优秀等次、文明标兵单位和综合治理先进单位等荣誉。</w:t>
      </w:r>
    </w:p>
    <w:p>
      <w:pPr>
        <w:widowControl/>
        <w:jc w:val="left"/>
        <w:rPr>
          <w:rFonts w:cs="黑体" w:asciiTheme="majorEastAsia" w:hAnsiTheme="majorEastAsia" w:eastAsiaTheme="majorEastAsia"/>
          <w:color w:val="000000"/>
          <w:kern w:val="0"/>
          <w:sz w:val="32"/>
          <w:szCs w:val="32"/>
        </w:rPr>
      </w:pPr>
      <w:r>
        <w:rPr>
          <w:rFonts w:cs="黑体" w:asciiTheme="majorEastAsia" w:hAnsiTheme="majorEastAsia" w:eastAsiaTheme="maj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widowControl/>
        <w:jc w:val="center"/>
        <w:rPr>
          <w:rFonts w:ascii="方正小标宋_GBK" w:hAnsi="方正小标宋_GBK" w:eastAsia="方正小标宋_GBK" w:cs="方正小标宋_GBK"/>
          <w:kern w:val="0"/>
          <w:sz w:val="52"/>
          <w:szCs w:val="52"/>
        </w:rPr>
      </w:pPr>
      <w:r>
        <w:rPr>
          <w:rFonts w:ascii="方正小标宋_GBK" w:hAnsi="方正小标宋_GBK" w:eastAsia="方正小标宋_GBK" w:cs="方正小标宋_GBK"/>
          <w:kern w:val="0"/>
          <w:sz w:val="52"/>
          <w:szCs w:val="52"/>
        </w:rPr>
        <w:t>第四部分</w:t>
      </w:r>
    </w:p>
    <w:p>
      <w:pPr>
        <w:widowControl/>
        <w:jc w:val="center"/>
        <w:rPr>
          <w:rFonts w:ascii="方正小标宋_GBK" w:hAnsi="方正小标宋_GBK" w:eastAsia="方正小标宋_GBK" w:cs="方正小标宋_GBK"/>
          <w:kern w:val="0"/>
          <w:sz w:val="52"/>
          <w:szCs w:val="52"/>
        </w:rPr>
      </w:pPr>
      <w:r>
        <w:rPr>
          <w:rFonts w:ascii="方正小标宋_GBK" w:hAnsi="方正小标宋_GBK" w:eastAsia="方正小标宋_GBK" w:cs="方正小标宋_GBK"/>
          <w:kern w:val="0"/>
          <w:sz w:val="52"/>
          <w:szCs w:val="52"/>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80" w:firstLineChars="200"/>
        <w:jc w:val="left"/>
        <w:rPr>
          <w:rFonts w:ascii="方正仿宋_GBK" w:hAnsi="方正仿宋_GBK" w:eastAsia="方正仿宋_GBK" w:cs="方正仿宋_GBK"/>
          <w:b/>
          <w:kern w:val="0"/>
          <w:sz w:val="34"/>
          <w:szCs w:val="34"/>
        </w:rPr>
      </w:pP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一、财政拨款收入：指财政部门核拨给单位的财政预算资金。</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二、一般公共服务支出（类）财政事务（款）财政国库业务项:指国库业务经费。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三、文化旅游体育与传媒支出（类）文化和旅游（款）行政运行（项）：指指财政部门核拨给单位的基本工资和津贴。</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四、文化旅游体育与传媒支出（类）文化和旅游（款）一般行政管理事务（项）：指指财政部门核拨给单位的公用经费。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五、文化旅游体育与传媒支出（类）文化和旅游（款）（文化活动、群众文化、文化创作与保护、文化和旅游市场管理、其他文化和旅游支出）（项）：指财政部门核拨给单位的专项经费。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六、文化旅游体育与传媒支出（类）体育（款）（体育训练、群众体育）项：指财政部门核拨给单位的专项经费。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七、文化旅游体育与传媒支出（类）新闻出版电影（款）其他新闻出版电影支出（项）：指财政部门核拨给单位的专项经费。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八、文化旅游体育与传媒支出（类）其他文化体育与传媒支出（项）：指财政部门核拨给单位的专项经费。</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九、社会保障和就业支出（类）行政事业单位离退休（款）机关事业单位基本养老保险缴费支出（项）：指本级及文化站基本养老保险缴费支出。</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十、社会保障和就业支出（类）抚恤（款）死亡抚恤、其他优抚支出（项）：指本级及文化站抚恤支出。</w:t>
      </w:r>
    </w:p>
    <w:p>
      <w:pPr>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十一、卫生健康支出（类）行政事业单位医疗（款）行政单位医疗（项）：指本级医疗保障经费。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十二、卫生健康支出（类）行政事业单位医疗（款）事业单位医疗（项）：指文化站医疗保障经费。</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十三、住房保障支出（类）住房改革支出（款）住房公积金（项）：指本级住房公积金。</w:t>
      </w:r>
    </w:p>
    <w:p>
      <w:pPr>
        <w:widowControl/>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十四、其他支出（类）彩票公益安排的支出（款）用于社会福利的彩票公益金支出（项）：指体彩公益金专项经费。</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widowControl/>
        <w:jc w:val="center"/>
        <w:rPr>
          <w:rFonts w:ascii="方正小标宋_GBK" w:hAnsi="方正小标宋_GBK" w:eastAsia="方正小标宋_GBK" w:cs="方正小标宋_GBK"/>
          <w:kern w:val="0"/>
          <w:sz w:val="52"/>
          <w:szCs w:val="52"/>
        </w:rPr>
      </w:pPr>
      <w:r>
        <w:rPr>
          <w:rFonts w:ascii="方正小标宋_GBK" w:hAnsi="方正小标宋_GBK" w:eastAsia="方正小标宋_GBK" w:cs="方正小标宋_GBK"/>
          <w:kern w:val="0"/>
          <w:sz w:val="52"/>
          <w:szCs w:val="52"/>
        </w:rPr>
        <w:t>第五部分</w:t>
      </w:r>
    </w:p>
    <w:p>
      <w:pPr>
        <w:widowControl/>
        <w:jc w:val="center"/>
        <w:rPr>
          <w:rFonts w:ascii="方正小标宋_GBK" w:hAnsi="方正小标宋_GBK" w:eastAsia="方正小标宋_GBK" w:cs="方正小标宋_GBK"/>
          <w:kern w:val="0"/>
          <w:sz w:val="52"/>
          <w:szCs w:val="52"/>
        </w:rPr>
      </w:pPr>
      <w:r>
        <w:rPr>
          <w:rFonts w:ascii="方正小标宋_GBK" w:hAnsi="方正小标宋_GBK" w:eastAsia="方正小标宋_GBK" w:cs="方正小标宋_GBK"/>
          <w:kern w:val="0"/>
          <w:sz w:val="52"/>
          <w:szCs w:val="52"/>
        </w:rPr>
        <w:t>附件</w:t>
      </w:r>
    </w:p>
    <w:p>
      <w:pPr>
        <w:widowControl/>
        <w:spacing w:line="600" w:lineRule="exact"/>
        <w:jc w:val="center"/>
        <w:rPr>
          <w:rFonts w:ascii="方正仿宋_GBK" w:hAnsi="方正仿宋_GBK" w:eastAsia="方正仿宋_GBK" w:cs="方正仿宋_GBK"/>
          <w:b/>
          <w:bCs/>
          <w:kern w:val="0"/>
          <w:sz w:val="34"/>
          <w:szCs w:val="34"/>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widowControl/>
        <w:spacing w:line="600" w:lineRule="exact"/>
        <w:jc w:val="center"/>
        <w:rPr>
          <w:rFonts w:ascii="黑体" w:eastAsia="黑体" w:cs="黑体"/>
          <w:color w:val="000000"/>
          <w:kern w:val="0"/>
          <w:sz w:val="70"/>
          <w:szCs w:val="70"/>
        </w:rPr>
      </w:pPr>
    </w:p>
    <w:p>
      <w:pPr>
        <w:jc w:val="center"/>
        <w:rPr>
          <w:rFonts w:eastAsia="方正小标宋_GBK"/>
          <w:sz w:val="48"/>
          <w:szCs w:val="48"/>
        </w:rPr>
      </w:pPr>
    </w:p>
    <w:p>
      <w:pPr>
        <w:jc w:val="center"/>
        <w:rPr>
          <w:rFonts w:eastAsia="方正小标宋_GBK"/>
          <w:sz w:val="48"/>
          <w:szCs w:val="48"/>
        </w:rPr>
      </w:pPr>
    </w:p>
    <w:p>
      <w:pPr>
        <w:jc w:val="center"/>
        <w:rPr>
          <w:rFonts w:eastAsia="方正小标宋_GBK"/>
          <w:sz w:val="48"/>
          <w:szCs w:val="48"/>
        </w:rPr>
      </w:pPr>
      <w:r>
        <w:rPr>
          <w:rFonts w:hint="eastAsia" w:eastAsia="方正小标宋_GBK"/>
          <w:sz w:val="48"/>
          <w:szCs w:val="48"/>
        </w:rPr>
        <w:t>衡南县文化旅游广电体育局</w:t>
      </w:r>
    </w:p>
    <w:p>
      <w:pPr>
        <w:spacing w:line="600" w:lineRule="exact"/>
        <w:jc w:val="center"/>
        <w:rPr>
          <w:rFonts w:eastAsia="方正小标宋_GBK"/>
          <w:sz w:val="48"/>
          <w:szCs w:val="48"/>
        </w:rPr>
      </w:pPr>
      <w:r>
        <w:rPr>
          <w:rFonts w:eastAsia="方正小标宋_GBK"/>
          <w:sz w:val="48"/>
          <w:szCs w:val="48"/>
        </w:rPr>
        <w:t>20</w:t>
      </w:r>
      <w:r>
        <w:rPr>
          <w:rFonts w:hint="eastAsia" w:eastAsia="方正小标宋_GBK"/>
          <w:sz w:val="48"/>
          <w:szCs w:val="48"/>
        </w:rPr>
        <w:t>20年</w:t>
      </w:r>
      <w:r>
        <w:rPr>
          <w:rFonts w:eastAsia="方正小标宋_GBK"/>
          <w:sz w:val="48"/>
          <w:szCs w:val="48"/>
        </w:rPr>
        <w:t>整体支出绩效评价报告</w:t>
      </w:r>
    </w:p>
    <w:p>
      <w:pPr>
        <w:spacing w:line="600" w:lineRule="exact"/>
        <w:jc w:val="center"/>
        <w:rPr>
          <w:rFonts w:eastAsia="方正小标宋简体"/>
          <w:sz w:val="52"/>
          <w:szCs w:val="52"/>
        </w:rPr>
      </w:pPr>
    </w:p>
    <w:p>
      <w:pPr>
        <w:spacing w:line="600" w:lineRule="exact"/>
        <w:jc w:val="left"/>
        <w:rPr>
          <w:rFonts w:ascii="仿宋" w:hAnsi="仿宋" w:eastAsia="仿宋" w:cs="仿宋_GB2312"/>
          <w:sz w:val="32"/>
          <w:szCs w:val="32"/>
        </w:rPr>
      </w:pPr>
    </w:p>
    <w:p>
      <w:pPr>
        <w:pStyle w:val="5"/>
        <w:spacing w:line="360" w:lineRule="atLeast"/>
        <w:ind w:firstLine="680" w:firstLineChars="20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根据《湖南省委办公厅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我局对2020年度部门整体支出绩效进行了全面综合评价，现将情况报告如下：：</w:t>
      </w:r>
    </w:p>
    <w:p>
      <w:pPr>
        <w:pStyle w:val="5"/>
        <w:spacing w:line="360" w:lineRule="atLeast"/>
        <w:ind w:firstLine="480"/>
        <w:rPr>
          <w:rFonts w:cs="方正仿宋_GBK" w:asciiTheme="majorEastAsia" w:hAnsiTheme="majorEastAsia" w:eastAsiaTheme="majorEastAsia"/>
          <w:b/>
          <w:sz w:val="34"/>
          <w:szCs w:val="34"/>
        </w:rPr>
      </w:pPr>
      <w:r>
        <w:rPr>
          <w:rFonts w:hint="eastAsia" w:cs="方正仿宋_GBK" w:asciiTheme="majorEastAsia" w:hAnsiTheme="majorEastAsia" w:eastAsiaTheme="majorEastAsia"/>
          <w:b/>
          <w:sz w:val="34"/>
          <w:szCs w:val="34"/>
        </w:rPr>
        <w:t>一、部门概况</w:t>
      </w:r>
    </w:p>
    <w:p>
      <w:pPr>
        <w:pStyle w:val="5"/>
        <w:spacing w:line="360" w:lineRule="atLeast"/>
        <w:ind w:firstLine="48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（一）部门主要职能</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衡南县文化旅游广电体育局属全额财政拨款的行政机关单位。我局现设有办公室、政策法规与组织人事股、行政审批服务股、公共文化艺术服务股、旅游与文化遗产管理股、广播电视与科技规划发展肥、群体竞争训股、审计与财务股8个股室。有文化馆、图书馆、全民健身服务中心、旅游服务中心、文化综合市场执大队等6个二级机构。主要工作职责：</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贯彻执行党和国家有关文化（文物）、旅游、）播电视、体育工作的方针、政策和法律、法规，拟订全县文化（文物）、旅游、广播电视、体育事业发展战略、规划并组织实施；推进文化旅游广电体育领域体制机制改革。</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管理全县性重大文体</w:t>
      </w:r>
      <w:r>
        <w:rPr>
          <w:rFonts w:hint="eastAsia" w:cs="方正仿宋_GBK" w:asciiTheme="majorEastAsia" w:hAnsiTheme="majorEastAsia" w:eastAsiaTheme="majorEastAsia"/>
          <w:kern w:val="0"/>
          <w:sz w:val="34"/>
          <w:szCs w:val="34"/>
        </w:rPr>
        <w:t>旅游</w:t>
      </w:r>
      <w:r>
        <w:rPr>
          <w:rFonts w:cs="方正仿宋_GBK" w:asciiTheme="majorEastAsia" w:hAnsiTheme="majorEastAsia" w:eastAsiaTheme="majorEastAsia"/>
          <w:kern w:val="0"/>
          <w:sz w:val="34"/>
          <w:szCs w:val="34"/>
        </w:rPr>
        <w:t>活动，指导重点文体设施建设，统筹规划文化产业、旅游、广电、体育产业，组织实施文化、旅游、广电、体育资源普查、挖掘、保护和利用工作，促进文化、旅游、广电、体育产业发展。</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指导文化、旅游、广电、体育市场发展，对文化（文物）、旅游、广电、体育、新闻出版（版权）市场经营进行行业监管，推进行业信用体系建设，依法规范文化、文物、旅游、广电、体育市场。</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指导、推进文化（文物）、旅游、广电、体育科技创新发展，推进文化、旅游、广电、体育行业信息化、标准化建设。</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推进文化（文物）、旅游、广电、体育领域的公共服务，会同有关部门统筹安排文旅广体相关事业经费：规划、指导全县文化旅游广电体育产品生产；组织、指导、协调全县重点公共文化、旅游、广电、体育设施建设和基层公共文化、体育设施建设：负责指导公共图书馆、文化馆（站）、美术馆、博物馆、纪念馆、体育场（馆）等基层公共文化体育事业建设。</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管理全县文化（文物）、旅游、体育、艺术事业；指导、协调艺术创作与艺术生产：扶持地方性、代表性、示范性、实验性文化艺术品种和体育项目，推动各门类艺术的发展；管理、指导艺术教育事业：指导、组织、协调全县性重大文化和体育活动。负责监测全县文化、旅游、广电、体有经济运行和全县文化、旅游、广电、体育统计及行业信息发布。</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指导、监督管理全县文化市场综合执法和文物、旅游、体育、新闻出版（版权）行政执法工作；负责对从事演艺活动的民办机构和网络游戏服务进行监管（不含网络游戏的网上出版前置审批）。</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统筹规划指导全县群众体育发展及活动开展：负责推行全民健身计划，监督实施国家体育锻炼标准：推动国民体质监测和社会体育指导工作队伍制度建设</w:t>
      </w:r>
      <w:r>
        <w:rPr>
          <w:rFonts w:hint="eastAsia" w:cs="方正仿宋_GBK" w:asciiTheme="majorEastAsia" w:hAnsiTheme="majorEastAsia" w:eastAsiaTheme="majorEastAsia"/>
          <w:kern w:val="0"/>
          <w:sz w:val="34"/>
          <w:szCs w:val="34"/>
        </w:rPr>
        <w:t>。</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组织管理体育训练、体育竞赛、运动队伍建设，协调运动员社会保障工作；统筹规划青少年体育发展，加强体育后备人才建设，指导和推进青少年体育工作。</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指导和监督全县广播电视事业，实施准入和退出管理：拟订发展规划；负责对广播电视摇出机构所播出的节目内容、质量及传输、监测、播出、覆益等进行监管；指导、协调电信网、广播电视网、互联网融合中的相关工作。</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协调和指导全县文物的保护、管理和利用工作。照行文物行政执法督察职责，依法组织协调重大文物违法案件的查处，协同有关部门查处文物犯罪的重大案件：负责文化遗产申报及保护、管理的监督工作，协同有关部门负责历史文化名城（镇、村）保护和监督管理工作。</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管理全县非物质文化遗产保护工作，拟订非物质文化遗产保护规划并组织实施：负责优秀民族文化的传承普及工作。</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拟订全县文旅广体系统人才教育、培训规划并组织实施：负责相关系列专业技术职称申报工作。</w:t>
      </w:r>
    </w:p>
    <w:p>
      <w:pPr>
        <w:numPr>
          <w:ilvl w:val="0"/>
          <w:numId w:val="1"/>
        </w:numPr>
        <w:ind w:firstLine="640"/>
        <w:rPr>
          <w:rFonts w:cs="方正仿宋_GBK" w:asciiTheme="majorEastAsia" w:hAnsiTheme="majorEastAsia" w:eastAsiaTheme="majorEastAsia"/>
          <w:kern w:val="0"/>
          <w:sz w:val="34"/>
          <w:szCs w:val="34"/>
        </w:rPr>
      </w:pPr>
      <w:r>
        <w:rPr>
          <w:rFonts w:cs="方正仿宋_GBK" w:asciiTheme="majorEastAsia" w:hAnsiTheme="majorEastAsia" w:eastAsiaTheme="majorEastAsia"/>
          <w:kern w:val="0"/>
          <w:sz w:val="34"/>
          <w:szCs w:val="34"/>
        </w:rPr>
        <w:t>承办县委、县政府交办的其他事项。</w:t>
      </w:r>
    </w:p>
    <w:p>
      <w:pPr>
        <w:ind w:firstLine="340" w:firstLineChars="1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（二）部门组织机构及人员情况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1.机构设置情况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我局现设有办公室、政策法规与组织人事股、行政审批服务股、公共文化艺术服务股、旅游与文化遗产管理股、广播电视与科技规划发展股、群体竞争训股、审计与财务股8个股室。</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2.人员编制情况</w:t>
      </w:r>
    </w:p>
    <w:p>
      <w:pPr>
        <w:widowControl/>
        <w:wordWrap w:val="0"/>
        <w:spacing w:line="450" w:lineRule="atLeast"/>
        <w:ind w:firstLine="64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截止2020年末，我单位共有在职人员153人(其中局机关30人，乡镇文化站123人)。</w:t>
      </w:r>
    </w:p>
    <w:p>
      <w:pPr>
        <w:widowControl/>
        <w:wordWrap w:val="0"/>
        <w:spacing w:line="450" w:lineRule="atLeast"/>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二、部门整体支出管理及使用情况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（一）2020年部门预算收支情况</w:t>
      </w:r>
    </w:p>
    <w:p>
      <w:pPr>
        <w:spacing w:line="600" w:lineRule="exact"/>
        <w:ind w:firstLine="850" w:firstLineChars="25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按照综合预算的原则，所有收入和支出均纳入预算管理。2020年,县文旅广体育局年初预算为1215.84万元，均为财政拨款。 (其中：财政</w:t>
      </w:r>
      <w:r>
        <w:rPr>
          <w:rFonts w:hint="eastAsia" w:cs="方正仿宋_GBK" w:asciiTheme="majorEastAsia" w:hAnsiTheme="majorEastAsia" w:eastAsiaTheme="majorEastAsia"/>
          <w:kern w:val="0"/>
          <w:sz w:val="34"/>
          <w:szCs w:val="34"/>
          <w:lang w:val="en-US" w:eastAsia="zh-CN"/>
        </w:rPr>
        <w:t>拨</w:t>
      </w:r>
      <w:r>
        <w:rPr>
          <w:rFonts w:hint="eastAsia" w:cs="方正仿宋_GBK" w:asciiTheme="majorEastAsia" w:hAnsiTheme="majorEastAsia" w:eastAsiaTheme="majorEastAsia"/>
          <w:kern w:val="0"/>
          <w:sz w:val="34"/>
          <w:szCs w:val="34"/>
        </w:rPr>
        <w:t>款万元，纳入预算管理的非税收入万元。)，比上年1005.6万元增加210.24万元，主要原因：增加广播站转隶26人预算拨款。</w:t>
      </w:r>
    </w:p>
    <w:p>
      <w:pPr>
        <w:pStyle w:val="5"/>
        <w:spacing w:line="360" w:lineRule="atLeast"/>
        <w:ind w:firstLine="680" w:firstLineChars="20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2020年单位预算总支出1215.84万元，其中：工资福利支出1085.84万元，一般商品和服务支出18万元，对个人和家庭补助支出2.21万元，专项商品和服务支出130万元。</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（二）2020年部门决算情况</w:t>
      </w:r>
      <w:bookmarkStart w:id="0" w:name="_GoBack"/>
      <w:bookmarkEnd w:id="0"/>
    </w:p>
    <w:p>
      <w:pPr>
        <w:pStyle w:val="5"/>
        <w:spacing w:line="360" w:lineRule="atLeast"/>
        <w:ind w:firstLine="850" w:firstLineChars="25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1.决算资金来源情况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县文旅广体育局2020年决算资金来源共2019.4万元，其中：一般公共预算拔款资金1809.4万元，占收支总比89.6%。政府性基金210万元（来源于体育彩票县级分成、省体彩中心的全民健身赛事经费），占收支总比10.4%。</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2.决算资金使用情况</w:t>
      </w:r>
    </w:p>
    <w:p>
      <w:pPr>
        <w:pStyle w:val="5"/>
        <w:spacing w:line="360" w:lineRule="atLeast"/>
        <w:ind w:firstLine="48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县文体广电新局2020年度支出合计2019.4万元。其中：基本支出968.28万元，占总支出的48％；项目支出1051.12万元，占总支出的52％。2020年度决算总支出合计为2002.05万元，2020年与上年对比总支出上升了0.87%，其中：基本支出下降8.1%（上年度基本支出1053.42万元），主要原因是我局、全县乡镇文化站由去年130人减为123人；项目支出上升10.8%（上年度项目支出948.63万元），主要原因是：2020年我局加大对旅游和社会足球场基础设施的投入。</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（三）2020年决算支出分类情况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（1）基本支出情况</w:t>
      </w:r>
    </w:p>
    <w:p>
      <w:pPr>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2020年度用于保障县文旅广体育局、乡镇文化站正常运转的日常支出968.28万元。包括基本工资、津贴补贴等人员经费支出955.68万元，占基本支出的98.7％；</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办公费、印刷费、水电费、办公设备购置等日常公用经费支出12.6万元，占基本支出的1.3％；</w:t>
      </w:r>
    </w:p>
    <w:p>
      <w:pPr>
        <w:pStyle w:val="5"/>
        <w:spacing w:line="360" w:lineRule="atLeast"/>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（2）项目支出情况</w:t>
      </w:r>
    </w:p>
    <w:p>
      <w:pPr>
        <w:pStyle w:val="5"/>
        <w:spacing w:line="360" w:lineRule="atLeast"/>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项目支出系我局为完成文化、旅游、体育、广电等工作而发生的支出， 2020年项目支出1051.12万元，2020年项目支出948.63万元，较上年增加了102.49万元。2020年项目支出主要有：省级全域旅游示范区创建、社会足球场建设、健身设施添置、湖南省青少年射击锦标赛等发生的支出。</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（二）“三公”经费支出使用和管理情况</w:t>
      </w:r>
    </w:p>
    <w:p>
      <w:pPr>
        <w:pStyle w:val="5"/>
        <w:spacing w:line="360" w:lineRule="atLeast"/>
        <w:ind w:firstLine="680" w:firstLineChars="200"/>
        <w:rPr>
          <w:rFonts w:cs="方正仿宋_GBK" w:asciiTheme="majorEastAsia" w:hAnsiTheme="majorEastAsia" w:eastAsiaTheme="majorEastAsia"/>
          <w:sz w:val="34"/>
          <w:szCs w:val="34"/>
        </w:rPr>
      </w:pPr>
      <w:r>
        <w:rPr>
          <w:rFonts w:hint="eastAsia" w:cs="方正仿宋_GBK" w:asciiTheme="majorEastAsia" w:hAnsiTheme="majorEastAsia" w:eastAsiaTheme="majorEastAsia"/>
          <w:sz w:val="34"/>
          <w:szCs w:val="34"/>
        </w:rPr>
        <w:t>1. 因公出国（境）经费</w:t>
      </w:r>
    </w:p>
    <w:p>
      <w:pPr>
        <w:widowControl/>
        <w:shd w:val="clear" w:color="auto" w:fill="FFFFFF"/>
        <w:spacing w:line="450" w:lineRule="atLeast"/>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2020年预算安排0万元。无安排因公出国(境)经费。</w:t>
      </w:r>
    </w:p>
    <w:p>
      <w:pPr>
        <w:widowControl/>
        <w:shd w:val="clear" w:color="auto" w:fill="FFFFFF"/>
        <w:spacing w:line="450" w:lineRule="atLeast"/>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2.公务接待费</w:t>
      </w:r>
    </w:p>
    <w:p>
      <w:pPr>
        <w:widowControl/>
        <w:shd w:val="clear" w:color="auto" w:fill="FFFFFF"/>
        <w:spacing w:line="450" w:lineRule="atLeast"/>
        <w:ind w:firstLine="680" w:firstLineChars="20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2020年公务接待费1.36万元。主要用于各类文化体育活动演职员、运动员餐费，省、市领导莅临县文旅广体育局指导检查接待等方面的接待活动。我单位将严格执行国家、省、市、县的相关规定，厉行节约。</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3. 公务用车购置及运行费</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2020年我局从县公务用车平台费为5.2万元，与上年2.27万元相比上升了2.93万元。</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（四）其他事项说明</w:t>
      </w:r>
    </w:p>
    <w:p>
      <w:pPr>
        <w:widowControl/>
        <w:shd w:val="clear" w:color="auto" w:fill="FFFFFF"/>
        <w:spacing w:line="450" w:lineRule="atLeast"/>
        <w:ind w:firstLine="510" w:firstLineChars="15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1.日常公用经费</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2020年县文旅广体育局一般公共预算拨款安排的机关运行经费支出18万元，与2018年13.8万增加4.2万元。</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3.国有资产占用使用情况</w:t>
      </w:r>
    </w:p>
    <w:p>
      <w:pPr>
        <w:widowControl/>
        <w:shd w:val="clear" w:color="auto" w:fill="FFFFFF"/>
        <w:spacing w:line="450" w:lineRule="atLeast"/>
        <w:ind w:firstLine="480"/>
        <w:jc w:val="left"/>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截止2020年底，县文旅广体育局本级现有车辆0辆。</w:t>
      </w:r>
    </w:p>
    <w:p>
      <w:pPr>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三、部门整体支出绩效情况</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对照有关规定，我局从预算编制、预算配置、预算执行和管理等方面对2020年部门整体支出绩效开展了评价，具体情况如下：</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（一）预算配置指标</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编制数153人，在职人员153人，在编制控制范围内。</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（二）预算执行指标</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2020年支出决算为2019.4万元，为全年预算的166%。“三公经费”支出5.57万元，还需增加控制节约。</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（三）预算管理指标</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2020年我局预算管理各项指标控制较好。2021年将主要从以下几个方面加强预算管理：</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一是进一步规范财务管理。今年，根据中央八项规定有关精神以及财务管理方面的法律、法规和审计等部门的意见，我中心对机关财务管理制度进一步进行了完善。同时，在财务开支把关方面认真执行相关文件并严格财务开支审批程序，加强对差旅费、会议费、接待费等各项开支的管理。重点保障日常运转及重点工作的需要，大力压缩一般性支出，提高财政资金使用效益。</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二是依法依规公开部门预决算。根据全县部门预决算公开工作统一安排部署，我局已在衡南县党政门户网站公开了2020年部门预算和“三公”经费预算，社会反响良好，圆满完成了“三公”经费预算公开工作。</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三是进一步加强固定资产管理。我局机关所属资产进行了较为全面的清查，加强国有资产管理。</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（四）履职效益指标</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行政效能方面。我中心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按照政务公开要求，推进办事公开，对涉及财政相关的资料及时挂网方便老百姓查询。社会公众满意度方面。长期以来，群众的满意度颇高。</w:t>
      </w:r>
    </w:p>
    <w:p>
      <w:pPr>
        <w:ind w:firstLine="680" w:firstLineChars="200"/>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b/>
          <w:kern w:val="0"/>
          <w:sz w:val="34"/>
          <w:szCs w:val="34"/>
        </w:rPr>
        <w:t>四、存在的主要问题</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1、预算的编制是一项对政策性、技术性和时效性都很强的工作，需要预算编制人员具有较高政策水平、专业技术水平和很强预测力。为适应国家更为严格、规范、精细化的财务管理要求提高预算的科学性、合理性，提高预算与执行资金的口径基本同步。因此我们需加强业务学习。</w:t>
      </w:r>
    </w:p>
    <w:p>
      <w:pPr>
        <w:spacing w:line="600" w:lineRule="exact"/>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２、内部控制制度还待于进一步完善。</w:t>
      </w:r>
    </w:p>
    <w:p>
      <w:pPr>
        <w:rPr>
          <w:rFonts w:cs="方正仿宋_GBK" w:asciiTheme="majorEastAsia" w:hAnsiTheme="majorEastAsia" w:eastAsiaTheme="majorEastAsia"/>
          <w:b/>
          <w:kern w:val="0"/>
          <w:sz w:val="34"/>
          <w:szCs w:val="34"/>
        </w:rPr>
      </w:pPr>
      <w:r>
        <w:rPr>
          <w:rFonts w:hint="eastAsia" w:cs="方正仿宋_GBK" w:asciiTheme="majorEastAsia" w:hAnsiTheme="majorEastAsia" w:eastAsiaTheme="majorEastAsia"/>
          <w:kern w:val="0"/>
          <w:sz w:val="34"/>
          <w:szCs w:val="34"/>
        </w:rPr>
        <w:t>　</w:t>
      </w:r>
      <w:r>
        <w:rPr>
          <w:rFonts w:hint="eastAsia" w:cs="方正仿宋_GBK" w:asciiTheme="majorEastAsia" w:hAnsiTheme="majorEastAsia" w:eastAsiaTheme="majorEastAsia"/>
          <w:b/>
          <w:kern w:val="0"/>
          <w:sz w:val="34"/>
          <w:szCs w:val="34"/>
        </w:rPr>
        <w:t>　五、改进措施和建议</w:t>
      </w:r>
    </w:p>
    <w:p>
      <w:pPr>
        <w:ind w:firstLine="680" w:firstLineChars="200"/>
        <w:rPr>
          <w:rFonts w:cs="方正仿宋_GBK" w:asciiTheme="majorEastAsia" w:hAnsiTheme="majorEastAsia" w:eastAsiaTheme="majorEastAsia"/>
          <w:kern w:val="0"/>
          <w:sz w:val="34"/>
          <w:szCs w:val="34"/>
        </w:rPr>
      </w:pPr>
      <w:r>
        <w:rPr>
          <w:rFonts w:hint="eastAsia" w:cs="方正仿宋_GBK" w:asciiTheme="majorEastAsia" w:hAnsiTheme="majorEastAsia" w:eastAsiaTheme="majorEastAsia"/>
          <w:kern w:val="0"/>
          <w:sz w:val="34"/>
          <w:szCs w:val="34"/>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rPr>
          <w:rFonts w:ascii="方正仿宋_GBK" w:hAnsi="方正仿宋_GBK" w:eastAsia="方正仿宋_GBK" w:cs="方正仿宋_GBK"/>
          <w:kern w:val="0"/>
          <w:sz w:val="34"/>
          <w:szCs w:val="34"/>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embedRegular r:id="rId1" w:fontKey="{57FFC571-3546-4CE0-9BF0-A79B2A692713}"/>
  </w:font>
  <w:font w:name="方正小标宋_GBK">
    <w:altName w:val="微软雅黑"/>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embedRegular r:id="rId2" w:fontKey="{A3CFCEAE-FA3C-44B0-A9D7-3322CCF9832E}"/>
  </w:font>
  <w:font w:name="方正仿宋_GBK">
    <w:altName w:val="微软雅黑"/>
    <w:panose1 w:val="00000000000000000000"/>
    <w:charset w:val="86"/>
    <w:family w:val="auto"/>
    <w:pitch w:val="default"/>
    <w:sig w:usb0="00000000" w:usb1="00000000" w:usb2="00000000" w:usb3="00000000" w:csb0="00040000" w:csb1="00000000"/>
    <w:embedRegular r:id="rId3" w:fontKey="{5861BE8F-A522-4AF8-B8E6-1A0EE87828F0}"/>
  </w:font>
  <w:font w:name="方正黑体_GBK">
    <w:altName w:val="微软雅黑"/>
    <w:panose1 w:val="00000000000000000000"/>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embedRegular r:id="rId4" w:fontKey="{7A5FD0F6-84AC-44F8-8FF1-F8ADA5F0FEC3}"/>
  </w:font>
  <w:font w:name="仿宋">
    <w:panose1 w:val="02010609060101010101"/>
    <w:charset w:val="86"/>
    <w:family w:val="modern"/>
    <w:pitch w:val="default"/>
    <w:sig w:usb0="800002BF" w:usb1="38CF7CFA" w:usb2="00000016" w:usb3="00000000" w:csb0="00040001" w:csb1="00000000"/>
    <w:embedRegular r:id="rId5" w:fontKey="{E535C33E-EF6A-47C4-B139-01CD0AABB0F7}"/>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712462"/>
    <w:multiLevelType w:val="multilevel"/>
    <w:tmpl w:val="5A712462"/>
    <w:lvl w:ilvl="0" w:tentative="0">
      <w:start w:val="1"/>
      <w:numFmt w:val="decimal"/>
      <w:lvlText w:val="%1."/>
      <w:lvlJc w:val="left"/>
      <w:pPr>
        <w:tabs>
          <w:tab w:val="left" w:pos="738"/>
        </w:tabs>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73BD"/>
    <w:rsid w:val="00037761"/>
    <w:rsid w:val="000415B7"/>
    <w:rsid w:val="000465D5"/>
    <w:rsid w:val="000658A3"/>
    <w:rsid w:val="00074155"/>
    <w:rsid w:val="000A3F69"/>
    <w:rsid w:val="00152C6D"/>
    <w:rsid w:val="00162D39"/>
    <w:rsid w:val="001A67DB"/>
    <w:rsid w:val="001D51E5"/>
    <w:rsid w:val="001F0C3B"/>
    <w:rsid w:val="0020240D"/>
    <w:rsid w:val="00214427"/>
    <w:rsid w:val="00265724"/>
    <w:rsid w:val="0027426B"/>
    <w:rsid w:val="002B6042"/>
    <w:rsid w:val="003479BD"/>
    <w:rsid w:val="00373CF2"/>
    <w:rsid w:val="003768D5"/>
    <w:rsid w:val="003B12B3"/>
    <w:rsid w:val="003D5469"/>
    <w:rsid w:val="00402D32"/>
    <w:rsid w:val="004506F9"/>
    <w:rsid w:val="004717A2"/>
    <w:rsid w:val="004734CD"/>
    <w:rsid w:val="00491741"/>
    <w:rsid w:val="004F0978"/>
    <w:rsid w:val="004F6C64"/>
    <w:rsid w:val="00500E5F"/>
    <w:rsid w:val="005122EF"/>
    <w:rsid w:val="00517C33"/>
    <w:rsid w:val="00523644"/>
    <w:rsid w:val="0054069E"/>
    <w:rsid w:val="00541CD5"/>
    <w:rsid w:val="00554BB9"/>
    <w:rsid w:val="005767CC"/>
    <w:rsid w:val="00590D9F"/>
    <w:rsid w:val="00595D26"/>
    <w:rsid w:val="00596A53"/>
    <w:rsid w:val="005A74E6"/>
    <w:rsid w:val="005D4D55"/>
    <w:rsid w:val="005E2CFB"/>
    <w:rsid w:val="0062378F"/>
    <w:rsid w:val="00632828"/>
    <w:rsid w:val="00651EEC"/>
    <w:rsid w:val="006A351B"/>
    <w:rsid w:val="006B0422"/>
    <w:rsid w:val="006C1B53"/>
    <w:rsid w:val="006D7730"/>
    <w:rsid w:val="006E5284"/>
    <w:rsid w:val="006F3EB5"/>
    <w:rsid w:val="00702E34"/>
    <w:rsid w:val="00704395"/>
    <w:rsid w:val="00720FF1"/>
    <w:rsid w:val="007226F2"/>
    <w:rsid w:val="00812ED5"/>
    <w:rsid w:val="008277D9"/>
    <w:rsid w:val="0084125E"/>
    <w:rsid w:val="0088768A"/>
    <w:rsid w:val="008A3E8D"/>
    <w:rsid w:val="008D5EB3"/>
    <w:rsid w:val="009237C4"/>
    <w:rsid w:val="00924742"/>
    <w:rsid w:val="00950252"/>
    <w:rsid w:val="00967F5D"/>
    <w:rsid w:val="00976683"/>
    <w:rsid w:val="009A0F95"/>
    <w:rsid w:val="009B3ADF"/>
    <w:rsid w:val="009C3B52"/>
    <w:rsid w:val="009C4200"/>
    <w:rsid w:val="00A25CD3"/>
    <w:rsid w:val="00A42218"/>
    <w:rsid w:val="00A70249"/>
    <w:rsid w:val="00AC482B"/>
    <w:rsid w:val="00AD6F1C"/>
    <w:rsid w:val="00B11E4C"/>
    <w:rsid w:val="00B33BEA"/>
    <w:rsid w:val="00B57C9F"/>
    <w:rsid w:val="00B845B3"/>
    <w:rsid w:val="00B85D8B"/>
    <w:rsid w:val="00BB5166"/>
    <w:rsid w:val="00BC322B"/>
    <w:rsid w:val="00BE3674"/>
    <w:rsid w:val="00BF57E1"/>
    <w:rsid w:val="00C16BA4"/>
    <w:rsid w:val="00C21008"/>
    <w:rsid w:val="00C3049A"/>
    <w:rsid w:val="00C31B1E"/>
    <w:rsid w:val="00C546DA"/>
    <w:rsid w:val="00C77645"/>
    <w:rsid w:val="00C80ECE"/>
    <w:rsid w:val="00C96C3D"/>
    <w:rsid w:val="00CE04C3"/>
    <w:rsid w:val="00CE76A0"/>
    <w:rsid w:val="00D0230D"/>
    <w:rsid w:val="00D148C6"/>
    <w:rsid w:val="00D232EF"/>
    <w:rsid w:val="00DC5ACE"/>
    <w:rsid w:val="00DD06FF"/>
    <w:rsid w:val="00DD5FE9"/>
    <w:rsid w:val="00DD6CF2"/>
    <w:rsid w:val="00DF7B02"/>
    <w:rsid w:val="00E00C7A"/>
    <w:rsid w:val="00E2583E"/>
    <w:rsid w:val="00E301F0"/>
    <w:rsid w:val="00E4313B"/>
    <w:rsid w:val="00E55B68"/>
    <w:rsid w:val="00EC33B4"/>
    <w:rsid w:val="00F311BB"/>
    <w:rsid w:val="00F74360"/>
    <w:rsid w:val="00F90B17"/>
    <w:rsid w:val="00FB462F"/>
    <w:rsid w:val="00FE16FA"/>
    <w:rsid w:val="00FE2D87"/>
    <w:rsid w:val="00FE328A"/>
    <w:rsid w:val="00FF0DF6"/>
    <w:rsid w:val="05BC2413"/>
    <w:rsid w:val="0A733E75"/>
    <w:rsid w:val="22F5453E"/>
    <w:rsid w:val="2A2C24F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jc w:val="left"/>
    </w:pPr>
    <w:rPr>
      <w:rFonts w:ascii="宋体" w:hAnsi="宋体" w:eastAsia="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character" w:customStyle="1" w:styleId="13">
    <w:name w:val="20"/>
    <w:basedOn w:val="7"/>
    <w:qFormat/>
    <w:uiPriority w:val="0"/>
    <w:rPr>
      <w:rFonts w:hint="default" w:ascii="Times New Roman" w:hAnsi="Times New Roman" w:cs="Times New Roman"/>
      <w:i/>
    </w:rPr>
  </w:style>
  <w:style w:type="paragraph" w:customStyle="1" w:styleId="14">
    <w:name w:val="普通(网站) Char"/>
    <w:basedOn w:val="1"/>
    <w:qFormat/>
    <w:uiPriority w:val="0"/>
    <w:pPr>
      <w:widowControl/>
      <w:spacing w:before="100" w:beforeAutospacing="1" w:after="100" w:afterAutospacing="1"/>
      <w:jc w:val="left"/>
    </w:pPr>
    <w:rPr>
      <w:rFonts w:hint="eastAsia" w:ascii="宋体" w:hAnsi="宋体" w:eastAsia="宋体" w:cs="Times New Roman"/>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AF7C89A-1CD9-4E92-BD62-297CE55511C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29</Pages>
  <Words>1806</Words>
  <Characters>10299</Characters>
  <Lines>85</Lines>
  <Paragraphs>24</Paragraphs>
  <TotalTime>428</TotalTime>
  <ScaleCrop>false</ScaleCrop>
  <LinksUpToDate>false</LinksUpToDate>
  <CharactersWithSpaces>12081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2021-11-10T03:38:00Z</dcterms:created>
  <dc:creator>李航 null</dc:creator>
  <cp:lastModifiedBy>茜茜</cp:lastModifiedBy>
  <cp:lastPrinted>2021-11-10T01:14:00Z</cp:lastPrinted>
  <dcterms:modified xsi:type="dcterms:W3CDTF">2023-09-18T03:52:53Z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D547383EAB644726BD513F7A849AA9C8</vt:lpwstr>
  </property>
</Properties>
</file>