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sz w:val="44"/>
          <w:szCs w:val="44"/>
        </w:rPr>
      </w:pPr>
    </w:p>
    <w:p>
      <w:pPr>
        <w:jc w:val="center"/>
        <w:rPr>
          <w:rFonts w:asciiTheme="majorEastAsia" w:hAnsiTheme="majorEastAsia" w:eastAsiaTheme="majorEastAsia" w:cstheme="majorEastAsia"/>
          <w:b/>
          <w:sz w:val="44"/>
          <w:szCs w:val="44"/>
        </w:rPr>
      </w:pPr>
    </w:p>
    <w:p>
      <w:pPr>
        <w:jc w:val="center"/>
        <w:rPr>
          <w:rFonts w:asciiTheme="majorEastAsia" w:hAnsiTheme="majorEastAsia" w:eastAsiaTheme="majorEastAsia" w:cstheme="majorEastAsia"/>
          <w:b/>
          <w:sz w:val="44"/>
          <w:szCs w:val="44"/>
        </w:rPr>
      </w:pPr>
    </w:p>
    <w:p>
      <w:pPr>
        <w:jc w:val="center"/>
        <w:rPr>
          <w:rFonts w:asciiTheme="majorEastAsia" w:hAnsiTheme="majorEastAsia" w:eastAsiaTheme="majorEastAsia" w:cstheme="majorEastAsia"/>
          <w:b/>
          <w:sz w:val="44"/>
          <w:szCs w:val="44"/>
        </w:rPr>
      </w:pPr>
    </w:p>
    <w:p>
      <w:pPr>
        <w:jc w:val="center"/>
        <w:rPr>
          <w:rFonts w:asciiTheme="majorEastAsia" w:hAnsiTheme="majorEastAsia" w:eastAsiaTheme="majorEastAsia" w:cstheme="majorEastAsia"/>
          <w:b/>
          <w:sz w:val="84"/>
          <w:szCs w:val="84"/>
        </w:rPr>
      </w:pPr>
      <w:r>
        <w:rPr>
          <w:rFonts w:hint="eastAsia" w:asciiTheme="majorEastAsia" w:hAnsiTheme="majorEastAsia" w:eastAsiaTheme="majorEastAsia" w:cstheme="majorEastAsia"/>
          <w:b/>
          <w:sz w:val="84"/>
          <w:szCs w:val="84"/>
        </w:rPr>
        <w:t>2020年度</w:t>
      </w:r>
    </w:p>
    <w:p>
      <w:pPr>
        <w:jc w:val="center"/>
        <w:rPr>
          <w:rFonts w:asciiTheme="majorEastAsia" w:hAnsiTheme="majorEastAsia" w:eastAsiaTheme="majorEastAsia" w:cstheme="majorEastAsia"/>
          <w:b/>
          <w:sz w:val="84"/>
          <w:szCs w:val="84"/>
        </w:rPr>
      </w:pPr>
      <w:r>
        <w:rPr>
          <w:rFonts w:hint="eastAsia" w:asciiTheme="majorEastAsia" w:hAnsiTheme="majorEastAsia" w:eastAsiaTheme="majorEastAsia" w:cstheme="majorEastAsia"/>
          <w:b/>
          <w:sz w:val="84"/>
          <w:szCs w:val="84"/>
        </w:rPr>
        <w:t>衡南县农业农村局</w:t>
      </w:r>
    </w:p>
    <w:p>
      <w:pPr>
        <w:jc w:val="center"/>
        <w:rPr>
          <w:rFonts w:asciiTheme="majorEastAsia" w:hAnsiTheme="majorEastAsia" w:eastAsiaTheme="majorEastAsia" w:cstheme="majorEastAsia"/>
          <w:b/>
          <w:sz w:val="84"/>
          <w:szCs w:val="84"/>
        </w:rPr>
      </w:pPr>
      <w:r>
        <w:rPr>
          <w:rFonts w:hint="eastAsia" w:asciiTheme="majorEastAsia" w:hAnsiTheme="majorEastAsia" w:eastAsiaTheme="majorEastAsia" w:cstheme="majorEastAsia"/>
          <w:b/>
          <w:sz w:val="84"/>
          <w:szCs w:val="84"/>
        </w:rPr>
        <w:t>部门决算</w:t>
      </w:r>
    </w:p>
    <w:p>
      <w:pPr>
        <w:jc w:val="center"/>
        <w:rPr>
          <w:rFonts w:asciiTheme="majorEastAsia" w:hAnsiTheme="majorEastAsia" w:eastAsiaTheme="majorEastAsia" w:cstheme="majorEastAsia"/>
          <w:b/>
          <w:sz w:val="84"/>
          <w:szCs w:val="84"/>
        </w:rPr>
      </w:pPr>
    </w:p>
    <w:p>
      <w:pPr>
        <w:jc w:val="center"/>
        <w:rPr>
          <w:rFonts w:asciiTheme="majorEastAsia" w:hAnsiTheme="majorEastAsia" w:eastAsiaTheme="majorEastAsia" w:cstheme="majorEastAsia"/>
          <w:b/>
          <w:sz w:val="44"/>
          <w:szCs w:val="44"/>
        </w:rPr>
      </w:pPr>
    </w:p>
    <w:p>
      <w:pPr>
        <w:jc w:val="center"/>
        <w:rPr>
          <w:rFonts w:asciiTheme="majorEastAsia" w:hAnsiTheme="majorEastAsia" w:eastAsiaTheme="majorEastAsia" w:cstheme="majorEastAsia"/>
          <w:b/>
          <w:sz w:val="44"/>
          <w:szCs w:val="44"/>
        </w:rPr>
      </w:pPr>
    </w:p>
    <w:p>
      <w:pPr>
        <w:jc w:val="center"/>
        <w:rPr>
          <w:rFonts w:asciiTheme="majorEastAsia" w:hAnsiTheme="majorEastAsia" w:eastAsiaTheme="majorEastAsia" w:cstheme="majorEastAsia"/>
          <w:b/>
          <w:sz w:val="44"/>
          <w:szCs w:val="44"/>
        </w:rPr>
      </w:pPr>
    </w:p>
    <w:p>
      <w:pPr>
        <w:jc w:val="center"/>
        <w:rPr>
          <w:rFonts w:asciiTheme="majorEastAsia" w:hAnsiTheme="majorEastAsia" w:eastAsiaTheme="majorEastAsia" w:cstheme="majorEastAsia"/>
          <w:b/>
          <w:sz w:val="44"/>
          <w:szCs w:val="44"/>
        </w:rPr>
      </w:pPr>
    </w:p>
    <w:p>
      <w:pPr>
        <w:jc w:val="center"/>
        <w:rPr>
          <w:rFonts w:asciiTheme="majorEastAsia" w:hAnsiTheme="majorEastAsia" w:eastAsiaTheme="majorEastAsia" w:cstheme="majorEastAsia"/>
          <w:b/>
          <w:sz w:val="44"/>
          <w:szCs w:val="44"/>
        </w:rPr>
      </w:pPr>
    </w:p>
    <w:p>
      <w:pPr>
        <w:jc w:val="center"/>
        <w:rPr>
          <w:rFonts w:asciiTheme="majorEastAsia" w:hAnsiTheme="majorEastAsia" w:eastAsiaTheme="majorEastAsia" w:cstheme="majorEastAsia"/>
          <w:b/>
          <w:sz w:val="44"/>
          <w:szCs w:val="44"/>
        </w:rPr>
      </w:pPr>
    </w:p>
    <w:p>
      <w:pPr>
        <w:jc w:val="center"/>
        <w:rPr>
          <w:rFonts w:asciiTheme="majorEastAsia" w:hAnsiTheme="majorEastAsia" w:eastAsiaTheme="majorEastAsia" w:cstheme="majorEastAsia"/>
          <w:b/>
          <w:sz w:val="44"/>
          <w:szCs w:val="44"/>
        </w:rPr>
      </w:pPr>
    </w:p>
    <w:p>
      <w:pPr>
        <w:jc w:val="center"/>
        <w:rPr>
          <w:rFonts w:asciiTheme="majorEastAsia" w:hAnsiTheme="majorEastAsia" w:eastAsiaTheme="majorEastAsia" w:cstheme="majorEastAsia"/>
          <w:b/>
          <w:sz w:val="44"/>
          <w:szCs w:val="44"/>
        </w:rPr>
      </w:pPr>
    </w:p>
    <w:p>
      <w:pPr>
        <w:rPr>
          <w:rFonts w:asciiTheme="majorEastAsia" w:hAnsiTheme="majorEastAsia" w:eastAsiaTheme="majorEastAsia" w:cstheme="majorEastAsia"/>
          <w:b/>
          <w:sz w:val="44"/>
          <w:szCs w:val="44"/>
        </w:rPr>
      </w:pPr>
    </w:p>
    <w:p>
      <w:pPr>
        <w:pStyle w:val="7"/>
        <w:spacing w:line="520" w:lineRule="exact"/>
        <w:jc w:val="center"/>
        <w:rPr>
          <w:sz w:val="56"/>
          <w:szCs w:val="56"/>
        </w:rPr>
      </w:pPr>
    </w:p>
    <w:p>
      <w:pPr>
        <w:pStyle w:val="7"/>
        <w:spacing w:line="520" w:lineRule="exact"/>
        <w:jc w:val="center"/>
        <w:rPr>
          <w:sz w:val="56"/>
          <w:szCs w:val="56"/>
        </w:rPr>
      </w:pPr>
      <w:r>
        <w:rPr>
          <w:rFonts w:hint="eastAsia"/>
          <w:sz w:val="56"/>
          <w:szCs w:val="56"/>
        </w:rPr>
        <w:t>目录</w:t>
      </w:r>
    </w:p>
    <w:p>
      <w:pPr>
        <w:pStyle w:val="7"/>
        <w:spacing w:line="520" w:lineRule="exact"/>
        <w:rPr>
          <w:rFonts w:ascii="仿宋_GB2312" w:hAnsi="仿宋_GB2312" w:cs="仿宋_GB2312"/>
          <w:b/>
          <w:sz w:val="28"/>
          <w:szCs w:val="28"/>
        </w:rPr>
      </w:pPr>
      <w:r>
        <w:rPr>
          <w:rFonts w:hint="eastAsia"/>
          <w:b/>
          <w:sz w:val="28"/>
          <w:szCs w:val="28"/>
        </w:rPr>
        <w:t>第一部分衡南县农业</w:t>
      </w:r>
      <w:r>
        <w:rPr>
          <w:rFonts w:hint="eastAsia"/>
          <w:b/>
          <w:sz w:val="28"/>
          <w:szCs w:val="28"/>
          <w:lang w:val="en-US" w:eastAsia="zh-CN"/>
        </w:rPr>
        <w:t>农</w:t>
      </w:r>
      <w:r>
        <w:rPr>
          <w:rFonts w:hint="eastAsia"/>
          <w:b/>
          <w:sz w:val="28"/>
          <w:szCs w:val="28"/>
        </w:rPr>
        <w:t>村局单位概况</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7"/>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w:t>
      </w:r>
      <w:r>
        <w:rPr>
          <w:rFonts w:hint="eastAsia" w:hAnsi="仿宋_GB2312"/>
          <w:b/>
          <w:sz w:val="28"/>
          <w:szCs w:val="28"/>
        </w:rPr>
        <w:t>20年度部门决算表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7"/>
        <w:spacing w:line="520" w:lineRule="exact"/>
        <w:ind w:firstLine="700" w:firstLineChars="250"/>
        <w:rPr>
          <w:rFonts w:cs="仿宋_GB2312" w:asciiTheme="minorEastAsia" w:hAnsiTheme="minorEastAsia" w:eastAsiaTheme="minorEastAsia"/>
          <w:sz w:val="28"/>
          <w:szCs w:val="28"/>
        </w:rPr>
      </w:pPr>
      <w:r>
        <w:rPr>
          <w:rFonts w:hint="eastAsia" w:cs="仿宋_GB2312" w:asciiTheme="minorEastAsia" w:hAnsiTheme="minorEastAsia" w:eastAsiaTheme="minorEastAsia"/>
          <w:sz w:val="28"/>
          <w:szCs w:val="28"/>
        </w:rPr>
        <w:t>九、国有资本经营预算财政拨款支出决算表</w:t>
      </w:r>
    </w:p>
    <w:p>
      <w:pPr>
        <w:pStyle w:val="7"/>
        <w:spacing w:line="520" w:lineRule="exact"/>
        <w:rPr>
          <w:rFonts w:hAnsi="仿宋_GB2312"/>
          <w:b/>
          <w:sz w:val="28"/>
          <w:szCs w:val="28"/>
        </w:rPr>
      </w:pPr>
      <w:r>
        <w:rPr>
          <w:rFonts w:hint="eastAsia" w:hAnsi="仿宋_GB2312"/>
          <w:b/>
          <w:sz w:val="28"/>
          <w:szCs w:val="28"/>
        </w:rPr>
        <w:t>第三部分</w:t>
      </w:r>
      <w:r>
        <w:rPr>
          <w:rFonts w:hAnsi="仿宋_GB2312"/>
          <w:b/>
          <w:sz w:val="28"/>
          <w:szCs w:val="28"/>
        </w:rPr>
        <w:t>20</w:t>
      </w:r>
      <w:r>
        <w:rPr>
          <w:rFonts w:hint="eastAsia" w:hAnsi="仿宋_GB2312"/>
          <w:b/>
          <w:sz w:val="28"/>
          <w:szCs w:val="28"/>
        </w:rPr>
        <w:t>20年度部门决算情况说明</w:t>
      </w:r>
    </w:p>
    <w:p>
      <w:pPr>
        <w:pStyle w:val="7"/>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一、收入支出决算总体情况说明</w:t>
      </w:r>
    </w:p>
    <w:p>
      <w:pPr>
        <w:adjustRightInd w:val="0"/>
        <w:snapToGrid w:val="0"/>
        <w:spacing w:line="360" w:lineRule="auto"/>
        <w:ind w:firstLine="536" w:firstLineChars="200"/>
        <w:jc w:val="left"/>
        <w:rPr>
          <w:rFonts w:ascii="宋体" w:hAnsi="宋体" w:eastAsia="宋体" w:cs="宋体"/>
          <w:w w:val="96"/>
          <w:sz w:val="28"/>
          <w:szCs w:val="28"/>
        </w:rPr>
      </w:pPr>
      <w:r>
        <w:rPr>
          <w:rFonts w:hint="eastAsia" w:ascii="宋体" w:hAnsi="宋体" w:eastAsia="宋体" w:cs="宋体"/>
          <w:w w:val="96"/>
          <w:sz w:val="28"/>
          <w:szCs w:val="28"/>
        </w:rPr>
        <w:t>二、收入决算情况说明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三、支出决算情况说明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四、财政拨款收入支出决算总体情况说明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五、一般公共预算财政拨款支出决算情况说明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六、一般公共预算财政拨款基本支出决算情况说明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七、一般公共预算财政拨款三公经费支出决算情况说明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八、政府性基金预算收入支出决算情况说明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九、国有资本经营预算财政拨款支出决算情况</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十、关于机关运行经费支出说明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十一、一般性支出情况说明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十二、关于政府采购支出说明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十三、关于国有资产占用情况说明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十四、关于2020年度预算绩效情况说明</w:t>
      </w:r>
    </w:p>
    <w:p>
      <w:pPr>
        <w:autoSpaceDE w:val="0"/>
        <w:autoSpaceDN w:val="0"/>
        <w:adjustRightInd w:val="0"/>
        <w:spacing w:line="520" w:lineRule="exact"/>
        <w:jc w:val="left"/>
        <w:rPr>
          <w:rFonts w:ascii="黑体" w:hAnsi="黑体" w:eastAsia="黑体" w:cs="黑体"/>
          <w:b/>
          <w:color w:val="000000"/>
          <w:kern w:val="0"/>
          <w:sz w:val="28"/>
          <w:szCs w:val="28"/>
        </w:rPr>
      </w:pPr>
      <w:r>
        <w:rPr>
          <w:rFonts w:ascii="黑体" w:hAnsi="黑体" w:eastAsia="黑体" w:cs="黑体"/>
          <w:b/>
          <w:color w:val="000000"/>
          <w:kern w:val="0"/>
          <w:sz w:val="28"/>
          <w:szCs w:val="28"/>
        </w:rPr>
        <w:t>第四部分名词解释</w:t>
      </w:r>
    </w:p>
    <w:p>
      <w:pPr>
        <w:autoSpaceDE w:val="0"/>
        <w:autoSpaceDN w:val="0"/>
        <w:adjustRightInd w:val="0"/>
        <w:spacing w:line="520" w:lineRule="exact"/>
        <w:jc w:val="left"/>
        <w:rPr>
          <w:rFonts w:ascii="黑体" w:hAnsi="黑体" w:eastAsia="黑体" w:cs="黑体"/>
          <w:b/>
          <w:color w:val="000000"/>
          <w:kern w:val="0"/>
          <w:sz w:val="28"/>
          <w:szCs w:val="28"/>
        </w:rPr>
      </w:pPr>
      <w:r>
        <w:rPr>
          <w:rFonts w:hint="eastAsia" w:ascii="黑体" w:hAnsi="黑体" w:eastAsia="黑体" w:cs="黑体"/>
          <w:b/>
          <w:color w:val="000000"/>
          <w:kern w:val="0"/>
          <w:sz w:val="28"/>
          <w:szCs w:val="28"/>
        </w:rPr>
        <w:t>第五部分农业农村局</w:t>
      </w:r>
    </w:p>
    <w:p>
      <w:pPr>
        <w:jc w:val="left"/>
        <w:rPr>
          <w:rFonts w:asciiTheme="majorEastAsia" w:hAnsiTheme="majorEastAsia" w:eastAsiaTheme="majorEastAsia" w:cstheme="majorEastAsia"/>
          <w:b/>
          <w:sz w:val="28"/>
          <w:szCs w:val="28"/>
        </w:rPr>
      </w:pPr>
    </w:p>
    <w:p>
      <w:pPr>
        <w:jc w:val="center"/>
        <w:rPr>
          <w:rFonts w:asciiTheme="majorEastAsia" w:hAnsiTheme="majorEastAsia" w:eastAsiaTheme="majorEastAsia" w:cstheme="majorEastAsia"/>
          <w:b/>
          <w:sz w:val="28"/>
          <w:szCs w:val="28"/>
        </w:rPr>
      </w:pPr>
    </w:p>
    <w:p>
      <w:pPr>
        <w:jc w:val="center"/>
        <w:rPr>
          <w:rFonts w:asciiTheme="majorEastAsia" w:hAnsiTheme="majorEastAsia" w:eastAsiaTheme="majorEastAsia" w:cstheme="majorEastAsia"/>
          <w:b/>
          <w:sz w:val="28"/>
          <w:szCs w:val="28"/>
        </w:rPr>
      </w:pPr>
    </w:p>
    <w:p>
      <w:pP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p>
    <w:p>
      <w:pPr>
        <w:jc w:val="center"/>
        <w:rPr>
          <w:rFonts w:asciiTheme="majorEastAsia" w:hAnsiTheme="majorEastAsia" w:eastAsiaTheme="majorEastAsia" w:cstheme="majorEastAsia"/>
          <w:b/>
          <w:sz w:val="72"/>
          <w:szCs w:val="72"/>
        </w:rPr>
      </w:pPr>
      <w:r>
        <w:rPr>
          <w:rFonts w:hint="eastAsia" w:asciiTheme="majorEastAsia" w:hAnsiTheme="majorEastAsia" w:eastAsiaTheme="majorEastAsia" w:cstheme="majorEastAsia"/>
          <w:b/>
          <w:sz w:val="72"/>
          <w:szCs w:val="72"/>
        </w:rPr>
        <w:t>第一部分</w:t>
      </w:r>
    </w:p>
    <w:p>
      <w:pPr>
        <w:jc w:val="center"/>
        <w:rPr>
          <w:rFonts w:asciiTheme="majorEastAsia" w:hAnsiTheme="majorEastAsia" w:eastAsiaTheme="majorEastAsia" w:cstheme="majorEastAsia"/>
          <w:b/>
          <w:sz w:val="72"/>
          <w:szCs w:val="72"/>
        </w:rPr>
      </w:pPr>
      <w:r>
        <w:rPr>
          <w:rFonts w:hint="eastAsia" w:asciiTheme="majorEastAsia" w:hAnsiTheme="majorEastAsia" w:eastAsiaTheme="majorEastAsia" w:cstheme="majorEastAsia"/>
          <w:b/>
          <w:sz w:val="72"/>
          <w:szCs w:val="72"/>
        </w:rPr>
        <w:t>衡南县农业农村局</w:t>
      </w:r>
    </w:p>
    <w:p>
      <w:pPr>
        <w:jc w:val="center"/>
        <w:rPr>
          <w:rFonts w:asciiTheme="majorEastAsia" w:hAnsiTheme="majorEastAsia" w:eastAsiaTheme="majorEastAsia" w:cstheme="majorEastAsia"/>
          <w:b/>
          <w:sz w:val="72"/>
          <w:szCs w:val="72"/>
        </w:rPr>
      </w:pPr>
      <w:r>
        <w:rPr>
          <w:rFonts w:hint="eastAsia" w:asciiTheme="majorEastAsia" w:hAnsiTheme="majorEastAsia" w:eastAsiaTheme="majorEastAsia" w:cstheme="majorEastAsia"/>
          <w:b/>
          <w:sz w:val="72"/>
          <w:szCs w:val="72"/>
        </w:rPr>
        <w:t>单位概况</w:t>
      </w: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firstLine="843" w:firstLineChars="300"/>
        <w:jc w:val="left"/>
        <w:rPr>
          <w:rFonts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rPr>
        <w:t>一、部门职能职责</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一）拟订种植业、乡镇企业等农业各产业（以下简称农业）发展战略、中长期发展规划并指导实施。参与拟订农村经济发展政策和参与农业产业方面的规范性文件的起草、修改工作；负责农业行政执法和行政复议工作，推进农业依法行政；提出有关农产品及农业生产资料价格、大宗农产品流通、保险、农业财政补贴及农业产业保护的政策建议，并参与制定相关政策。</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（二）参与研究提出深化农村经济体制改革的政策建议，参与指导耕地使用权流转、减轻农民负担和惠农政策落实工作，参与指导农业社会化服务体系、农民专业合作社和农产品行业协会的建设与发展工作。</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三）指导粮食等主要农产品生产，组织落实促进粮食等主要农产品生产发展的相关政策措施，引导农业产业结构调整和产品品质的改善;负责管理全县蔬菜产业发展和城镇蔬菜产销工作；安排蔬菜资金和物资，负责新菜地开发建设基金的征收使用，并进行监督管理；会同有关部门指导农业标准化、规模化生产；提出扶持农业农村发展的财政政策和项目建议，提出农业固定资产投资规模、投资项目和县级财政性资金安排的建议，编报部门预算并组织执行。</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四）组织拟订促进乡镇企业、农产品加工业、农村第三产业和农业产业化发展政策、规划、计划并组织实施；组织指导乡镇企业、农产品加工业、农村第三产业的结构调整、技术创新和服务体系建设；提出促进大宗农产品流通的政策建议，制定大宗农产品与农业投入品市场体系建设与发展规划；培育、保护和发展农产品品牌。</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五）承担提升农产品质量安全水平的责任。负责农产品质量安全监测；组织农产品质量安全地方标准的实施；指导农业检验检测体系建设，组织符合安全标准的农产品的申报和监督管理；在环境保护部门统一监督指导下，对农业环境保护工作实施具体监督管理。</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六）负责农业生产资料监督管理。依法开展农作物种子(种苗)的行政许可及肥料、农药等农业生产资料的监督管理；组织实施种子质量检验体系建设；会同有关部门组织有关农业生产资料地方标准的监督实施；组织农业生产资料市场体系建设。</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七）负责农作物有害生物防治工作。拟订农作物有害生物与植物检疫的发展规划、计划并组织实施；制定农作物有害生物防控政策并指导实施；组织指导植保植检体系建设、农作物有害生物测报防治、植物检疫性有害生物普查防控，制定农作物病虫害专业化防治管理办法；指导农药安全使用。</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（八）承担农业防灾减灾的责任。监测、发布农业灾情，组织种子、化肥等救灾物资储备和调拨；提出农业生产救灾资金安排建议，指导紧急救灾和灾后生产恢复。</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（九）管理农业经济信息，监测分析农业经济运行，开展相关农业统计工作；征集、发布农业经济信息，负责农业信息化体系建设，指导农业信息服务。</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十）制定农业科研、农技推广规划、计划和有关政策，会同有关部门组织全县农业科技创新体系和农业产业技术体系建设，实施科教兴农战略，组织重大农业科研和技术推广项目的遴选及实施；负责农业科技成果管理，组织引进国内外农业新品种、先进技术，指导农技推广体系改革与建设。负责农业植物新品种保护及农业转基因生物安全监督管理。</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十一）会同有关部门拟订农业农村人才队伍建设规划并组织实施，指导农业教育和农业职业技能开发工作，参与实施农村实用人才培训工程；负责农村劳动力转移就业培训工作，会同有关部门依法实施农业农村人才专业技术资格和从业资格管理。</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十二）拟订全县农业环境保护规划并组织实施，负责全县农业环境与农业资源保护、监测和管理；组织实施无公害农产品、绿色食品、有机食品的质量监督、认证申报及广告审查、重大项目的实施；组织农业资源区划工作，指导农用地、宜农湿地以及农业生物物种资源的保护和管理，负责野生植物保护工作；牵头管理外来物种，制定并实施农业生态建设规划，指导农业生物质产业（不含沼气）发展和农业节能减排，承担指导农业面源污染治理有关工作。指导生态农业、循环农业的发展。</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（十三）拟订耕地及基本农田质量保护与改良的有关政策并指导实施，依法管理耕地质量；运用工程设施、农艺、生物等措施发展节水农业。</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（十四）组织开展农业贸易促进和有关经济、技术交流与合作，协助有关部门组织实施农业国际援助和援外项目，指导农产品出口基地建设。</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（十五）承办县人民政府交办的其它事项。</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二、机构设置及决算单位构成</w:t>
      </w:r>
      <w:r>
        <w:rPr>
          <w:rFonts w:hint="eastAsia" w:asciiTheme="majorEastAsia" w:hAnsiTheme="majorEastAsia" w:eastAsiaTheme="majorEastAsia" w:cstheme="majorEastAsia"/>
          <w:sz w:val="28"/>
          <w:szCs w:val="28"/>
        </w:rPr>
        <w:br w:type="textWrapping"/>
      </w:r>
      <w:r>
        <w:rPr>
          <w:rFonts w:hint="eastAsia" w:asciiTheme="majorEastAsia" w:hAnsiTheme="majorEastAsia" w:eastAsiaTheme="majorEastAsia" w:cstheme="majorEastAsia"/>
          <w:sz w:val="28"/>
          <w:szCs w:val="28"/>
        </w:rPr>
        <w:t>（一）内设机构设置　</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县农业农村局内设机构47个，分别为：秘书组、办公室、组织人事股、法规股、行政审批股、农村政策改革和合作经济指导股、发展规划股、计划财务股、结算中心、乡村产业发展股、农村社会事业促进股、市场信息化和对外合作股、科技教育股、农产品质量安全监管股、种植业管理股、种业管理和农业资源保护利用股、畜牧兽医股、渔业渔政管理股、农业机械化管理股、农田建设管理股、蔬菜管理股、老干股、工会联合会、党建考核办、监察室、信访室、文明办、妇委会、计生办、共青团、种植业事务中心、农田建设事务中心、定点屠宰事务中心、土壤肥料工作管理站、经济作物站、植保植检站、测报站、农产品质量检验检测站、农业对外经济技术合作中心、农技推广服务站、优质农产品开发服务中心、产业扶贫办、绿办、农药管理站、乡村振兴办、农业技术推广中心。</w:t>
      </w:r>
    </w:p>
    <w:p>
      <w:pPr>
        <w:ind w:left="420" w:leftChars="200" w:firstLine="562" w:firstLineChars="200"/>
        <w:jc w:val="left"/>
        <w:rPr>
          <w:rFonts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rPr>
        <w:t>（二）、决算单位构成</w:t>
      </w:r>
    </w:p>
    <w:p>
      <w:pPr>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我局2020年部门决算汇总公开单位构成包括：县农业局、县农技推广服务中心、县农业综合执法大队、县原种场、县种畜场、县鱼种场、乡镇农技站。</w:t>
      </w: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jc w:val="center"/>
        <w:rPr>
          <w:b/>
          <w:bCs/>
          <w:sz w:val="72"/>
          <w:szCs w:val="72"/>
        </w:rPr>
      </w:pPr>
    </w:p>
    <w:p>
      <w:pPr>
        <w:jc w:val="center"/>
        <w:rPr>
          <w:b/>
          <w:bCs/>
          <w:sz w:val="72"/>
          <w:szCs w:val="72"/>
        </w:rPr>
      </w:pPr>
    </w:p>
    <w:p>
      <w:pPr>
        <w:jc w:val="center"/>
        <w:rPr>
          <w:b/>
          <w:bCs/>
          <w:sz w:val="72"/>
          <w:szCs w:val="72"/>
        </w:rPr>
      </w:pPr>
      <w:r>
        <w:rPr>
          <w:rFonts w:hint="eastAsia"/>
          <w:b/>
          <w:bCs/>
          <w:sz w:val="72"/>
          <w:szCs w:val="72"/>
        </w:rPr>
        <w:t>第二部分</w:t>
      </w:r>
    </w:p>
    <w:p>
      <w:pPr>
        <w:jc w:val="center"/>
        <w:rPr>
          <w:b/>
          <w:bCs/>
          <w:sz w:val="72"/>
          <w:szCs w:val="72"/>
        </w:rPr>
      </w:pPr>
    </w:p>
    <w:p>
      <w:pPr>
        <w:jc w:val="center"/>
        <w:rPr>
          <w:b/>
          <w:bCs/>
          <w:sz w:val="72"/>
          <w:szCs w:val="72"/>
        </w:rPr>
      </w:pPr>
      <w:r>
        <w:rPr>
          <w:rFonts w:hint="eastAsia"/>
          <w:b/>
          <w:bCs/>
          <w:sz w:val="72"/>
          <w:szCs w:val="72"/>
        </w:rPr>
        <w:t>部门决算表</w:t>
      </w:r>
    </w:p>
    <w:p>
      <w:pPr>
        <w:jc w:val="center"/>
        <w:rPr>
          <w:b/>
          <w:bCs/>
          <w:sz w:val="72"/>
          <w:szCs w:val="72"/>
        </w:rPr>
      </w:pPr>
    </w:p>
    <w:p>
      <w:pPr>
        <w:jc w:val="center"/>
        <w:rPr>
          <w:b/>
          <w:bCs/>
          <w:sz w:val="72"/>
          <w:szCs w:val="72"/>
        </w:rPr>
      </w:pPr>
      <w:r>
        <w:rPr>
          <w:rFonts w:hint="eastAsia" w:ascii="宋体" w:hAnsi="宋体" w:eastAsia="宋体" w:cs="宋体"/>
          <w:sz w:val="32"/>
          <w:szCs w:val="32"/>
        </w:rPr>
        <w:t>(部门决算公示表附后)</w:t>
      </w:r>
    </w:p>
    <w:p>
      <w:pPr>
        <w:jc w:val="center"/>
        <w:rPr>
          <w:sz w:val="72"/>
          <w:szCs w:val="72"/>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jc w:val="cente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72"/>
          <w:szCs w:val="72"/>
        </w:rPr>
      </w:pPr>
      <w:r>
        <w:rPr>
          <w:rFonts w:hint="eastAsia" w:asciiTheme="majorEastAsia" w:hAnsiTheme="majorEastAsia" w:eastAsiaTheme="majorEastAsia" w:cstheme="majorEastAsia"/>
          <w:b/>
          <w:bCs/>
          <w:sz w:val="72"/>
          <w:szCs w:val="72"/>
        </w:rPr>
        <w:t>第三部分</w:t>
      </w:r>
    </w:p>
    <w:p>
      <w:pPr>
        <w:jc w:val="cente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66"/>
          <w:szCs w:val="66"/>
        </w:rPr>
      </w:pPr>
      <w:r>
        <w:rPr>
          <w:rFonts w:hint="eastAsia" w:asciiTheme="majorEastAsia" w:hAnsiTheme="majorEastAsia" w:eastAsiaTheme="majorEastAsia" w:cstheme="majorEastAsia"/>
          <w:b/>
          <w:bCs/>
          <w:sz w:val="66"/>
          <w:szCs w:val="66"/>
        </w:rPr>
        <w:t>2020年度部门决算情况说明</w:t>
      </w:r>
    </w:p>
    <w:p>
      <w:pPr>
        <w:ind w:left="420" w:leftChars="200" w:firstLine="1446" w:firstLineChars="200"/>
        <w:jc w:val="left"/>
        <w:rPr>
          <w:rFonts w:asciiTheme="majorEastAsia" w:hAnsiTheme="majorEastAsia" w:eastAsiaTheme="majorEastAsia" w:cstheme="majorEastAsia"/>
          <w:b/>
          <w:bCs/>
          <w:sz w:val="72"/>
          <w:szCs w:val="72"/>
        </w:rPr>
      </w:pPr>
    </w:p>
    <w:p>
      <w:pPr>
        <w:ind w:left="420" w:leftChars="200" w:firstLine="1446" w:firstLineChars="200"/>
        <w:jc w:val="left"/>
        <w:rPr>
          <w:rFonts w:asciiTheme="majorEastAsia" w:hAnsiTheme="majorEastAsia" w:eastAsiaTheme="majorEastAsia" w:cstheme="majorEastAsia"/>
          <w:b/>
          <w:bCs/>
          <w:sz w:val="72"/>
          <w:szCs w:val="72"/>
        </w:rPr>
      </w:pPr>
    </w:p>
    <w:p>
      <w:pPr>
        <w:ind w:left="420" w:leftChars="200" w:firstLine="1446" w:firstLineChars="200"/>
        <w:jc w:val="left"/>
        <w:rPr>
          <w:rFonts w:asciiTheme="majorEastAsia" w:hAnsiTheme="majorEastAsia" w:eastAsiaTheme="majorEastAsia" w:cstheme="majorEastAsia"/>
          <w:b/>
          <w:bCs/>
          <w:sz w:val="72"/>
          <w:szCs w:val="72"/>
        </w:rPr>
      </w:pPr>
    </w:p>
    <w:p>
      <w:pPr>
        <w:ind w:left="420" w:leftChars="200" w:firstLine="1446" w:firstLineChars="200"/>
        <w:jc w:val="left"/>
        <w:rPr>
          <w:rFonts w:asciiTheme="majorEastAsia" w:hAnsiTheme="majorEastAsia" w:eastAsiaTheme="majorEastAsia" w:cstheme="majorEastAsia"/>
          <w:b/>
          <w:bCs/>
          <w:sz w:val="72"/>
          <w:szCs w:val="72"/>
        </w:rPr>
      </w:pPr>
    </w:p>
    <w:p>
      <w:pPr>
        <w:ind w:left="420" w:leftChars="200" w:firstLine="1446" w:firstLineChars="200"/>
        <w:jc w:val="left"/>
        <w:rPr>
          <w:rFonts w:asciiTheme="majorEastAsia" w:hAnsiTheme="majorEastAsia" w:eastAsiaTheme="majorEastAsia" w:cstheme="majorEastAsia"/>
          <w:b/>
          <w:bCs/>
          <w:sz w:val="72"/>
          <w:szCs w:val="72"/>
        </w:rPr>
      </w:pPr>
    </w:p>
    <w:p>
      <w:pPr>
        <w:jc w:val="left"/>
        <w:rPr>
          <w:rFonts w:asciiTheme="majorEastAsia" w:hAnsiTheme="majorEastAsia" w:eastAsiaTheme="majorEastAsia" w:cstheme="majorEastAsia"/>
          <w:b/>
          <w:bCs/>
          <w:sz w:val="72"/>
          <w:szCs w:val="72"/>
        </w:rPr>
      </w:pPr>
    </w:p>
    <w:p>
      <w:pPr>
        <w:jc w:val="left"/>
        <w:rPr>
          <w:rFonts w:asciiTheme="majorEastAsia" w:hAnsiTheme="majorEastAsia" w:eastAsiaTheme="majorEastAsia" w:cstheme="majorEastAsia"/>
          <w:b/>
          <w:bCs/>
          <w:sz w:val="72"/>
          <w:szCs w:val="72"/>
        </w:rPr>
      </w:pPr>
    </w:p>
    <w:p>
      <w:pPr>
        <w:ind w:left="840" w:leftChars="400"/>
        <w:jc w:val="left"/>
        <w:rPr>
          <w:rFonts w:asciiTheme="majorEastAsia" w:hAnsiTheme="majorEastAsia" w:eastAsiaTheme="majorEastAsia" w:cstheme="majorEastAsia"/>
          <w:sz w:val="28"/>
          <w:szCs w:val="28"/>
        </w:rPr>
      </w:pPr>
    </w:p>
    <w:p>
      <w:pPr>
        <w:numPr>
          <w:ilvl w:val="0"/>
          <w:numId w:val="1"/>
        </w:numPr>
        <w:ind w:left="420" w:leftChars="200" w:firstLine="562"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b/>
          <w:bCs/>
          <w:sz w:val="28"/>
          <w:szCs w:val="28"/>
        </w:rPr>
        <w:t>收入支出决算总体情况说明</w:t>
      </w:r>
      <w:r>
        <w:rPr>
          <w:rFonts w:hint="eastAsia" w:asciiTheme="majorEastAsia" w:hAnsiTheme="majorEastAsia" w:eastAsiaTheme="majorEastAsia" w:cstheme="majorEastAsia"/>
          <w:sz w:val="28"/>
          <w:szCs w:val="28"/>
        </w:rPr>
        <w:t>：2020年收入总计26021.46万元，与2019年相比增加14570.36万，增加132.79%；支出总计25135.95万元，与2019年相比增加14641.69万元，增加139.52%。收入支出增加的原因为机构改革增加预算单位，人员经费及农林水支出相应增加。</w:t>
      </w:r>
    </w:p>
    <w:p>
      <w:pPr>
        <w:numPr>
          <w:ilvl w:val="0"/>
          <w:numId w:val="1"/>
        </w:numPr>
        <w:ind w:left="420" w:leftChars="200" w:firstLine="562"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b/>
          <w:bCs/>
          <w:sz w:val="28"/>
          <w:szCs w:val="28"/>
        </w:rPr>
        <w:t>收入决算情况说明</w:t>
      </w:r>
      <w:r>
        <w:rPr>
          <w:rFonts w:hint="eastAsia" w:asciiTheme="majorEastAsia" w:hAnsiTheme="majorEastAsia" w:eastAsiaTheme="majorEastAsia" w:cstheme="majorEastAsia"/>
          <w:sz w:val="28"/>
          <w:szCs w:val="28"/>
        </w:rPr>
        <w:t>：2020年收入合计25543.04万元，其中 ：公共预算拨款24743.04万元，占比96.87%；政府性基金预算拨款800万元，占比3.13%。</w:t>
      </w:r>
    </w:p>
    <w:p>
      <w:pPr>
        <w:numPr>
          <w:ilvl w:val="0"/>
          <w:numId w:val="1"/>
        </w:numPr>
        <w:ind w:left="420" w:leftChars="200" w:firstLine="562"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b/>
          <w:bCs/>
          <w:sz w:val="28"/>
          <w:szCs w:val="28"/>
        </w:rPr>
        <w:t>支出决算情况说明</w:t>
      </w:r>
      <w:r>
        <w:rPr>
          <w:rFonts w:hint="eastAsia" w:asciiTheme="majorEastAsia" w:hAnsiTheme="majorEastAsia" w:eastAsiaTheme="majorEastAsia" w:cstheme="majorEastAsia"/>
          <w:sz w:val="28"/>
          <w:szCs w:val="28"/>
        </w:rPr>
        <w:t>：2020年支出总计25135.95万元。其中：一般公共服务支出3247.38万元，占比0.38%；社会保障和就业435.26万元，占比4.15%；医疗卫生96.51万元，占比0.92%；城乡社区支出1641.59万元，占比15.64%；农林水事务8201.93万元，占比78.16%；住房保障支出78.97万元，占比0.75%。</w:t>
      </w:r>
    </w:p>
    <w:p>
      <w:pPr>
        <w:numPr>
          <w:ilvl w:val="0"/>
          <w:numId w:val="1"/>
        </w:numPr>
        <w:ind w:left="420" w:leftChars="200" w:firstLine="562"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b/>
          <w:bCs/>
          <w:sz w:val="28"/>
          <w:szCs w:val="28"/>
        </w:rPr>
        <w:t>财政拨款收入支出决算总体情况说明：</w:t>
      </w:r>
      <w:r>
        <w:rPr>
          <w:rFonts w:hint="eastAsia" w:asciiTheme="majorEastAsia" w:hAnsiTheme="majorEastAsia" w:eastAsiaTheme="majorEastAsia" w:cstheme="majorEastAsia"/>
          <w:sz w:val="28"/>
          <w:szCs w:val="28"/>
        </w:rPr>
        <w:t>2020年收入总计26021.46万元，与2019年相比增加14570.36万元，增加132.79%；2020年支出总计25135.95万元，与2019年相比增加14641.69万元，增加139.52%。收入支出增加的原因机构改革增加预算单位，人员经费及农林水支出相应增加。</w:t>
      </w:r>
    </w:p>
    <w:p>
      <w:pPr>
        <w:ind w:firstLine="843" w:firstLineChars="3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b/>
          <w:bCs/>
          <w:sz w:val="28"/>
          <w:szCs w:val="28"/>
        </w:rPr>
        <w:t>五、一般公共财政拨款收入决算总体情况说明</w:t>
      </w:r>
    </w:p>
    <w:p>
      <w:pPr>
        <w:ind w:firstLine="562"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b/>
          <w:bCs/>
          <w:sz w:val="28"/>
          <w:szCs w:val="28"/>
        </w:rPr>
        <w:t>（一）、一般公共财政拨款收入决算总体情况</w:t>
      </w:r>
      <w:r>
        <w:rPr>
          <w:rFonts w:hint="eastAsia" w:asciiTheme="majorEastAsia" w:hAnsiTheme="majorEastAsia" w:eastAsiaTheme="majorEastAsia" w:cstheme="majorEastAsia"/>
          <w:sz w:val="28"/>
          <w:szCs w:val="28"/>
        </w:rPr>
        <w:t>：2020年收入总计24335.94万元，与2019年相比增加14570.36万元，增加132.79%；收入增加的原因为机构改革增加预算单位，人员经费及农林水支出相应增加。</w:t>
      </w:r>
    </w:p>
    <w:p>
      <w:pPr>
        <w:ind w:left="420" w:leftChars="200" w:firstLine="413" w:firstLineChars="147"/>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b/>
          <w:bCs/>
          <w:sz w:val="28"/>
          <w:szCs w:val="28"/>
        </w:rPr>
        <w:t>（二）一般公共财政拨款支出决算总体情况：</w:t>
      </w:r>
      <w:r>
        <w:rPr>
          <w:rFonts w:hint="eastAsia" w:asciiTheme="majorEastAsia" w:hAnsiTheme="majorEastAsia" w:eastAsiaTheme="majorEastAsia" w:cstheme="majorEastAsia"/>
          <w:sz w:val="28"/>
          <w:szCs w:val="28"/>
        </w:rPr>
        <w:t>2020年支出总计24335.94万元，与2019年相比增加14641.69万元，增加139.52%。增加的原因为机构改革增加预算单位，人员经费及农林水支出相应增加。其中：一般公共服务支出3247.38万元，占比12.92%；社会保障和就业536.03万元，占比2.13%；医疗卫生153.96万元，占比0.61%；城乡社区支出2838.41万元，占比11.29%；农林水事务18260.40万元，占比72.65%；住房保障支出74.77万元，占比0.3%；科学技术支出25万元，占比0.1%，</w:t>
      </w:r>
    </w:p>
    <w:p>
      <w:pPr>
        <w:pStyle w:val="7"/>
        <w:ind w:firstLine="700" w:firstLineChars="250"/>
        <w:rPr>
          <w:rFonts w:asciiTheme="minorEastAsia" w:hAnsiTheme="minorEastAsia" w:eastAsiaTheme="minorEastAsia"/>
          <w:sz w:val="28"/>
          <w:szCs w:val="28"/>
        </w:rPr>
      </w:pPr>
      <w:r>
        <w:rPr>
          <w:rFonts w:hint="eastAsia" w:asciiTheme="minorEastAsia" w:hAnsiTheme="minorEastAsia" w:eastAsiaTheme="minorEastAsia"/>
          <w:bCs/>
          <w:sz w:val="28"/>
          <w:szCs w:val="28"/>
        </w:rPr>
        <w:t>（</w:t>
      </w:r>
      <w:r>
        <w:rPr>
          <w:rFonts w:hint="eastAsia" w:asciiTheme="minorEastAsia" w:hAnsiTheme="minorEastAsia" w:eastAsiaTheme="minorEastAsia"/>
          <w:b/>
          <w:sz w:val="28"/>
          <w:szCs w:val="28"/>
        </w:rPr>
        <w:t>三）财政拨款支出决算具体情况</w:t>
      </w:r>
      <w:r>
        <w:rPr>
          <w:rFonts w:hint="eastAsia" w:asciiTheme="minorEastAsia" w:hAnsiTheme="minorEastAsia" w:eastAsiaTheme="minorEastAsia"/>
          <w:bCs/>
          <w:sz w:val="28"/>
          <w:szCs w:val="28"/>
        </w:rPr>
        <w:t>：</w:t>
      </w:r>
      <w:r>
        <w:rPr>
          <w:rFonts w:hint="eastAsia" w:asciiTheme="minorEastAsia" w:hAnsiTheme="minorEastAsia" w:eastAsiaTheme="minorEastAsia"/>
          <w:sz w:val="28"/>
          <w:szCs w:val="28"/>
        </w:rPr>
        <w:t>2020年度财政拨款支出年初预算数为4548.12万元，支出决算数为24335.94万元，完成年初预算的552.67%，与年初预算安排的差额主要是预算追加安排的支出。其中：</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1、一般公共服务（类）政府办公厅（室）及相关事务（款）专项业务活动（项）。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支出决算为3244.38万元，年初预算未安排，增加是追加运转经费。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2、一般公共服务（类）其他一般公共服务支出（款）其他一般公共服务支出（项）。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支出决算为3万元，年初预算未安排，增加部分为追加工作经费。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3、科学技术支出（类）技术研究与开发（款）科技成果转化与扩散（项）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支出决算为25万元，年初预算未安排，增加部分为追加工作经费。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4、社会保障和就业支出（类）行政事业单位养老支出（款）机关事业单位基本养老保险缴费支出（项）。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支出决算为460.32万元，年初预算安排数为460.32，完成年初预算的100%。</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5、社会保障和就业支出（类）行政事业单位养老支出（款）其他行政事业单位养老支出（项）。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支出决算为52.56万元，年初预算安排数为52.56万元，完成年初预算的100%。</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6、社会保障和就业支出（类）抚恤（款）伤残抚恤（项）。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支出决算为0.58万元，年初预算安排数为0.58万元，完成年初预算的100%。</w:t>
      </w:r>
    </w:p>
    <w:p>
      <w:pPr>
        <w:pStyle w:val="7"/>
        <w:ind w:firstLine="560" w:firstLineChars="200"/>
        <w:rPr>
          <w:rFonts w:asciiTheme="minorEastAsia" w:hAnsiTheme="minorEastAsia" w:eastAsiaTheme="minorEastAsia"/>
          <w:color w:val="000000" w:themeColor="text1"/>
          <w:sz w:val="28"/>
          <w:szCs w:val="28"/>
        </w:rPr>
      </w:pPr>
      <w:r>
        <w:rPr>
          <w:rFonts w:hint="eastAsia" w:asciiTheme="minorEastAsia" w:hAnsiTheme="minorEastAsia" w:eastAsiaTheme="minorEastAsia"/>
          <w:color w:val="000000" w:themeColor="text1"/>
          <w:sz w:val="28"/>
          <w:szCs w:val="28"/>
        </w:rPr>
        <w:t>7、社会保障和就业支出（类）抚恤（款）其他优抚支出（项）。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年初预算为6.9万元，支出决算为6.9万元，完成年初预算的100%。</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8、社会保障和就业支出（类）财政对其他社会保险基金的补助（款）财政对工伤保险基金的补助（项）。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支出决算为10.32万元，年初预算为10.32万元，完成年初预算的100%。</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9、社会保障和就业支出（类）财政对其他社会保险基金的补助（款）财政对生育保险基金的补助（项）。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支出决算为5.35万元，年初预算为5.35万元，完成年初预算的100%。</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10、卫生健康支出（类）行政事业单位医疗（款）行政单位医疗（项）。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年初预算为112.51万元，支出决算为112.51万元，完成年初预算的100%。</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11、卫生健康支出（类）行政事业单位医疗（款）事业单位医疗（项）。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年初预算为41.45万元，支出决算为41.45万元，完成年初预算的100%。</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12、城乡社区支出（类）城乡社区管理事务（款）其他城乡社区管理事务支出（项）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支出决算数为2038.41万元，年初预算未安排，增加部分是追加乡村振兴、农村垃圾专项治理及美丽乡村建设资金。</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13、农林水（类）农业（款）行政运行（项）。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年初预算为2088.72万元，支出决算为2088.72万元，完成年初预算的100%。</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14、农林水（类）农业（款）事业运行（项）。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年初预算为510.8万元，支出决算为510.8万元，完成年初预算的100%。</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15、农林水（类）农业（款）科技转化与推广（项）。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年初预算未安排，支出决算为330万元，增加部分为上级拨付项目经费。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16、农林水（类）农业（款）病虫害控制（项）。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年初预算为40万元，支出决算为164万元，完成年初预算的100%，其余增加资金是追加项目经费。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17、农林水（类）农业（款）农产品质量安全（项）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年初预算为30万元，支出决算为175万元，完成年初预算的100%，其余是追加经费。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18、农林水（类）农业（款）执法监管（项）。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年初预算为10万元，支出决算为10万元，完成年初预算的100%。</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19、农林水（类）农业（款）统计监测与信息服务（项）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年初预算为5万元，支出决算为5万元，完成年初预算的100%。</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20、农林水（类）农业（款）防灾救灾（项）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年初预算为8万元，支出决算为108万元，增加部分是上级拨付二化螟防治经费。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21、农林水（类）农业（款）（项）农业结构调整补贴（项）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支出决算为10万元，年初预算未安排，增加部分是追加资金。</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22、农林水（类）农业（款）（项）农业生产发展（项）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支出决算为9449.87万元，年初预算未安排，增加部分为上级拨项目资金。</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23、农林水（类）农业（款）农村社会事业（项）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年初预算未安排，支出决算为758万元，增加部分是上级拨项目经费。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24、农林水（类）农业综合开发农业（款）农业资源保护修复与利用（项）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 xml:space="preserve">年初预算未安排，支出决算为568万元，增加部分为上级拨项目经费。 </w:t>
      </w:r>
    </w:p>
    <w:p>
      <w:pPr>
        <w:pStyle w:val="7"/>
        <w:ind w:firstLine="280" w:firstLineChars="1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 xml:space="preserve"> 25、农林水（类）农业综合开发农业（款）其他农业综合开发支出（项）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年初预算为30万元，支出决算为30万元，完成年初预算的100%。</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26、农林水（类）水利（款）农村水利（项）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支出决算数为408.3万元，年初未安排预算，增加部分为上级拨项目资金。</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27、住房保障支出（类）住房改革支出（款）住房公积金（项）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年初预算为90.83万元，支出决算为74.77万元，完成年初预算的82.32%.</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28、城乡社区支出（类）国有土地使用权出让收入及对应专项债务收入安排的支出（款）其他国有土地使用权出让收入安排的支出（项）</w:t>
      </w:r>
    </w:p>
    <w:p>
      <w:pPr>
        <w:pStyle w:val="7"/>
        <w:ind w:firstLine="560" w:firstLineChars="2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支出决算为2038.41万元，年初预算未安排，增加部分为年中追加。</w:t>
      </w:r>
    </w:p>
    <w:p>
      <w:pPr>
        <w:pStyle w:val="7"/>
        <w:ind w:firstLine="562" w:firstLineChars="200"/>
        <w:rPr>
          <w:rFonts w:ascii="宋体" w:hAnsi="宋体" w:eastAsia="宋体" w:cs="宋体"/>
          <w:b/>
          <w:sz w:val="28"/>
          <w:szCs w:val="28"/>
        </w:rPr>
      </w:pPr>
      <w:r>
        <w:rPr>
          <w:rFonts w:hint="eastAsia" w:ascii="宋体" w:hAnsi="宋体" w:eastAsia="宋体" w:cs="宋体"/>
          <w:b/>
          <w:sz w:val="28"/>
          <w:szCs w:val="28"/>
        </w:rPr>
        <w:t>六、一般公共预算财政拨款基本支出决算情况说明</w:t>
      </w:r>
    </w:p>
    <w:p>
      <w:pPr>
        <w:pStyle w:val="7"/>
        <w:ind w:firstLine="560" w:firstLineChars="200"/>
        <w:rPr>
          <w:rFonts w:ascii="宋体" w:hAnsi="宋体" w:eastAsia="宋体" w:cs="宋体"/>
          <w:sz w:val="28"/>
          <w:szCs w:val="28"/>
        </w:rPr>
      </w:pPr>
      <w:r>
        <w:rPr>
          <w:rFonts w:hint="eastAsia" w:ascii="宋体" w:hAnsi="宋体" w:eastAsia="宋体" w:cs="宋体"/>
          <w:sz w:val="28"/>
          <w:szCs w:val="28"/>
        </w:rPr>
        <w:t>2020年度财政拨款基本支出</w:t>
      </w:r>
      <w:r>
        <w:rPr>
          <w:rFonts w:hint="eastAsia" w:asciiTheme="minorEastAsia" w:hAnsiTheme="minorEastAsia" w:eastAsiaTheme="minorEastAsia"/>
          <w:sz w:val="28"/>
          <w:szCs w:val="28"/>
        </w:rPr>
        <w:t>25135.95</w:t>
      </w:r>
      <w:r>
        <w:rPr>
          <w:rFonts w:hint="eastAsia" w:ascii="宋体" w:hAnsi="宋体" w:eastAsia="宋体" w:cs="宋体"/>
          <w:sz w:val="28"/>
          <w:szCs w:val="28"/>
        </w:rPr>
        <w:t>万元，其中：人员经费3860.45万元，占基本支出的15.36%,主要包括基本工资、津贴补贴、奖金、伙食补助费、绩效工资、机关事业单位基本养老保险缴费、职工基本医疗保险缴费、其他社会保障缴费、住房公积金、其他工资福利支出、对其他个人和家庭的补助、抚恤金、生活补助、医疗补助、对其他个人和；公用经费303.84万元，占基本支出的1.21%，主要包括办公费、印刷费、水费、电费、差旅费、维修费、会议费、培训费、公务接待费、劳务费、工会经费、公务用车运行维护费、其他交通费用。</w:t>
      </w:r>
    </w:p>
    <w:p>
      <w:pPr>
        <w:pStyle w:val="7"/>
        <w:ind w:firstLine="281" w:firstLineChars="100"/>
        <w:rPr>
          <w:rFonts w:ascii="宋体" w:hAnsi="宋体" w:eastAsia="宋体" w:cs="宋体"/>
          <w:b/>
          <w:bCs/>
          <w:sz w:val="28"/>
          <w:szCs w:val="28"/>
        </w:rPr>
      </w:pPr>
      <w:r>
        <w:rPr>
          <w:rFonts w:hint="eastAsia" w:ascii="宋体" w:hAnsi="宋体" w:eastAsia="宋体" w:cs="宋体"/>
          <w:b/>
          <w:bCs/>
          <w:sz w:val="28"/>
          <w:szCs w:val="28"/>
        </w:rPr>
        <w:t>七、一般公共预算财政拨款三公经费支出决算情况说明</w:t>
      </w:r>
    </w:p>
    <w:p>
      <w:pPr>
        <w:pStyle w:val="7"/>
        <w:rPr>
          <w:rFonts w:ascii="宋体" w:hAnsi="宋体" w:eastAsia="宋体" w:cs="宋体"/>
          <w:b/>
          <w:bCs/>
          <w:sz w:val="28"/>
          <w:szCs w:val="28"/>
        </w:rPr>
      </w:pPr>
      <w:r>
        <w:rPr>
          <w:rFonts w:hint="eastAsia" w:ascii="宋体" w:hAnsi="宋体" w:eastAsia="宋体" w:cs="宋体"/>
          <w:b/>
          <w:bCs/>
          <w:sz w:val="28"/>
          <w:szCs w:val="28"/>
        </w:rPr>
        <w:t>（一）“三公”经费财政拨款支出决算总体情况说明</w:t>
      </w:r>
    </w:p>
    <w:p>
      <w:pPr>
        <w:pStyle w:val="7"/>
        <w:ind w:firstLine="560" w:firstLineChars="200"/>
        <w:rPr>
          <w:rFonts w:ascii="宋体" w:hAnsi="宋体" w:eastAsia="宋体" w:cs="宋体"/>
          <w:sz w:val="28"/>
          <w:szCs w:val="28"/>
        </w:rPr>
      </w:pPr>
      <w:r>
        <w:rPr>
          <w:rFonts w:hint="eastAsia" w:ascii="宋体" w:hAnsi="宋体" w:eastAsia="宋体" w:cs="宋体"/>
          <w:sz w:val="28"/>
          <w:szCs w:val="28"/>
        </w:rPr>
        <w:t>“三公”经费财政拨款支出预算为24万元，支出决算为13.3万元，完成预算的55.42%，三公经费总体支出基本与上年持平，原因主要是我局较好的落实了上级要求，厉行节约，严格三公经费支出的审核把关和规范三公经费支出程序。其中：</w:t>
      </w:r>
    </w:p>
    <w:p>
      <w:pPr>
        <w:pStyle w:val="7"/>
        <w:ind w:firstLine="700" w:firstLineChars="250"/>
        <w:rPr>
          <w:rFonts w:ascii="宋体" w:hAnsi="宋体" w:eastAsia="宋体" w:cs="宋体"/>
          <w:sz w:val="28"/>
          <w:szCs w:val="28"/>
        </w:rPr>
      </w:pPr>
      <w:r>
        <w:rPr>
          <w:rFonts w:hint="eastAsia" w:ascii="宋体" w:hAnsi="宋体" w:eastAsia="宋体" w:cs="宋体"/>
          <w:sz w:val="28"/>
          <w:szCs w:val="28"/>
        </w:rPr>
        <w:t>因公出国（境）费支出预算为0万元，支出决算为0万元，完成预算的0%，决算数与年初预算数持平。与上年一致。</w:t>
      </w:r>
    </w:p>
    <w:p>
      <w:pPr>
        <w:pStyle w:val="7"/>
        <w:ind w:firstLine="560" w:firstLineChars="200"/>
        <w:rPr>
          <w:rFonts w:ascii="宋体" w:hAnsi="宋体" w:eastAsia="宋体" w:cs="宋体"/>
          <w:sz w:val="28"/>
          <w:szCs w:val="28"/>
        </w:rPr>
      </w:pPr>
      <w:r>
        <w:rPr>
          <w:rFonts w:hint="eastAsia" w:ascii="宋体" w:hAnsi="宋体" w:eastAsia="宋体" w:cs="宋体"/>
          <w:sz w:val="28"/>
          <w:szCs w:val="28"/>
        </w:rPr>
        <w:t>公务接待费支出预算为21万元，支出决算为11.3万元，完成预算的54.19%，与上年相比增加0.01万元，增加的主要原因是机构改革合并，工作覆盖面增加，接待事项增加。2020年国内共接待批次425次，接待人数2200人。</w:t>
      </w:r>
    </w:p>
    <w:p>
      <w:pPr>
        <w:pStyle w:val="7"/>
        <w:ind w:firstLine="560" w:firstLineChars="200"/>
        <w:rPr>
          <w:rFonts w:ascii="宋体" w:hAnsi="宋体" w:eastAsia="宋体" w:cs="宋体"/>
          <w:sz w:val="28"/>
          <w:szCs w:val="28"/>
        </w:rPr>
      </w:pPr>
      <w:r>
        <w:rPr>
          <w:rFonts w:hint="eastAsia" w:ascii="宋体" w:hAnsi="宋体" w:eastAsia="宋体" w:cs="宋体"/>
          <w:sz w:val="28"/>
          <w:szCs w:val="28"/>
        </w:rPr>
        <w:t>公务用车购置费及运行维护费支出预算为3万元，支出决算为2万元，完成预算的66.67%，与上年相比持平。2020年我单位公务用车保有量为1辆。</w:t>
      </w:r>
    </w:p>
    <w:p>
      <w:pPr>
        <w:pStyle w:val="7"/>
        <w:rPr>
          <w:rFonts w:ascii="宋体" w:hAnsi="宋体" w:eastAsia="宋体" w:cs="宋体"/>
          <w:b/>
          <w:bCs/>
          <w:sz w:val="28"/>
          <w:szCs w:val="28"/>
        </w:rPr>
      </w:pPr>
      <w:r>
        <w:rPr>
          <w:rFonts w:hint="eastAsia" w:ascii="宋体" w:hAnsi="宋体" w:eastAsia="宋体" w:cs="宋体"/>
          <w:b/>
          <w:bCs/>
          <w:sz w:val="28"/>
          <w:szCs w:val="28"/>
        </w:rPr>
        <w:t>（二）“三公”经费财政拨款支出决算具体情况说明</w:t>
      </w:r>
    </w:p>
    <w:p>
      <w:pPr>
        <w:pStyle w:val="7"/>
        <w:ind w:firstLine="560" w:firstLineChars="200"/>
        <w:rPr>
          <w:rFonts w:ascii="宋体" w:hAnsi="宋体" w:eastAsia="宋体" w:cs="宋体"/>
          <w:sz w:val="28"/>
          <w:szCs w:val="28"/>
        </w:rPr>
      </w:pPr>
      <w:r>
        <w:rPr>
          <w:rFonts w:hint="eastAsia" w:ascii="宋体" w:hAnsi="宋体" w:eastAsia="宋体" w:cs="宋体"/>
          <w:sz w:val="28"/>
          <w:szCs w:val="28"/>
        </w:rPr>
        <w:t>2020年度“三公”经费财政拨款支出决算中，公务接待费支出决算11.33万元，占84.96%,因公出国（境）费支出决算0万元，占0%,公务用车购置费及运行维护费支出决算2万元，占15.04%。其中：</w:t>
      </w:r>
    </w:p>
    <w:p>
      <w:pPr>
        <w:pStyle w:val="7"/>
        <w:ind w:firstLine="560" w:firstLineChars="200"/>
        <w:rPr>
          <w:rFonts w:ascii="宋体" w:hAnsi="宋体" w:eastAsia="宋体" w:cs="宋体"/>
          <w:sz w:val="28"/>
          <w:szCs w:val="28"/>
        </w:rPr>
      </w:pPr>
      <w:r>
        <w:rPr>
          <w:rFonts w:hint="eastAsia" w:ascii="宋体" w:hAnsi="宋体" w:eastAsia="宋体" w:cs="宋体"/>
          <w:sz w:val="28"/>
          <w:szCs w:val="28"/>
        </w:rPr>
        <w:t>1、因公出国（境）费支出决算为0万元，全年安排因公出国（境）团组0个，累计0人次。</w:t>
      </w:r>
    </w:p>
    <w:p>
      <w:pPr>
        <w:pStyle w:val="7"/>
        <w:ind w:firstLine="700" w:firstLineChars="250"/>
        <w:rPr>
          <w:rFonts w:ascii="宋体" w:hAnsi="宋体" w:eastAsia="宋体" w:cs="宋体"/>
          <w:sz w:val="28"/>
          <w:szCs w:val="28"/>
        </w:rPr>
      </w:pPr>
      <w:r>
        <w:rPr>
          <w:rFonts w:hint="eastAsia" w:ascii="宋体" w:hAnsi="宋体" w:eastAsia="宋体" w:cs="宋体"/>
          <w:sz w:val="28"/>
          <w:szCs w:val="28"/>
        </w:rPr>
        <w:t>2、公务接待费支出决算为2万元，本年共接待425批次，共接待2200人次，均为国内公务接待。</w:t>
      </w:r>
    </w:p>
    <w:p>
      <w:pPr>
        <w:ind w:firstLine="700" w:firstLineChars="250"/>
        <w:rPr>
          <w:rFonts w:ascii="宋体" w:hAnsi="宋体" w:eastAsia="宋体" w:cs="宋体"/>
          <w:color w:val="000000"/>
          <w:kern w:val="0"/>
          <w:sz w:val="28"/>
          <w:szCs w:val="28"/>
        </w:rPr>
      </w:pPr>
      <w:r>
        <w:rPr>
          <w:rFonts w:hint="eastAsia" w:ascii="宋体" w:hAnsi="宋体" w:eastAsia="宋体" w:cs="宋体"/>
          <w:color w:val="000000"/>
          <w:kern w:val="0"/>
          <w:sz w:val="28"/>
          <w:szCs w:val="28"/>
        </w:rPr>
        <w:t>3、公务用车购置费及运行维护费支出决算为2万元，其中：公务用车购置费0万元。公务用车运行维护费2万元，主要是公务车用油、保养、维修支出，截止2020年12月31日，我单位开支财政拨款的公务用车保有量为1辆。</w:t>
      </w:r>
    </w:p>
    <w:p>
      <w:pPr>
        <w:pStyle w:val="7"/>
        <w:ind w:firstLine="562" w:firstLineChars="200"/>
        <w:rPr>
          <w:rFonts w:ascii="宋体" w:hAnsi="宋体" w:eastAsia="宋体" w:cs="宋体"/>
          <w:b/>
          <w:sz w:val="28"/>
          <w:szCs w:val="28"/>
        </w:rPr>
      </w:pPr>
      <w:r>
        <w:rPr>
          <w:rFonts w:hint="eastAsia" w:ascii="宋体" w:hAnsi="宋体" w:eastAsia="宋体" w:cs="宋体"/>
          <w:b/>
          <w:sz w:val="28"/>
          <w:szCs w:val="28"/>
        </w:rPr>
        <w:t>八、政府性基金预算收入支出决算情况</w:t>
      </w:r>
    </w:p>
    <w:p>
      <w:pPr>
        <w:pStyle w:val="7"/>
        <w:ind w:firstLine="560" w:firstLineChars="200"/>
        <w:rPr>
          <w:rFonts w:ascii="宋体" w:hAnsi="宋体" w:eastAsia="宋体" w:cs="宋体"/>
          <w:sz w:val="28"/>
          <w:szCs w:val="28"/>
        </w:rPr>
      </w:pPr>
      <w:r>
        <w:rPr>
          <w:rFonts w:hint="eastAsia" w:ascii="宋体" w:hAnsi="宋体" w:eastAsia="宋体" w:cs="宋体"/>
          <w:sz w:val="28"/>
          <w:szCs w:val="28"/>
        </w:rPr>
        <w:t xml:space="preserve">   2020年度年初无政府性基金预算收入，年中追加800万元，决算支出800万元，单位征地拆迁补偿收入和支出。</w:t>
      </w:r>
    </w:p>
    <w:p>
      <w:pPr>
        <w:pStyle w:val="7"/>
        <w:snapToGrid w:val="0"/>
        <w:spacing w:line="360" w:lineRule="auto"/>
        <w:ind w:firstLine="617" w:firstLineChars="200"/>
        <w:rPr>
          <w:rFonts w:ascii="宋体" w:hAnsi="宋体" w:eastAsia="宋体" w:cs="宋体"/>
          <w:b/>
          <w:w w:val="96"/>
          <w:sz w:val="32"/>
          <w:szCs w:val="32"/>
        </w:rPr>
      </w:pPr>
      <w:r>
        <w:rPr>
          <w:rFonts w:hint="eastAsia" w:ascii="宋体" w:hAnsi="宋体" w:eastAsia="宋体" w:cs="宋体"/>
          <w:b/>
          <w:w w:val="96"/>
          <w:sz w:val="32"/>
          <w:szCs w:val="32"/>
        </w:rPr>
        <w:t>九、国有资本经营预算财政拨款支出决算情况</w:t>
      </w:r>
    </w:p>
    <w:p>
      <w:pPr>
        <w:pStyle w:val="7"/>
        <w:ind w:firstLine="614" w:firstLineChars="200"/>
        <w:rPr>
          <w:rFonts w:ascii="宋体" w:hAnsi="宋体" w:eastAsia="宋体" w:cs="宋体"/>
          <w:sz w:val="28"/>
          <w:szCs w:val="28"/>
        </w:rPr>
      </w:pPr>
      <w:r>
        <w:rPr>
          <w:rFonts w:hint="eastAsia" w:ascii="宋体" w:hAnsi="宋体" w:eastAsia="宋体" w:cs="宋体"/>
          <w:w w:val="96"/>
          <w:sz w:val="32"/>
          <w:szCs w:val="32"/>
        </w:rPr>
        <w:t>本单位2020年没有国有资本经营预算财政拨款支出。</w:t>
      </w:r>
    </w:p>
    <w:p>
      <w:pPr>
        <w:ind w:firstLine="643" w:firstLineChars="200"/>
        <w:rPr>
          <w:rFonts w:cs="黑体" w:asciiTheme="minorEastAsia" w:hAnsiTheme="minorEastAsia"/>
          <w:b/>
          <w:color w:val="000000"/>
          <w:kern w:val="0"/>
          <w:sz w:val="32"/>
          <w:szCs w:val="32"/>
        </w:rPr>
      </w:pPr>
      <w:r>
        <w:rPr>
          <w:rFonts w:hint="eastAsia" w:hAnsi="黑体"/>
          <w:b/>
          <w:sz w:val="32"/>
          <w:szCs w:val="32"/>
        </w:rPr>
        <w:t>十、</w:t>
      </w:r>
      <w:r>
        <w:rPr>
          <w:rFonts w:hint="eastAsia" w:cs="黑体" w:asciiTheme="minorEastAsia" w:hAnsiTheme="minorEastAsia"/>
          <w:b/>
          <w:color w:val="000000"/>
          <w:kern w:val="0"/>
          <w:sz w:val="32"/>
          <w:szCs w:val="32"/>
        </w:rPr>
        <w:t>机关运行经费支出情况</w:t>
      </w:r>
    </w:p>
    <w:p>
      <w:pPr>
        <w:spacing w:line="580" w:lineRule="exact"/>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本部门2020 年度机关运行经费支出121.7万元，比年初预算数减少5.5万元，减少4.32%。主要原因是：2020年部分经费支出没有支付。</w:t>
      </w:r>
    </w:p>
    <w:p>
      <w:pPr>
        <w:adjustRightInd w:val="0"/>
        <w:snapToGrid w:val="0"/>
        <w:spacing w:line="580" w:lineRule="exact"/>
        <w:ind w:firstLine="617" w:firstLineChars="200"/>
        <w:rPr>
          <w:rFonts w:ascii="宋体" w:hAnsi="宋体" w:eastAsia="宋体" w:cs="宋体"/>
          <w:b/>
          <w:color w:val="000000"/>
          <w:w w:val="96"/>
          <w:kern w:val="0"/>
          <w:sz w:val="32"/>
          <w:szCs w:val="32"/>
        </w:rPr>
      </w:pPr>
      <w:r>
        <w:rPr>
          <w:rFonts w:hint="eastAsia" w:ascii="宋体" w:hAnsi="宋体" w:eastAsia="宋体" w:cs="宋体"/>
          <w:b/>
          <w:color w:val="000000"/>
          <w:w w:val="96"/>
          <w:kern w:val="0"/>
          <w:sz w:val="32"/>
          <w:szCs w:val="32"/>
        </w:rPr>
        <w:t>十一、一般性支出情况</w:t>
      </w:r>
    </w:p>
    <w:p>
      <w:pPr>
        <w:adjustRightInd w:val="0"/>
        <w:snapToGrid w:val="0"/>
        <w:spacing w:line="580" w:lineRule="exact"/>
        <w:ind w:firstLine="614" w:firstLineChars="200"/>
        <w:rPr>
          <w:rFonts w:eastAsia="宋体"/>
        </w:rPr>
      </w:pPr>
      <w:r>
        <w:rPr>
          <w:rFonts w:hint="eastAsia" w:ascii="宋体" w:hAnsi="宋体" w:eastAsia="宋体" w:cs="宋体"/>
          <w:color w:val="000000"/>
          <w:w w:val="96"/>
          <w:kern w:val="0"/>
          <w:sz w:val="32"/>
          <w:szCs w:val="32"/>
        </w:rPr>
        <w:t>2020年本开部门会议费支出24.3万元，</w:t>
      </w:r>
      <w:r>
        <w:rPr>
          <w:rFonts w:hint="eastAsia" w:ascii="宋体" w:hAnsi="宋体" w:eastAsia="宋体" w:cs="宋体"/>
          <w:w w:val="96"/>
          <w:kern w:val="0"/>
          <w:sz w:val="32"/>
          <w:szCs w:val="32"/>
        </w:rPr>
        <w:t>培训费支出5.15万元。</w:t>
      </w:r>
    </w:p>
    <w:p>
      <w:pPr>
        <w:spacing w:line="580" w:lineRule="exact"/>
        <w:ind w:firstLine="643"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十二、政府采购支出情况</w:t>
      </w:r>
    </w:p>
    <w:p>
      <w:pPr>
        <w:spacing w:line="580" w:lineRule="exact"/>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本部门2020年度政府采购支出总额1428.2万元，其中：政府采购货物支出1428.2万元、政府采购工程支出0万元、政府采购服务支出0万元。</w:t>
      </w:r>
    </w:p>
    <w:p>
      <w:pPr>
        <w:spacing w:line="580" w:lineRule="exact"/>
        <w:ind w:firstLine="643"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十三、国有资产占用情况</w:t>
      </w:r>
    </w:p>
    <w:p>
      <w:pPr>
        <w:spacing w:line="580" w:lineRule="exact"/>
        <w:ind w:firstLine="640" w:firstLineChars="200"/>
        <w:rPr>
          <w:rFonts w:eastAsia="宋体"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截至2020年12月31日，本单位共有执法车辆1辆，</w:t>
      </w:r>
      <w:r>
        <w:rPr>
          <w:rFonts w:hint="eastAsia" w:ascii="宋体" w:hAnsi="宋体" w:eastAsia="宋体" w:cs="宋体"/>
          <w:color w:val="000000"/>
          <w:w w:val="96"/>
          <w:kern w:val="0"/>
          <w:sz w:val="28"/>
          <w:szCs w:val="28"/>
        </w:rPr>
        <w:t>单位价值50万元以上通用设备0台（套）；单位价值100万元以上专用设备0台（套）。</w:t>
      </w:r>
    </w:p>
    <w:p>
      <w:pPr>
        <w:spacing w:line="580" w:lineRule="exact"/>
        <w:ind w:firstLine="562" w:firstLineChars="200"/>
        <w:jc w:val="left"/>
        <w:rPr>
          <w:rFonts w:ascii="宋体" w:hAnsi="宋体" w:eastAsia="宋体" w:cs="宋体"/>
          <w:b/>
          <w:sz w:val="28"/>
          <w:szCs w:val="28"/>
        </w:rPr>
      </w:pPr>
      <w:r>
        <w:rPr>
          <w:rFonts w:hint="eastAsia" w:ascii="宋体" w:hAnsi="宋体" w:eastAsia="宋体" w:cs="宋体"/>
          <w:b/>
          <w:sz w:val="28"/>
          <w:szCs w:val="28"/>
        </w:rPr>
        <w:t>十四、关于2020年度预算绩效情况说明</w:t>
      </w:r>
    </w:p>
    <w:p>
      <w:pPr>
        <w:spacing w:line="580" w:lineRule="exact"/>
        <w:ind w:left="420" w:leftChars="200" w:firstLine="560" w:firstLineChars="200"/>
        <w:jc w:val="left"/>
        <w:rPr>
          <w:rFonts w:asciiTheme="majorEastAsia" w:hAnsiTheme="majorEastAsia" w:eastAsiaTheme="majorEastAsia" w:cstheme="majorEastAsia"/>
          <w:sz w:val="28"/>
          <w:szCs w:val="28"/>
        </w:rPr>
      </w:pPr>
      <w:r>
        <w:rPr>
          <w:rFonts w:hint="eastAsia" w:ascii="宋体" w:hAnsi="宋体" w:eastAsia="宋体" w:cs="宋体"/>
          <w:sz w:val="28"/>
          <w:szCs w:val="28"/>
        </w:rPr>
        <w:t>为进一步规范财政资金管理，强化绩效和责任意识，切实提高财政资金使用效益，根据财政预算管理要求及县财政局的统一部署，我局对2020年度部门整体支出认真开展绩效自评，按财政要</w:t>
      </w:r>
      <w:r>
        <w:rPr>
          <w:rFonts w:hint="eastAsia" w:asciiTheme="majorEastAsia" w:hAnsiTheme="majorEastAsia" w:eastAsiaTheme="majorEastAsia" w:cstheme="majorEastAsia"/>
          <w:sz w:val="28"/>
          <w:szCs w:val="28"/>
        </w:rPr>
        <w:t>求及时报送了《衡南县农业局2020年度部门整体支出绩效评价报告》、《部门整体支出绩效评价基础数据表》等相关表格及佐证资料，并在县政府门户网站上进行了公开。 </w:t>
      </w:r>
    </w:p>
    <w:p>
      <w:pPr>
        <w:spacing w:line="580" w:lineRule="exact"/>
        <w:ind w:left="420" w:leftChars="200" w:firstLine="560" w:firstLineChars="200"/>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2020年，我局严格落实县委、县政府关于党政机关厉行节约的有关要求，既有效保障机关运转，又坚决制止铺张浪费，切实规范公务消费行为，努力降低行政成本，压减一般性支出，保障重点支出，不断优化支出结构，圆满完成了全年任务。</w:t>
      </w:r>
    </w:p>
    <w:p>
      <w:pPr>
        <w:pStyle w:val="2"/>
      </w:pPr>
    </w:p>
    <w:p>
      <w:pPr>
        <w:ind w:firstLine="640" w:firstLineChars="200"/>
        <w:rPr>
          <w:rFonts w:cs="黑体" w:asciiTheme="minorEastAsia" w:hAnsiTheme="minorEastAsia"/>
          <w:color w:val="000000"/>
          <w:kern w:val="0"/>
          <w:sz w:val="32"/>
          <w:szCs w:val="32"/>
        </w:rPr>
      </w:pPr>
    </w:p>
    <w:p>
      <w:pP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72"/>
          <w:szCs w:val="72"/>
        </w:rPr>
      </w:pPr>
      <w:r>
        <w:rPr>
          <w:rFonts w:hint="eastAsia" w:asciiTheme="majorEastAsia" w:hAnsiTheme="majorEastAsia" w:eastAsiaTheme="majorEastAsia" w:cstheme="majorEastAsia"/>
          <w:b/>
          <w:bCs/>
          <w:sz w:val="72"/>
          <w:szCs w:val="72"/>
        </w:rPr>
        <w:t>第四部分</w:t>
      </w:r>
    </w:p>
    <w:p>
      <w:pPr>
        <w:jc w:val="cente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72"/>
          <w:szCs w:val="72"/>
        </w:rPr>
      </w:pPr>
      <w:r>
        <w:rPr>
          <w:rFonts w:hint="eastAsia" w:asciiTheme="majorEastAsia" w:hAnsiTheme="majorEastAsia" w:eastAsiaTheme="majorEastAsia" w:cstheme="majorEastAsia"/>
          <w:b/>
          <w:bCs/>
          <w:sz w:val="72"/>
          <w:szCs w:val="72"/>
        </w:rPr>
        <w:t>名词解释</w:t>
      </w:r>
    </w:p>
    <w:p>
      <w:pPr>
        <w:ind w:left="420" w:leftChars="200" w:firstLine="1446" w:firstLineChars="200"/>
        <w:rPr>
          <w:rFonts w:asciiTheme="majorEastAsia" w:hAnsiTheme="majorEastAsia" w:eastAsiaTheme="majorEastAsia" w:cstheme="majorEastAsia"/>
          <w:b/>
          <w:bCs/>
          <w:sz w:val="72"/>
          <w:szCs w:val="72"/>
        </w:rPr>
      </w:pPr>
    </w:p>
    <w:p>
      <w:pPr>
        <w:ind w:left="420" w:leftChars="200" w:firstLine="1446" w:firstLineChars="200"/>
        <w:jc w:val="center"/>
        <w:rPr>
          <w:rFonts w:asciiTheme="majorEastAsia" w:hAnsiTheme="majorEastAsia" w:eastAsiaTheme="majorEastAsia" w:cstheme="majorEastAsia"/>
          <w:b/>
          <w:bCs/>
          <w:sz w:val="72"/>
          <w:szCs w:val="72"/>
        </w:rPr>
      </w:pPr>
    </w:p>
    <w:p>
      <w:pPr>
        <w:ind w:left="420" w:leftChars="200" w:firstLine="1446" w:firstLineChars="200"/>
        <w:jc w:val="center"/>
        <w:rPr>
          <w:rFonts w:asciiTheme="majorEastAsia" w:hAnsiTheme="majorEastAsia" w:eastAsiaTheme="majorEastAsia" w:cstheme="majorEastAsia"/>
          <w:b/>
          <w:bCs/>
          <w:sz w:val="72"/>
          <w:szCs w:val="72"/>
        </w:rPr>
      </w:pPr>
    </w:p>
    <w:p>
      <w:pPr>
        <w:ind w:left="420" w:leftChars="200" w:firstLine="1446" w:firstLineChars="200"/>
        <w:jc w:val="center"/>
        <w:rPr>
          <w:rFonts w:asciiTheme="majorEastAsia" w:hAnsiTheme="majorEastAsia" w:eastAsiaTheme="majorEastAsia" w:cstheme="majorEastAsia"/>
          <w:b/>
          <w:bCs/>
          <w:sz w:val="72"/>
          <w:szCs w:val="72"/>
        </w:rPr>
      </w:pPr>
    </w:p>
    <w:p>
      <w:pPr>
        <w:ind w:left="420" w:leftChars="200" w:firstLine="1446" w:firstLineChars="200"/>
        <w:jc w:val="center"/>
        <w:rPr>
          <w:rFonts w:asciiTheme="majorEastAsia" w:hAnsiTheme="majorEastAsia" w:eastAsiaTheme="majorEastAsia" w:cstheme="majorEastAsia"/>
          <w:b/>
          <w:bCs/>
          <w:sz w:val="72"/>
          <w:szCs w:val="72"/>
        </w:rPr>
      </w:pPr>
    </w:p>
    <w:p>
      <w:pPr>
        <w:jc w:val="left"/>
        <w:rPr>
          <w:rFonts w:asciiTheme="majorEastAsia" w:hAnsiTheme="majorEastAsia" w:eastAsiaTheme="majorEastAsia" w:cstheme="majorEastAsia"/>
          <w:sz w:val="28"/>
          <w:szCs w:val="28"/>
        </w:rPr>
      </w:pPr>
    </w:p>
    <w:p>
      <w:pPr>
        <w:widowControl/>
        <w:jc w:val="left"/>
        <w:rPr>
          <w:color w:val="333333"/>
          <w:sz w:val="28"/>
          <w:szCs w:val="28"/>
        </w:rPr>
      </w:pPr>
      <w:r>
        <w:rPr>
          <w:rFonts w:hint="eastAsia"/>
          <w:color w:val="333333"/>
          <w:sz w:val="28"/>
          <w:szCs w:val="28"/>
        </w:rPr>
        <w:t>一、财政拨款收入：指财政部门核拨给单位的财政预算资金。</w:t>
      </w:r>
    </w:p>
    <w:p>
      <w:pPr>
        <w:widowControl/>
        <w:jc w:val="left"/>
        <w:rPr>
          <w:rFonts w:ascii="黑体" w:eastAsia="黑体" w:cs="黑体"/>
          <w:color w:val="000000"/>
          <w:kern w:val="0"/>
          <w:sz w:val="70"/>
          <w:szCs w:val="70"/>
        </w:rPr>
      </w:pPr>
      <w:r>
        <w:rPr>
          <w:rFonts w:hint="eastAsia"/>
          <w:color w:val="333333"/>
          <w:sz w:val="28"/>
          <w:szCs w:val="28"/>
        </w:rPr>
        <w:t>二、事业收入：指事业单位开展专业业务活动及辅助活动所取得的收入。 </w:t>
      </w:r>
    </w:p>
    <w:p>
      <w:pPr>
        <w:pStyle w:val="4"/>
        <w:shd w:val="clear" w:color="auto" w:fill="FFFFFF"/>
        <w:spacing w:before="0" w:beforeAutospacing="0" w:after="0" w:afterAutospacing="0"/>
        <w:rPr>
          <w:rFonts w:hint="default"/>
          <w:color w:val="333333"/>
          <w:sz w:val="28"/>
          <w:szCs w:val="28"/>
        </w:rPr>
      </w:pPr>
      <w:r>
        <w:rPr>
          <w:color w:val="333333"/>
          <w:sz w:val="28"/>
          <w:szCs w:val="28"/>
        </w:rPr>
        <w:t>三、附属单位上缴收入：指事业单位附属独立核算单位按有关规定上缴的收入。 </w:t>
      </w:r>
    </w:p>
    <w:p>
      <w:pPr>
        <w:pStyle w:val="4"/>
        <w:shd w:val="clear" w:color="auto" w:fill="FFFFFF"/>
        <w:spacing w:before="0" w:beforeAutospacing="0" w:after="0" w:afterAutospacing="0"/>
        <w:rPr>
          <w:rFonts w:hint="default"/>
          <w:color w:val="333333"/>
          <w:sz w:val="28"/>
          <w:szCs w:val="28"/>
        </w:rPr>
      </w:pPr>
      <w:r>
        <w:rPr>
          <w:color w:val="333333"/>
          <w:sz w:val="28"/>
          <w:szCs w:val="28"/>
        </w:rPr>
        <w:t>四、其他收入：指单位取得的除上述“财政拨款收入”、“事业收入”、“附属单位上缴收入”等以外的收入。 </w:t>
      </w:r>
    </w:p>
    <w:p>
      <w:pPr>
        <w:pStyle w:val="4"/>
        <w:shd w:val="clear" w:color="auto" w:fill="FFFFFF"/>
        <w:spacing w:before="0" w:beforeAutospacing="0" w:after="0" w:afterAutospacing="0"/>
        <w:rPr>
          <w:rFonts w:hint="default"/>
          <w:color w:val="333333"/>
          <w:sz w:val="28"/>
          <w:szCs w:val="28"/>
        </w:rPr>
      </w:pPr>
      <w:r>
        <w:rPr>
          <w:color w:val="333333"/>
          <w:sz w:val="28"/>
          <w:szCs w:val="28"/>
        </w:rPr>
        <w:t>五、年初结转和结余：指以前年度尚未完成、结转到本年仍按有关规定继续使用的资金。 </w:t>
      </w:r>
    </w:p>
    <w:p>
      <w:pPr>
        <w:pStyle w:val="4"/>
        <w:shd w:val="clear" w:color="auto" w:fill="FFFFFF"/>
        <w:spacing w:before="0" w:beforeAutospacing="0" w:after="0" w:afterAutospacing="0"/>
        <w:rPr>
          <w:rFonts w:hint="default"/>
          <w:color w:val="333333"/>
          <w:sz w:val="28"/>
          <w:szCs w:val="28"/>
        </w:rPr>
      </w:pPr>
      <w:r>
        <w:rPr>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4"/>
        <w:shd w:val="clear" w:color="auto" w:fill="FFFFFF"/>
        <w:spacing w:before="0" w:beforeAutospacing="0" w:after="0" w:afterAutospacing="0"/>
        <w:rPr>
          <w:rFonts w:hint="default"/>
          <w:color w:val="333333"/>
          <w:sz w:val="28"/>
          <w:szCs w:val="28"/>
        </w:rPr>
      </w:pPr>
      <w:r>
        <w:rPr>
          <w:color w:val="333333"/>
          <w:sz w:val="28"/>
          <w:szCs w:val="28"/>
        </w:rPr>
        <w:t>七、结余分配：指事业单位按规定提取的职工福利基金、事业基金和缴纳的所得税，以及建设单位按规定应交回的基本建设竣工项目结余资金。 </w:t>
      </w:r>
    </w:p>
    <w:p>
      <w:pPr>
        <w:pStyle w:val="4"/>
        <w:shd w:val="clear" w:color="auto" w:fill="FFFFFF"/>
        <w:spacing w:before="0" w:beforeAutospacing="0" w:after="0" w:afterAutospacing="0"/>
        <w:rPr>
          <w:rFonts w:hint="default"/>
          <w:color w:val="333333"/>
          <w:sz w:val="28"/>
          <w:szCs w:val="28"/>
        </w:rPr>
      </w:pPr>
      <w:r>
        <w:rPr>
          <w:color w:val="333333"/>
          <w:sz w:val="28"/>
          <w:szCs w:val="28"/>
        </w:rPr>
        <w:t>八、年末结转和结余：指本年度或以前年度预算安排、因客观条件发生变化无法按原计划实施，需延迟到以后年度按有关规定继续使用的资金。 </w:t>
      </w:r>
    </w:p>
    <w:p>
      <w:pPr>
        <w:pStyle w:val="4"/>
        <w:shd w:val="clear" w:color="auto" w:fill="FFFFFF"/>
        <w:spacing w:before="0" w:beforeAutospacing="0" w:after="0" w:afterAutospacing="0"/>
        <w:rPr>
          <w:rFonts w:hint="default"/>
          <w:color w:val="333333"/>
          <w:sz w:val="28"/>
          <w:szCs w:val="28"/>
        </w:rPr>
      </w:pPr>
      <w:r>
        <w:rPr>
          <w:color w:val="333333"/>
          <w:sz w:val="28"/>
          <w:szCs w:val="28"/>
        </w:rPr>
        <w:t>九、基本支出：指为保障机构正常运转、完成日常工作任务而发生的人员支出和公用支出。 </w:t>
      </w:r>
    </w:p>
    <w:p>
      <w:pPr>
        <w:pStyle w:val="4"/>
        <w:shd w:val="clear" w:color="auto" w:fill="FFFFFF"/>
        <w:spacing w:before="0" w:beforeAutospacing="0" w:after="0" w:afterAutospacing="0"/>
        <w:rPr>
          <w:rFonts w:hint="default"/>
          <w:color w:val="333333"/>
          <w:sz w:val="28"/>
          <w:szCs w:val="28"/>
        </w:rPr>
      </w:pPr>
      <w:r>
        <w:rPr>
          <w:color w:val="333333"/>
          <w:sz w:val="28"/>
          <w:szCs w:val="28"/>
        </w:rPr>
        <w:t>十、项目支出：指在基本支出之外，为完成特定行政任务和事业发展目标所发生的支出。 </w:t>
      </w:r>
    </w:p>
    <w:p>
      <w:pPr>
        <w:pStyle w:val="4"/>
        <w:shd w:val="clear" w:color="auto" w:fill="FFFFFF"/>
        <w:spacing w:before="0" w:beforeAutospacing="0" w:after="0" w:afterAutospacing="0"/>
        <w:rPr>
          <w:rFonts w:hint="default"/>
          <w:color w:val="333333"/>
          <w:sz w:val="28"/>
          <w:szCs w:val="28"/>
        </w:rPr>
      </w:pPr>
      <w:r>
        <w:rPr>
          <w:color w:val="333333"/>
          <w:sz w:val="28"/>
          <w:szCs w:val="28"/>
        </w:rPr>
        <w:t>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ind w:left="420" w:leftChars="200" w:firstLine="560" w:firstLineChars="200"/>
        <w:jc w:val="left"/>
        <w:rPr>
          <w:rFonts w:asciiTheme="majorEastAsia" w:hAnsiTheme="majorEastAsia" w:eastAsiaTheme="majorEastAsia" w:cstheme="majorEastAsia"/>
          <w:sz w:val="28"/>
          <w:szCs w:val="28"/>
        </w:rPr>
      </w:pP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ind w:left="420" w:leftChars="200" w:firstLine="560" w:firstLineChars="200"/>
        <w:jc w:val="left"/>
        <w:rPr>
          <w:rFonts w:asciiTheme="majorEastAsia" w:hAnsiTheme="majorEastAsia" w:eastAsiaTheme="majorEastAsia" w:cstheme="majorEastAsia"/>
          <w:sz w:val="28"/>
          <w:szCs w:val="28"/>
        </w:rPr>
      </w:pPr>
    </w:p>
    <w:p>
      <w:pPr>
        <w:rPr>
          <w:rFonts w:asciiTheme="majorEastAsia" w:hAnsiTheme="majorEastAsia" w:eastAsiaTheme="majorEastAsia" w:cstheme="majorEastAsia"/>
          <w:sz w:val="28"/>
          <w:szCs w:val="28"/>
        </w:rPr>
      </w:pPr>
    </w:p>
    <w:p>
      <w:pPr>
        <w:jc w:val="center"/>
        <w:rPr>
          <w:rFonts w:asciiTheme="majorEastAsia" w:hAnsiTheme="majorEastAsia" w:eastAsiaTheme="majorEastAsia" w:cstheme="majorEastAsia"/>
          <w:sz w:val="28"/>
          <w:szCs w:val="28"/>
        </w:rPr>
      </w:pPr>
    </w:p>
    <w:p>
      <w:pPr>
        <w:jc w:val="center"/>
        <w:rPr>
          <w:rFonts w:asciiTheme="majorEastAsia" w:hAnsiTheme="majorEastAsia" w:eastAsiaTheme="majorEastAsia" w:cstheme="majorEastAsia"/>
          <w:sz w:val="28"/>
          <w:szCs w:val="28"/>
        </w:rPr>
      </w:pPr>
    </w:p>
    <w:p>
      <w:pPr>
        <w:pStyle w:val="2"/>
      </w:pPr>
    </w:p>
    <w:p>
      <w:pPr>
        <w:pStyle w:val="2"/>
      </w:pPr>
    </w:p>
    <w:p>
      <w:pPr>
        <w:pStyle w:val="2"/>
      </w:pPr>
    </w:p>
    <w:p>
      <w:pPr>
        <w:pStyle w:val="2"/>
      </w:pPr>
    </w:p>
    <w:p>
      <w:pPr>
        <w:pStyle w:val="2"/>
      </w:pPr>
    </w:p>
    <w:p>
      <w:pPr>
        <w:jc w:val="cente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72"/>
          <w:szCs w:val="72"/>
        </w:rPr>
      </w:pPr>
      <w:r>
        <w:rPr>
          <w:rFonts w:hint="eastAsia" w:asciiTheme="majorEastAsia" w:hAnsiTheme="majorEastAsia" w:eastAsiaTheme="majorEastAsia" w:cstheme="majorEastAsia"/>
          <w:b/>
          <w:bCs/>
          <w:sz w:val="72"/>
          <w:szCs w:val="72"/>
        </w:rPr>
        <w:t>第五部分</w:t>
      </w:r>
    </w:p>
    <w:p>
      <w:pPr>
        <w:jc w:val="center"/>
        <w:rPr>
          <w:rFonts w:asciiTheme="majorEastAsia" w:hAnsiTheme="majorEastAsia" w:eastAsiaTheme="majorEastAsia" w:cstheme="majorEastAsia"/>
          <w:b/>
          <w:bCs/>
          <w:sz w:val="72"/>
          <w:szCs w:val="72"/>
        </w:rPr>
      </w:pPr>
    </w:p>
    <w:p>
      <w:pPr>
        <w:jc w:val="center"/>
        <w:rPr>
          <w:rFonts w:asciiTheme="majorEastAsia" w:hAnsiTheme="majorEastAsia" w:eastAsiaTheme="majorEastAsia" w:cstheme="majorEastAsia"/>
          <w:b/>
          <w:bCs/>
          <w:sz w:val="72"/>
          <w:szCs w:val="72"/>
        </w:rPr>
      </w:pPr>
      <w:r>
        <w:rPr>
          <w:rFonts w:hint="eastAsia" w:asciiTheme="majorEastAsia" w:hAnsiTheme="majorEastAsia" w:eastAsiaTheme="majorEastAsia" w:cstheme="majorEastAsia"/>
          <w:b/>
          <w:bCs/>
          <w:sz w:val="72"/>
          <w:szCs w:val="72"/>
        </w:rPr>
        <w:t>附件</w:t>
      </w:r>
    </w:p>
    <w:p>
      <w:pPr>
        <w:pStyle w:val="2"/>
        <w:rPr>
          <w:rFonts w:asciiTheme="majorEastAsia" w:hAnsiTheme="majorEastAsia" w:eastAsiaTheme="majorEastAsia" w:cstheme="majorEastAsia"/>
          <w:b/>
          <w:bCs/>
          <w:sz w:val="72"/>
          <w:szCs w:val="72"/>
        </w:rPr>
      </w:pPr>
    </w:p>
    <w:p>
      <w:pPr>
        <w:pStyle w:val="2"/>
        <w:rPr>
          <w:rFonts w:asciiTheme="majorEastAsia" w:hAnsiTheme="majorEastAsia" w:eastAsiaTheme="majorEastAsia" w:cstheme="majorEastAsia"/>
          <w:b/>
          <w:bCs/>
          <w:sz w:val="72"/>
          <w:szCs w:val="72"/>
        </w:rPr>
      </w:pPr>
    </w:p>
    <w:p>
      <w:pPr>
        <w:pStyle w:val="2"/>
        <w:rPr>
          <w:rFonts w:asciiTheme="majorEastAsia" w:hAnsiTheme="majorEastAsia" w:eastAsiaTheme="majorEastAsia" w:cstheme="majorEastAsia"/>
          <w:b/>
          <w:bCs/>
          <w:sz w:val="72"/>
          <w:szCs w:val="72"/>
        </w:rPr>
      </w:pPr>
    </w:p>
    <w:p>
      <w:pPr>
        <w:pStyle w:val="2"/>
        <w:rPr>
          <w:rFonts w:asciiTheme="majorEastAsia" w:hAnsiTheme="majorEastAsia" w:eastAsiaTheme="majorEastAsia" w:cstheme="majorEastAsia"/>
          <w:b/>
          <w:bCs/>
          <w:sz w:val="72"/>
          <w:szCs w:val="72"/>
        </w:rPr>
      </w:pPr>
    </w:p>
    <w:p>
      <w:pPr>
        <w:pStyle w:val="2"/>
        <w:rPr>
          <w:rFonts w:asciiTheme="majorEastAsia" w:hAnsiTheme="majorEastAsia" w:eastAsiaTheme="majorEastAsia" w:cstheme="majorEastAsia"/>
          <w:b/>
          <w:bCs/>
          <w:sz w:val="72"/>
          <w:szCs w:val="72"/>
        </w:rPr>
      </w:pPr>
    </w:p>
    <w:p>
      <w:pPr>
        <w:ind w:left="420" w:leftChars="200" w:firstLine="1446" w:firstLineChars="200"/>
        <w:jc w:val="left"/>
        <w:rPr>
          <w:rFonts w:asciiTheme="majorEastAsia" w:hAnsiTheme="majorEastAsia" w:eastAsiaTheme="majorEastAsia" w:cstheme="majorEastAsia"/>
          <w:b/>
          <w:bCs/>
          <w:sz w:val="72"/>
          <w:szCs w:val="72"/>
        </w:rPr>
      </w:pPr>
    </w:p>
    <w:p>
      <w:pPr>
        <w:ind w:left="420" w:leftChars="200" w:firstLine="560" w:firstLineChars="200"/>
        <w:jc w:val="left"/>
        <w:rPr>
          <w:rFonts w:asciiTheme="majorEastAsia" w:hAnsiTheme="majorEastAsia" w:eastAsiaTheme="majorEastAsia" w:cstheme="majorEastAsia"/>
          <w:sz w:val="28"/>
          <w:szCs w:val="28"/>
        </w:rPr>
      </w:pPr>
    </w:p>
    <w:p>
      <w:pPr>
        <w:pStyle w:val="2"/>
      </w:pPr>
    </w:p>
    <w:p>
      <w:pPr>
        <w:pStyle w:val="2"/>
      </w:pPr>
    </w:p>
    <w:p>
      <w:pPr>
        <w:pStyle w:val="2"/>
      </w:pPr>
    </w:p>
    <w:p>
      <w:pPr>
        <w:ind w:left="420" w:leftChars="200" w:firstLine="560" w:firstLineChars="200"/>
        <w:jc w:val="left"/>
        <w:rPr>
          <w:rFonts w:asciiTheme="majorEastAsia" w:hAnsiTheme="majorEastAsia" w:eastAsiaTheme="majorEastAsia" w:cstheme="majorEastAsia"/>
          <w:sz w:val="28"/>
          <w:szCs w:val="28"/>
        </w:rPr>
      </w:pPr>
    </w:p>
    <w:p>
      <w:pPr>
        <w:jc w:val="center"/>
        <w:rPr>
          <w:rFonts w:ascii="宋体" w:hAnsi="宋体" w:eastAsia="宋体" w:cs="宋体"/>
          <w:b/>
          <w:bCs/>
          <w:sz w:val="44"/>
          <w:szCs w:val="44"/>
        </w:rPr>
      </w:pPr>
      <w:r>
        <w:rPr>
          <w:rFonts w:hint="eastAsia" w:ascii="宋体" w:hAnsi="宋体" w:eastAsia="宋体" w:cs="宋体"/>
          <w:b/>
          <w:bCs/>
          <w:sz w:val="44"/>
          <w:szCs w:val="44"/>
        </w:rPr>
        <w:t>衡南县农业农村局2020年部门整体支出</w:t>
      </w:r>
    </w:p>
    <w:p>
      <w:pPr>
        <w:jc w:val="center"/>
        <w:rPr>
          <w:rFonts w:ascii="宋体" w:hAnsi="宋体" w:eastAsia="宋体" w:cs="宋体"/>
          <w:b/>
          <w:bCs/>
          <w:sz w:val="44"/>
          <w:szCs w:val="44"/>
        </w:rPr>
      </w:pPr>
      <w:r>
        <w:rPr>
          <w:rFonts w:hint="eastAsia" w:ascii="宋体" w:hAnsi="宋体" w:eastAsia="宋体" w:cs="宋体"/>
          <w:b/>
          <w:bCs/>
          <w:sz w:val="44"/>
          <w:szCs w:val="44"/>
        </w:rPr>
        <w:t>绩效评价报告</w:t>
      </w:r>
    </w:p>
    <w:p>
      <w:pPr>
        <w:ind w:firstLine="883" w:firstLineChars="200"/>
        <w:jc w:val="center"/>
        <w:rPr>
          <w:rFonts w:ascii="宋体" w:hAnsi="宋体" w:eastAsia="宋体" w:cs="宋体"/>
          <w:b/>
          <w:bCs/>
          <w:sz w:val="44"/>
          <w:szCs w:val="44"/>
        </w:rPr>
      </w:pPr>
    </w:p>
    <w:p>
      <w:pPr>
        <w:ind w:firstLine="560" w:firstLineChars="200"/>
        <w:jc w:val="left"/>
        <w:rPr>
          <w:rFonts w:ascii="宋体" w:hAnsi="宋体" w:eastAsia="宋体" w:cs="宋体"/>
          <w:sz w:val="28"/>
          <w:szCs w:val="28"/>
        </w:rPr>
      </w:pPr>
      <w:r>
        <w:rPr>
          <w:rFonts w:hint="eastAsia" w:ascii="宋体" w:hAnsi="宋体" w:eastAsia="宋体" w:cs="宋体"/>
          <w:sz w:val="28"/>
          <w:szCs w:val="28"/>
        </w:rPr>
        <w:t> 为加强财政预算资金管理，进一步规范预算资金使用，提高财政资金使用效益，根据《衡南县财政局关于开展2020年度财政资金绩效自评工作的通知》（清财绩[2021]66号）要求，我局对2020年度本单位财政性资金整体使用情况进行了绩效自评，现将具体绩效评价情况报告如下：</w:t>
      </w:r>
    </w:p>
    <w:p>
      <w:pPr>
        <w:ind w:firstLine="560" w:firstLineChars="200"/>
        <w:jc w:val="left"/>
        <w:rPr>
          <w:rFonts w:ascii="宋体" w:hAnsi="宋体" w:eastAsia="宋体" w:cs="宋体"/>
          <w:sz w:val="28"/>
          <w:szCs w:val="28"/>
        </w:rPr>
      </w:pPr>
      <w:r>
        <w:rPr>
          <w:rFonts w:hint="eastAsia" w:ascii="宋体" w:hAnsi="宋体" w:cs="宋体"/>
          <w:sz w:val="28"/>
          <w:szCs w:val="28"/>
        </w:rPr>
        <w:t>一、</w:t>
      </w:r>
      <w:r>
        <w:rPr>
          <w:rFonts w:hint="eastAsia" w:ascii="宋体" w:hAnsi="宋体" w:eastAsia="宋体" w:cs="宋体"/>
          <w:sz w:val="28"/>
          <w:szCs w:val="28"/>
        </w:rPr>
        <w:t>部门基本概况</w:t>
      </w:r>
    </w:p>
    <w:p>
      <w:pPr>
        <w:ind w:firstLine="280" w:firstLineChars="100"/>
        <w:jc w:val="left"/>
        <w:rPr>
          <w:rFonts w:ascii="宋体" w:hAnsi="宋体" w:eastAsia="宋体" w:cs="宋体"/>
          <w:sz w:val="28"/>
          <w:szCs w:val="28"/>
        </w:rPr>
      </w:pPr>
      <w:r>
        <w:rPr>
          <w:rFonts w:hint="eastAsia" w:ascii="宋体" w:hAnsi="宋体" w:eastAsia="宋体" w:cs="宋体"/>
          <w:sz w:val="28"/>
          <w:szCs w:val="28"/>
        </w:rPr>
        <w:t>（一）、职能职责</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1、拟订种植业、乡镇企业等农业各产业（以下简称农业）发展战略、中长期发展规划并指导实施。参与拟订农村经济发展政策和参与农业产业方面的规范性文件的起草、修改工作；负责农业行政执法和行政复议工作，推进农业依法行政；提出有关农产品及农业生产资料价格、大宗农产品流通、保险、农业财政补贴及农业产业保护的政策建议，并参与制定相关政策。</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2、参与研究提出深化农村经济体制改革的政策建议，参与指导耕地使用权流转、减轻农民负担和惠农政策落实工作，参与指导农业社会化服务体系、农民专业合作社和农产品行业协会的建设与发展工作。</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3、指导粮食等主要农产品生产，组织落实促进粮食等主要农产品生产发展的相关政策措施，引导农业产业结构调整和产品品质的改善;负责管理全县蔬菜产业发展和城镇蔬菜产销工作；安排蔬菜资金和物资，负责新菜地开发建设基金的征收使用，并进行监督管理；会同有关部门指导农业标准化、规模化生产；提出扶持农业农村发展的财政政策和项目建议，提出农业固定资产投资规模、投资项目和县级财政性资金安排的建议，编报部门预算并组织执行。</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4、组织拟订促进乡镇企业、农产品加工业、农村第三产业和农业产业化发展政策、规划、计划并组织实施；组织指导乡镇企业、农产品加工业、农村第三产业的结构调整、技术创新和服务体系建设；提出促进大宗农产品流通的政策建议，制定大宗农产品与农业投入品市场体系建设与发展规划；培育、保护和发展农产品品牌。</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5、承担提升农产品质量安全水平的责任。负责农产品质量安全监测；组织农产品质量安全地方标准的实施；指导农业检验检测体系建设，组织符合安全标准的农产品的申报和监督管理；在环境保护部门统一监督指导下，对农业环境保护工作实施具体监督管理。</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6、负责农业生产资料监督管理。依法开展农作物种子(种苗)的行政许可及肥料、农药等农业生产资料的监督管理；组织实施种子质量检验体系建设；会同有关部门组织有关农业生产资料地方标准的监督实施；组织农业生产资料市场体系建设。</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7、负责农作物有害生物防治工作。拟订农作物有害生物与植物检疫的发展规划、计划并组织实施；制定农作物有害生物防控政策并指导实施；组织指导植保植检体系建设、农作物有害生物测报防治、植物检疫性有害生物普查防控，制定农作物病虫害专业化防治管理办法；指导农药安全使用。</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　8、承担农业防灾减灾的责任。监测、发布农业灾情，组织种子、化肥等救灾物资储备和调拨；提出农业生产救灾资金安排建议，指导紧急救灾和灾后生产恢复。</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9、管理农业经济信息，监测分析农业经济运行，开展相关农业统计工作；征集、发布农业经济信息，负责农业信息化体系建设，指导农业信息服务。</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10、制定农业科研、农技推广规划、计划和有关政策，会同有关部门组织全县农业科技创新体系和农业产业技术体系建设，实施科教兴农战略，组织重大农业科研和技术推广项目的遴选及实施；负责农业科技成果管理，组织引进国内外农业新品种、先进技术，指导农技推广体系改革与建设。负责农业植物新品种保护及农业转基因生物安全监督管理。</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11、会同有关部门拟订农业农村人才队伍建设规划并组织实施，指导农业教育和农业职业技能开发工作，参与实施农村实用人才培训工程；负责农村劳动力转移就业培训工作，会同有关部门依法实施农业农村人才专业技术资格和从业资格管理。</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12、拟订全县农业环境保护规划并组织实施，负责全县农业环境与农业资源保护、监测和管理；组织实施无公害农产品、绿色食品、有机食品的质量监督、认证申报及广告审查、重大项目的实施；组织农业资源区划工作，指导农用地、宜农湿地以及农业生物物种资源的保护和管理，负责野生植物保护工作；牵头管理外来物种，制定并实施农业生态建设规划，指导农业生物质产业（不含沼气）发展和农业节能减排，承担指导农业面源污染治理有关工作。指导生态农业、循环农业的发展。</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13、拟订耕地及基本农田质量保护与改良的有关政策并指导实施，依法管理耕地质量；运用工程设施、农艺、生物等措施发展节水农业。</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14、组织开展农业贸易促进和有关经济、技术交流与合作，协助有关部门组织实施农业国际援助和援外项目，指导农产品出口基地建设。</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15、承办县人民政府交办的其它事项。</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（二）</w:t>
      </w:r>
      <w:r>
        <w:rPr>
          <w:rFonts w:hint="eastAsia" w:ascii="宋体" w:hAnsi="宋体" w:cs="宋体"/>
          <w:sz w:val="28"/>
          <w:szCs w:val="28"/>
        </w:rPr>
        <w:t>、</w:t>
      </w:r>
      <w:r>
        <w:rPr>
          <w:rFonts w:hint="eastAsia" w:ascii="宋体" w:hAnsi="宋体" w:eastAsia="宋体" w:cs="宋体"/>
          <w:sz w:val="28"/>
          <w:szCs w:val="28"/>
        </w:rPr>
        <w:t>机构设置</w:t>
      </w:r>
      <w:r>
        <w:rPr>
          <w:rFonts w:hint="eastAsia" w:ascii="宋体" w:hAnsi="宋体" w:eastAsia="宋体" w:cs="宋体"/>
          <w:sz w:val="28"/>
          <w:szCs w:val="28"/>
        </w:rPr>
        <w:br w:type="textWrapping"/>
      </w:r>
      <w:r>
        <w:rPr>
          <w:rFonts w:hint="eastAsia" w:ascii="宋体" w:hAnsi="宋体" w:eastAsia="宋体" w:cs="宋体"/>
          <w:sz w:val="28"/>
          <w:szCs w:val="28"/>
        </w:rPr>
        <w:t>　　县农业局下设47个股室，分别为：秘书组、办公室、组织人事股、法规股、行政审批股、农村政策改革和合作经济指导股、发展规划股、计划财务股、结算中心、乡村产业发展股、农村社会事业促进股、市场信息化和对外合作股、科技教育股、农产品质量安全监管股、种植业管理股、种业管理和农业资源保护利用股、畜牧兽医股、渔业渔政管理股、农业机械化管理股、农田建设管理股、蔬菜管理股、老干股、工会联合会、党建考核办、监察室、信访室、文明办、妇委会、计生办、共青团、种植业事务中心、农田建设事务中心、定点屠宰事务中心、土壤肥料工作管理站、经济作物站、植保植检站、测报站、农产品质量检验检测站、农业对外经济技术合作中心、农技推广服务站、优质农产品开发服务中心、产业扶贫办、绿办、农药管理站、乡村振兴办、农业技术推广中心。</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二、部门预算单位构成</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纳入2020年部门预算编制的除本级预算以外，还包括：衡南县畜牧水产事务中心、衡南县农村经营服务中心、衡南县农村能源服务中心、衡南县农机服务中心、衡南县农民素质教育管理办公室、衡南县农业行政综合执法大队、衡南县农业技术推广中心、乡镇畜牧站、乡镇经营站、衡南县鱼种场、乡镇农机站、衡南县原种场、乡镇农技站、衡南县种畜场、衡南县种子管理中心、衡南县农业特色产业服务中心共16个二级预算单位</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三、部门整体支出管理及使用情况</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2020年部门预算包括我单位本级预算及16个二级预算单位。我局2020年没有政府性基金预算拨款、国有资本经营预算收入和纳入专户管理的非税收入拨款收入，也没有使用政府性基金预算拨款、国有资本经营预算收入和纳入专户管理的非税收入拨款按排的支出。我局收入均为经费拨款，支出包括保障本单位基本运转的经费，也包括发展粮食生产、蔬菜生产、农业执法、、农业防灾减灾、农产品质量安全监管检测等项目经费。我局2020年预算收支平衡。</w:t>
      </w:r>
    </w:p>
    <w:p>
      <w:pPr>
        <w:numPr>
          <w:ilvl w:val="0"/>
          <w:numId w:val="2"/>
        </w:numPr>
        <w:ind w:firstLine="560" w:firstLineChars="200"/>
        <w:jc w:val="left"/>
        <w:rPr>
          <w:rFonts w:ascii="宋体" w:hAnsi="宋体" w:eastAsia="宋体" w:cs="宋体"/>
          <w:sz w:val="28"/>
          <w:szCs w:val="28"/>
        </w:rPr>
      </w:pPr>
      <w:r>
        <w:rPr>
          <w:rFonts w:hint="eastAsia" w:ascii="宋体" w:hAnsi="宋体" w:cs="宋体"/>
          <w:sz w:val="28"/>
          <w:szCs w:val="28"/>
        </w:rPr>
        <w:t>、</w:t>
      </w:r>
      <w:r>
        <w:rPr>
          <w:rFonts w:hint="eastAsia" w:ascii="宋体" w:hAnsi="宋体" w:eastAsia="宋体" w:cs="宋体"/>
          <w:sz w:val="28"/>
          <w:szCs w:val="28"/>
        </w:rPr>
        <w:t>部门整体支出预算经费情况：</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2020年年初预算数12660.72万元。其中一般公共预算拨款12660.72万元，全部为经费拨款。部门整体支出经费使用情况：其中工资福利支出10909.33万元，一般商品服务支出385.6万元，对个人和家庭补助102.52万元，专项经费1263.27万元。</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（二）部门整体支出决算经费使用情况</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2020年部门整体支出经费25135.94万元，其中基本支出4138.27万元，项目支出20997.67万元。</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①、基本支出：2020年基本支出决算数为4138.27万元，是指为保障单位机构正常运转、完成日常工作任务而发生的各项支出，包括用于基本工资、津贴补贴等人员经费以及办公费、印刷费、水电费、办公设备购置等日常公用经费。</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②、项目支出：2020年项目支出决算数为20997.67万元。系保障粮食生产、农村环境整治（乡村振兴、农村垃圾专项治理）、农产品质量安全、农业信息与统计、农业病虫害防治（二化螟防控）、耕地质量监管、蔬菜生产发展、基层农技推广、农业执法监管、新品种推广、农业环境保护、产业扶贫等农业专项工作经费支出。</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四、部门整体支出绩效情况</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2020年，我单位整体支出情况较好，预算编制比较合理，财务制度健全且执行情况良好，在职责履行上收效较为明显，为全县农业生产工作顺利开展提供了有力保障。</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1、在确保人员工资、日常公用经费的正常开支基础上，保证重点项目支出，压缩一般消费性支出，尤其严控“三公”经费支出，“三公”经费预算总额未突破上年。</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2、预算执行方面，支出总额控制在预算总额以内；本年不存在截留或滞留专项资金情况。</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 xml:space="preserve">3、严格执行了国库集中支付、政府采购等有关规定，政府采购目录内的货物与服务全部按要求实施了政府采购，确保了支出管理流程、审批手续的完整。 </w:t>
      </w:r>
    </w:p>
    <w:p>
      <w:pPr>
        <w:ind w:firstLine="560" w:firstLineChars="200"/>
        <w:jc w:val="left"/>
        <w:rPr>
          <w:rFonts w:ascii="宋体" w:hAnsi="宋体" w:eastAsia="宋体" w:cs="宋体"/>
          <w:sz w:val="28"/>
          <w:szCs w:val="28"/>
        </w:rPr>
      </w:pPr>
      <w:r>
        <w:rPr>
          <w:rFonts w:hint="eastAsia" w:ascii="宋体" w:hAnsi="宋体" w:cs="宋体"/>
          <w:sz w:val="28"/>
          <w:szCs w:val="28"/>
        </w:rPr>
        <w:t>4、绩效情况</w:t>
      </w:r>
      <w:r>
        <w:rPr>
          <w:rFonts w:hint="eastAsia" w:ascii="宋体" w:hAnsi="宋体" w:eastAsia="宋体" w:cs="宋体"/>
          <w:sz w:val="28"/>
          <w:szCs w:val="28"/>
        </w:rPr>
        <w:t>：</w:t>
      </w:r>
    </w:p>
    <w:p>
      <w:pPr>
        <w:tabs>
          <w:tab w:val="left" w:pos="355"/>
        </w:tabs>
        <w:ind w:firstLine="560" w:firstLineChars="200"/>
        <w:jc w:val="left"/>
        <w:rPr>
          <w:rFonts w:ascii="宋体" w:hAnsi="宋体" w:cs="宋体"/>
          <w:sz w:val="28"/>
          <w:szCs w:val="28"/>
        </w:rPr>
      </w:pPr>
      <w:r>
        <w:rPr>
          <w:rFonts w:hint="eastAsia" w:ascii="宋体" w:hAnsi="宋体" w:cs="宋体"/>
          <w:sz w:val="28"/>
          <w:szCs w:val="28"/>
        </w:rPr>
        <w:t>（一）抓好农业生产，展现产粮大县新作为。全县超额完成2020年粮食生产面积144.67万亩，粮食总产64.78万吨。落实秋冬种生产面积99.5万亩，绿肥20万亩，秋冬种覆盖率达到90%以上。</w:t>
      </w:r>
      <w:r>
        <w:rPr>
          <w:rFonts w:hint="eastAsia" w:ascii="宋体" w:hAnsi="宋体" w:cs="宋体"/>
          <w:sz w:val="28"/>
          <w:szCs w:val="28"/>
          <w:lang w:val="zh-TW" w:eastAsia="zh-TW"/>
        </w:rPr>
        <w:t>生猪生产形势</w:t>
      </w:r>
      <w:r>
        <w:rPr>
          <w:rFonts w:hint="eastAsia" w:ascii="宋体" w:hAnsi="宋体" w:cs="宋体"/>
          <w:sz w:val="28"/>
          <w:szCs w:val="28"/>
          <w:lang w:val="zh-TW"/>
        </w:rPr>
        <w:t>持续</w:t>
      </w:r>
      <w:r>
        <w:rPr>
          <w:rFonts w:hint="eastAsia" w:ascii="宋体" w:hAnsi="宋体" w:cs="宋体"/>
          <w:sz w:val="28"/>
          <w:szCs w:val="28"/>
          <w:lang w:val="zh-TW" w:eastAsia="zh-TW"/>
        </w:rPr>
        <w:t>向好</w:t>
      </w:r>
      <w:r>
        <w:rPr>
          <w:rFonts w:hint="eastAsia" w:ascii="宋体" w:hAnsi="宋体" w:cs="宋体"/>
          <w:sz w:val="28"/>
          <w:szCs w:val="28"/>
          <w:lang w:val="zh-TW"/>
        </w:rPr>
        <w:t>，</w:t>
      </w:r>
      <w:r>
        <w:rPr>
          <w:rFonts w:hint="eastAsia" w:ascii="宋体" w:hAnsi="宋体" w:cs="宋体"/>
          <w:sz w:val="28"/>
          <w:szCs w:val="28"/>
        </w:rPr>
        <w:t>截至</w:t>
      </w:r>
      <w:r>
        <w:rPr>
          <w:rFonts w:hint="eastAsia" w:ascii="宋体" w:hAnsi="宋体" w:cs="宋体"/>
          <w:sz w:val="28"/>
          <w:szCs w:val="28"/>
          <w:lang w:val="zh-TW"/>
        </w:rPr>
        <w:t>12月底，全县生猪存栏生猪78.27万头，能繁母猪7.28万头，出栏生猪98.81万头，</w:t>
      </w:r>
      <w:r>
        <w:rPr>
          <w:rFonts w:ascii="宋体" w:hAnsi="宋体" w:cs="宋体"/>
          <w:sz w:val="28"/>
          <w:szCs w:val="28"/>
          <w:lang w:val="zh-TW" w:eastAsia="zh-TW"/>
        </w:rPr>
        <w:t>超额完成省市下达生猪生产任务。</w:t>
      </w:r>
      <w:r>
        <w:rPr>
          <w:rFonts w:hint="eastAsia" w:ascii="宋体" w:hAnsi="宋体" w:cs="宋体"/>
          <w:sz w:val="28"/>
          <w:szCs w:val="28"/>
        </w:rPr>
        <w:t>蔬菜种植面积9.74万亩，生产新鲜蔬菜23.6万吨；水产品总产量5.88万吨，渔业经济总产值8.17亿元；经济作物总面积41.2万亩，总产量12.13万吨，总产值5.086亿元。</w:t>
      </w:r>
    </w:p>
    <w:p>
      <w:pPr>
        <w:tabs>
          <w:tab w:val="left" w:pos="355"/>
        </w:tabs>
        <w:ind w:firstLine="560" w:firstLineChars="200"/>
        <w:jc w:val="left"/>
        <w:rPr>
          <w:rFonts w:ascii="宋体" w:hAnsi="宋体" w:cs="宋体"/>
          <w:sz w:val="28"/>
          <w:szCs w:val="28"/>
        </w:rPr>
      </w:pPr>
      <w:r>
        <w:rPr>
          <w:rFonts w:hint="eastAsia" w:ascii="宋体" w:hAnsi="宋体" w:cs="宋体"/>
          <w:sz w:val="28"/>
          <w:szCs w:val="28"/>
        </w:rPr>
        <w:t>（二）抓好产能提升，夯实农业基础新高度。顺利完成2019年度高标准农田建设任务5.6万亩，全面启动实施2020年6.07万亩高标准农田建设。全县拥有各类农业机械12.875万台套，农机总动力99.3541万千瓦，水稻农机化综合水平达79.22%；落实农机购置补贴资金1426.3394万元，补贴机具888台(套)。全年开展大型农业科技服务活动8次，发放宣传技术资料1.8万份，入户咨询解答农民各种难题300余次。位于向阳街道清竹村袁隆平院士团队第三代杂交水稻“三优一号”双季稻衡南县基地，经国、省专家现场测产，早稻亩产619.06公斤，晚稻亩产达到911.7公斤，平均亩产1530.76公斤，创造杂交水稻双季稻种植的亩产记录，“衡南经验”上榜《人民日报》、《央视新闻》，全国推介。</w:t>
      </w:r>
    </w:p>
    <w:p>
      <w:pPr>
        <w:tabs>
          <w:tab w:val="left" w:pos="355"/>
        </w:tabs>
        <w:ind w:firstLine="560" w:firstLineChars="200"/>
        <w:jc w:val="left"/>
        <w:rPr>
          <w:rFonts w:ascii="宋体" w:hAnsi="宋体" w:cs="宋体"/>
          <w:sz w:val="28"/>
          <w:szCs w:val="28"/>
        </w:rPr>
      </w:pPr>
      <w:r>
        <w:rPr>
          <w:rFonts w:hint="eastAsia" w:ascii="宋体" w:hAnsi="宋体" w:cs="宋体"/>
          <w:sz w:val="28"/>
          <w:szCs w:val="28"/>
        </w:rPr>
        <w:t>（三）抓好转型升级，增添产业发展新势能。全县建成23个标准化监管站，规范化达标率100%。推进农产品“身份证”管理和质量安全追溯体系建设，纳入食用农产品合格证制度管理32家；纳入省农产品“身份证”管理和赋码标识26家；纳入国家农产品质量安全追溯平台管理44家。全年共检测农产品样品5150批次，合格样品5097批次，合格率98.97％，农产品质量安全“零”事故。2020年新增认证绿色食品企业4家6个产品；截止目前，我县“三品一标”认证数量稳居全市第一，现有效“三品一标”24家49个产品。全县对接指导科技示范户150户，确定主导品种15个，主推技术6项，主导品种入户率达98%，主推技术到位率达97%。</w:t>
      </w:r>
    </w:p>
    <w:p>
      <w:pPr>
        <w:tabs>
          <w:tab w:val="left" w:pos="355"/>
        </w:tabs>
        <w:ind w:firstLine="560" w:firstLineChars="200"/>
        <w:jc w:val="left"/>
        <w:rPr>
          <w:rFonts w:ascii="宋体" w:hAnsi="宋体" w:cs="宋体"/>
          <w:sz w:val="28"/>
          <w:szCs w:val="28"/>
        </w:rPr>
      </w:pPr>
      <w:r>
        <w:rPr>
          <w:rFonts w:hint="eastAsia" w:ascii="宋体" w:hAnsi="宋体" w:cs="宋体"/>
          <w:sz w:val="28"/>
          <w:szCs w:val="28"/>
        </w:rPr>
        <w:t>（四）抓好绿色发展，践行生态文明新理念。一是“一江三水”禁捕退捕全面完成。从2020年1月1日零时起，我县“一江三水”实施全面禁捕，对133户206人专业渔民精准建档立卡，662艘“三无”船舶全部上岸并拆解处置到位，实现“四无四清”。退捕渔民全部参加社会养老保险，14名有就业意愿的退捕渔民100%实现公益岗位就业，补贴资金全部按规定发放到位。全县畜禽粪污资源化利用项目整县推进，已完成总投资1.6亿元，占项目总计划的80%。目前，全县养殖场粪污处理利用设施设备改造已完成440余家，生猪规模养殖场粪污处理设施装备配套率达到100%，生猪养殖粪污综合利用率达到93.03%。推进“湖南省蔬菜病虫害全程绿色防控示范县创建”，完成水稻病虫害专业化统防统治面积61.1万亩，绿色防控面积46.1万亩，在三塘镇灵官村，泉湖镇七塘村、宝盖镇宝盖村、松江镇荷叶坪村建立减肥增效示范片4个，示范面积4.5万亩。推广测土配方施肥技术面积199.2万亩，化肥使用量（纯量）62189吨，比2019年减量710吨。</w:t>
      </w:r>
    </w:p>
    <w:p>
      <w:pPr>
        <w:tabs>
          <w:tab w:val="left" w:pos="355"/>
        </w:tabs>
        <w:ind w:firstLine="560" w:firstLineChars="200"/>
        <w:jc w:val="left"/>
        <w:rPr>
          <w:rFonts w:ascii="宋体" w:hAnsi="宋体" w:cs="宋体"/>
          <w:sz w:val="28"/>
          <w:szCs w:val="28"/>
        </w:rPr>
      </w:pPr>
      <w:r>
        <w:rPr>
          <w:rFonts w:hint="eastAsia" w:ascii="宋体" w:hAnsi="宋体" w:cs="宋体"/>
          <w:sz w:val="28"/>
          <w:szCs w:val="28"/>
        </w:rPr>
        <w:t>（五）抓好乡村建设，铺展锦绣乡村新画卷。重点抓好“三项革命”，即农村垃圾革命：通过开展村庄清洁行动，全县375个行政村、65条集镇街道（67个涉农社区）的环境卫生面貌明显改善。农村厕所革命：完成农村户厕改（新）建3.3万户，建设农村公厕36座。农村污水革命：作为全市唯一县市全面启动城乡污水处理项目，实现了小城镇及周边村污水处理处理全覆盖。</w:t>
      </w:r>
    </w:p>
    <w:p>
      <w:pPr>
        <w:tabs>
          <w:tab w:val="left" w:pos="355"/>
        </w:tabs>
        <w:ind w:firstLine="560" w:firstLineChars="200"/>
        <w:jc w:val="left"/>
        <w:rPr>
          <w:rFonts w:ascii="宋体" w:hAnsi="宋体" w:eastAsia="宋体" w:cs="宋体"/>
          <w:sz w:val="28"/>
          <w:szCs w:val="28"/>
        </w:rPr>
      </w:pPr>
      <w:r>
        <w:rPr>
          <w:rFonts w:hint="eastAsia" w:ascii="宋体" w:hAnsi="宋体" w:eastAsia="宋体" w:cs="宋体"/>
          <w:sz w:val="28"/>
          <w:szCs w:val="28"/>
        </w:rPr>
        <w:t>四、财务管理情况</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我局财务管理严格依法依规，做到公开公平公正，在严格执行各项有关法律法规、财经纪律、财务规章制度的同时，我局根据单位自身情况结合各项规定编制了《衡南县农业局内部控制手册》，系统阐述了预（决）算、政府采购、国库集中支付、专项资金等管理办法和操作规程。</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五、绩效评价工作情况</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根据衡阳市人民政府《关于全面推进预算绩效管理的实施意见》（衡政函【2014】73号），衡南县财政局《关于开展2018年度财政资金绩效自评工作的通知》（南财绩【2019】30号）文件，我局召开了专题会议，制定了工作计划，成立专项小组，组织开展全局绩效评价工作。评价小组采取座谈等方式听取情况，检查基本支出、项目支出有关账目，收集整理支出相关资料，并根据各股室及部门报送的绩效自评材料进行分析，形成评价结论。</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六、其他重要事项的情况说明</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（一）机关运行经费</w:t>
      </w:r>
      <w:r>
        <w:rPr>
          <w:rFonts w:hint="eastAsia" w:ascii="宋体" w:hAnsi="宋体" w:eastAsia="宋体" w:cs="宋体"/>
          <w:sz w:val="28"/>
          <w:szCs w:val="28"/>
        </w:rPr>
        <w:br w:type="textWrapping"/>
      </w:r>
      <w:r>
        <w:rPr>
          <w:rFonts w:hint="eastAsia" w:ascii="宋体" w:hAnsi="宋体" w:eastAsia="宋体" w:cs="宋体"/>
          <w:sz w:val="28"/>
          <w:szCs w:val="28"/>
        </w:rPr>
        <w:t>　2020年本单位的机关运行经费当年一般公共预算拨款385.6万元，比20</w:t>
      </w:r>
      <w:r>
        <w:rPr>
          <w:rFonts w:hint="eastAsia" w:ascii="宋体" w:hAnsi="宋体" w:cs="宋体"/>
          <w:sz w:val="28"/>
          <w:szCs w:val="28"/>
        </w:rPr>
        <w:t>19</w:t>
      </w:r>
      <w:r>
        <w:rPr>
          <w:rFonts w:hint="eastAsia" w:ascii="宋体" w:hAnsi="宋体" w:eastAsia="宋体" w:cs="宋体"/>
          <w:sz w:val="28"/>
          <w:szCs w:val="28"/>
        </w:rPr>
        <w:t>年预算增加260.2万元，增加207.5％，增加原因是二级预算单位增加，公用经费相应增加。</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（二）“三公”经费</w:t>
      </w:r>
      <w:r>
        <w:rPr>
          <w:rFonts w:hint="eastAsia" w:ascii="宋体" w:hAnsi="宋体" w:eastAsia="宋体" w:cs="宋体"/>
          <w:sz w:val="28"/>
          <w:szCs w:val="28"/>
        </w:rPr>
        <w:br w:type="textWrapping"/>
      </w:r>
      <w:r>
        <w:rPr>
          <w:rFonts w:hint="eastAsia" w:ascii="宋体" w:hAnsi="宋体" w:eastAsia="宋体" w:cs="宋体"/>
          <w:sz w:val="28"/>
          <w:szCs w:val="28"/>
        </w:rPr>
        <w:t>　　2020年，我局“三公”经费预算数为35.8万元，其中：公务接待费33.8万元，公务用车运行费2万元。实际支出13.3万元，其中公务接待11.3万元，因公出国出境费用本年未发生经费支出。2020年公务接待费比上年增加0.01万元（主要原因是机构改革，职能增加。）      （三）、在资金管理上，我局制定了一系列的财务管理制度。中央八项规定、“六项禁令”和反“四风”推行以来，我局三公经费明显降低，且建立了机关廉政食堂，做到一般公务接待都安排在机关食堂，从简接待，杜绝铺张浪费。特别是专项资金的管理，严格按照专项资金使用原则，从严控制开支范围及标准。</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五、存在的问题及有关建议</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（一）基本支出经费保障水平偏低。</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综合我局批复预算看，预算执行人员经费不足，乡镇站没有按实有人员编制预算，而是按定编人员编制预算，不能维持正常运转，基本保障面临巨大的压力。</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（二）科学合理编制</w:t>
      </w:r>
      <w:bookmarkStart w:id="0" w:name="_GoBack"/>
      <w:bookmarkEnd w:id="0"/>
      <w:r>
        <w:rPr>
          <w:rFonts w:hint="eastAsia" w:ascii="宋体" w:hAnsi="宋体" w:eastAsia="宋体" w:cs="宋体"/>
          <w:sz w:val="28"/>
          <w:szCs w:val="28"/>
        </w:rPr>
        <w:t>预算，严格执行预算</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加强预算编制的前瞻性，按照新《预算法》及其实施条例的相关规定，按政策规定及本部门的发展规划，结合上一年度预算执行情况和本年度预算收支变化因素，科学、合理地编制本年预算草案，避免项目支出与基本支出划分不准或预算支出与实际执行出现较大偏差的情况，执行中确需调剂预算的，按规定程序报经批准。</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（三）完善管理制度，进一步加强资产管理</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进一步贯彻落实中央八项规定和湖南省委“九条规定”，建立本部门“三公经费”等公务支出管理制度及厉行节约制度，加强经费审批和控制，规范支出标准与范围，并严格执行。严格按照《固定资产管理办法》的规定加强固定资产管理，及时登记、更新台账，加强资产卡片管理，年终前对各类实物资产进行全面盘点，确保账账、账实相符。严格执行政府采购程序，对须采购的货物、服务及工程报采购办报批，并实行集中采购。</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（四）加强新行政单位会计制度和新预算法学习培训</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加强新《预算法》、《行政单位会计制度》等学习培训，规范部门预算收支核算，一是制定和完善基本支出、项目支出等各项支出标准，严格按项目和进度执行预算，增强预算的约束力和严肃性。二是落实预算执行分析，及时了解预算执行差异，合理调整、纠正预算执行偏差，切实提高部门预算收支管理水平。</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我局工作点多、面广、线长，特别是机构改革后，部分职能增加，项目多且繁杂，经费需求十分大。目前财政预算安排经费严重不足，恳请县财政将我局所需经费全部纳入财政预算，以确保我县农业工作稳步推进。</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五、改进措施</w:t>
      </w:r>
    </w:p>
    <w:p>
      <w:pPr>
        <w:ind w:firstLine="560" w:firstLineChars="200"/>
        <w:jc w:val="left"/>
        <w:rPr>
          <w:rFonts w:ascii="宋体" w:hAnsi="宋体" w:eastAsia="宋体" w:cs="宋体"/>
          <w:sz w:val="28"/>
          <w:szCs w:val="28"/>
        </w:rPr>
      </w:pPr>
      <w:r>
        <w:rPr>
          <w:rFonts w:hint="eastAsia" w:ascii="宋体" w:hAnsi="宋体" w:eastAsia="宋体" w:cs="宋体"/>
          <w:sz w:val="28"/>
          <w:szCs w:val="28"/>
        </w:rPr>
        <w:t>我局将在内控的指导下，修订更加完善的相关财务制度，进一步使预算编制与全县农业生产工作相结合，争取涉农资金更多的用于服务全县农业生产、城乡环境同治、扶贫工作及现代农业产业化、做到财务工作规范合理，各项支出无违规。</w:t>
      </w:r>
    </w:p>
    <w:p>
      <w:pPr>
        <w:ind w:firstLine="560" w:firstLineChars="200"/>
        <w:jc w:val="left"/>
        <w:rPr>
          <w:rFonts w:ascii="宋体" w:hAnsi="宋体" w:eastAsia="宋体" w:cs="宋体"/>
          <w:sz w:val="28"/>
          <w:szCs w:val="28"/>
        </w:rPr>
      </w:pPr>
    </w:p>
    <w:p>
      <w:pPr>
        <w:ind w:firstLine="560" w:firstLineChars="200"/>
        <w:jc w:val="left"/>
        <w:rPr>
          <w:rFonts w:ascii="宋体" w:hAnsi="宋体" w:eastAsia="宋体" w:cs="宋体"/>
          <w:sz w:val="28"/>
          <w:szCs w:val="28"/>
        </w:rPr>
      </w:pPr>
      <w:r>
        <w:rPr>
          <w:rFonts w:hint="eastAsia" w:ascii="宋体" w:hAnsi="宋体" w:eastAsia="宋体" w:cs="宋体"/>
          <w:sz w:val="28"/>
          <w:szCs w:val="28"/>
        </w:rPr>
        <w:t>　</w:t>
      </w:r>
    </w:p>
    <w:sectPr>
      <w:pgSz w:w="11906" w:h="16838"/>
      <w:pgMar w:top="1383" w:right="1519" w:bottom="1383" w:left="1576"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A03D9B2"/>
    <w:multiLevelType w:val="singleLevel"/>
    <w:tmpl w:val="AA03D9B2"/>
    <w:lvl w:ilvl="0" w:tentative="0">
      <w:start w:val="1"/>
      <w:numFmt w:val="chineseCounting"/>
      <w:suff w:val="nothing"/>
      <w:lvlText w:val="%1、"/>
      <w:lvlJc w:val="left"/>
      <w:rPr>
        <w:rFonts w:hint="eastAsia"/>
      </w:rPr>
    </w:lvl>
  </w:abstractNum>
  <w:abstractNum w:abstractNumId="1">
    <w:nsid w:val="04F194C4"/>
    <w:multiLevelType w:val="singleLevel"/>
    <w:tmpl w:val="04F194C4"/>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61454AC5"/>
    <w:rsid w:val="001723E3"/>
    <w:rsid w:val="002A5253"/>
    <w:rsid w:val="00315FFE"/>
    <w:rsid w:val="004B76DB"/>
    <w:rsid w:val="006A46DF"/>
    <w:rsid w:val="00872FB3"/>
    <w:rsid w:val="008C67AD"/>
    <w:rsid w:val="00995AFD"/>
    <w:rsid w:val="082F6209"/>
    <w:rsid w:val="14B3529F"/>
    <w:rsid w:val="17115D41"/>
    <w:rsid w:val="19C729B0"/>
    <w:rsid w:val="1AF16A47"/>
    <w:rsid w:val="1FB21D99"/>
    <w:rsid w:val="21B52F65"/>
    <w:rsid w:val="22A02690"/>
    <w:rsid w:val="26F67187"/>
    <w:rsid w:val="2C0430E5"/>
    <w:rsid w:val="307663FD"/>
    <w:rsid w:val="3A854B3D"/>
    <w:rsid w:val="40F645A2"/>
    <w:rsid w:val="413B4202"/>
    <w:rsid w:val="58185A78"/>
    <w:rsid w:val="61454AC5"/>
    <w:rsid w:val="64E545D5"/>
    <w:rsid w:val="663812FE"/>
    <w:rsid w:val="6B8930EF"/>
    <w:rsid w:val="732E5398"/>
    <w:rsid w:val="75BE6F12"/>
    <w:rsid w:val="79083DBE"/>
    <w:rsid w:val="7AD33E82"/>
    <w:rsid w:val="7AE76308"/>
    <w:rsid w:val="7DB7276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0"/>
    <w:pPr>
      <w:spacing w:before="100" w:beforeAutospacing="1" w:after="100" w:afterAutospacing="1"/>
      <w:jc w:val="left"/>
    </w:pPr>
    <w:rPr>
      <w:rFonts w:hint="eastAsia" w:ascii="宋体" w:hAnsi="宋体"/>
      <w:kern w:val="0"/>
      <w:sz w:val="24"/>
      <w:szCs w:val="22"/>
    </w:rPr>
  </w:style>
  <w:style w:type="paragraph" w:customStyle="1" w:styleId="7">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character" w:customStyle="1" w:styleId="8">
    <w:name w:val="页眉 Char"/>
    <w:basedOn w:val="6"/>
    <w:link w:val="3"/>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33</Pages>
  <Words>13582</Words>
  <Characters>1469</Characters>
  <Lines>12</Lines>
  <Paragraphs>30</Paragraphs>
  <TotalTime>13</TotalTime>
  <ScaleCrop>false</ScaleCrop>
  <LinksUpToDate>false</LinksUpToDate>
  <CharactersWithSpaces>15021</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2021-11-10T02:29:00Z</dcterms:created>
  <dc:creator>Administrator</dc:creator>
  <cp:lastModifiedBy>茜茜</cp:lastModifiedBy>
  <cp:lastPrinted>2021-11-10T02:46:00Z</cp:lastPrinted>
  <dcterms:modified xsi:type="dcterms:W3CDTF">2023-09-18T03:42:33Z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C1D7E4E490284BAEB654F348A6AC4C3F</vt:lpwstr>
  </property>
</Properties>
</file>