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jc w:val="center"/>
        <w:rPr>
          <w:rFonts w:ascii="仿宋" w:hAnsi="仿宋" w:eastAsia="仿宋" w:cs="仿宋"/>
          <w:sz w:val="32"/>
          <w:szCs w:val="32"/>
        </w:rPr>
      </w:pPr>
    </w:p>
    <w:p>
      <w:pPr>
        <w:pStyle w:val="9"/>
        <w:jc w:val="center"/>
        <w:rPr>
          <w:rFonts w:ascii="仿宋" w:hAnsi="仿宋" w:eastAsia="仿宋" w:cs="仿宋"/>
          <w:sz w:val="32"/>
          <w:szCs w:val="32"/>
        </w:rPr>
      </w:pPr>
    </w:p>
    <w:p>
      <w:pPr>
        <w:pStyle w:val="9"/>
        <w:jc w:val="center"/>
        <w:rPr>
          <w:rFonts w:ascii="仿宋" w:hAnsi="仿宋" w:eastAsia="仿宋" w:cs="仿宋"/>
          <w:sz w:val="32"/>
          <w:szCs w:val="32"/>
        </w:rPr>
      </w:pPr>
    </w:p>
    <w:p>
      <w:pPr>
        <w:pStyle w:val="9"/>
        <w:jc w:val="center"/>
        <w:rPr>
          <w:rFonts w:ascii="仿宋" w:hAnsi="仿宋" w:eastAsia="仿宋" w:cs="仿宋"/>
          <w:sz w:val="32"/>
          <w:szCs w:val="32"/>
        </w:rPr>
      </w:pPr>
    </w:p>
    <w:p>
      <w:pPr>
        <w:pStyle w:val="9"/>
        <w:jc w:val="center"/>
        <w:rPr>
          <w:rFonts w:hAnsi="黑体"/>
          <w:sz w:val="84"/>
          <w:szCs w:val="84"/>
        </w:rPr>
      </w:pPr>
      <w:r>
        <w:rPr>
          <w:rFonts w:hint="eastAsia" w:hAnsi="黑体"/>
          <w:sz w:val="84"/>
          <w:szCs w:val="84"/>
        </w:rPr>
        <w:t>2020年度</w:t>
      </w:r>
    </w:p>
    <w:p>
      <w:pPr>
        <w:pStyle w:val="9"/>
        <w:jc w:val="center"/>
        <w:rPr>
          <w:rFonts w:hAnsi="黑体"/>
          <w:sz w:val="84"/>
          <w:szCs w:val="84"/>
        </w:rPr>
      </w:pPr>
      <w:r>
        <w:rPr>
          <w:rFonts w:hint="eastAsia" w:hAnsi="黑体"/>
          <w:sz w:val="84"/>
          <w:szCs w:val="84"/>
        </w:rPr>
        <w:t>中国共产主义青年团衡南县委员会单位</w:t>
      </w:r>
    </w:p>
    <w:p>
      <w:pPr>
        <w:pStyle w:val="9"/>
        <w:jc w:val="center"/>
        <w:rPr>
          <w:rFonts w:hAnsi="黑体"/>
          <w:sz w:val="84"/>
          <w:szCs w:val="84"/>
        </w:rPr>
      </w:pPr>
      <w:r>
        <w:rPr>
          <w:rFonts w:hint="eastAsia" w:hAnsi="黑体"/>
          <w:sz w:val="84"/>
          <w:szCs w:val="84"/>
        </w:rPr>
        <w:t>部门决算</w:t>
      </w:r>
    </w:p>
    <w:p>
      <w:pPr>
        <w:pStyle w:val="9"/>
        <w:jc w:val="center"/>
        <w:rPr>
          <w:rFonts w:ascii="仿宋" w:hAnsi="仿宋" w:eastAsia="仿宋" w:cs="仿宋"/>
          <w:sz w:val="32"/>
          <w:szCs w:val="32"/>
        </w:rPr>
      </w:pPr>
    </w:p>
    <w:p>
      <w:pPr>
        <w:pStyle w:val="9"/>
        <w:jc w:val="center"/>
        <w:rPr>
          <w:rFonts w:ascii="仿宋" w:hAnsi="仿宋" w:eastAsia="仿宋" w:cs="仿宋"/>
          <w:sz w:val="32"/>
          <w:szCs w:val="32"/>
        </w:rPr>
      </w:pPr>
    </w:p>
    <w:p>
      <w:pPr>
        <w:pStyle w:val="9"/>
        <w:jc w:val="center"/>
        <w:rPr>
          <w:rFonts w:ascii="仿宋" w:hAnsi="仿宋" w:eastAsia="仿宋" w:cs="仿宋"/>
          <w:sz w:val="32"/>
          <w:szCs w:val="32"/>
        </w:rPr>
      </w:pPr>
    </w:p>
    <w:p>
      <w:pPr>
        <w:pStyle w:val="9"/>
        <w:jc w:val="center"/>
        <w:rPr>
          <w:rFonts w:ascii="仿宋" w:hAnsi="仿宋" w:eastAsia="仿宋" w:cs="仿宋"/>
          <w:sz w:val="32"/>
          <w:szCs w:val="32"/>
        </w:rPr>
      </w:pPr>
    </w:p>
    <w:p>
      <w:pPr>
        <w:pStyle w:val="9"/>
        <w:jc w:val="center"/>
        <w:rPr>
          <w:rFonts w:ascii="仿宋" w:hAnsi="仿宋" w:eastAsia="仿宋" w:cs="仿宋"/>
          <w:sz w:val="32"/>
          <w:szCs w:val="32"/>
        </w:rPr>
      </w:pPr>
    </w:p>
    <w:p>
      <w:pPr>
        <w:pStyle w:val="9"/>
        <w:jc w:val="center"/>
        <w:rPr>
          <w:rFonts w:ascii="仿宋" w:hAnsi="仿宋" w:eastAsia="仿宋" w:cs="仿宋"/>
          <w:sz w:val="32"/>
          <w:szCs w:val="32"/>
        </w:rPr>
      </w:pPr>
    </w:p>
    <w:p>
      <w:pPr>
        <w:pStyle w:val="9"/>
        <w:spacing w:line="520" w:lineRule="exact"/>
        <w:jc w:val="both"/>
        <w:rPr>
          <w:rFonts w:ascii="仿宋" w:hAnsi="仿宋" w:eastAsia="仿宋" w:cs="仿宋"/>
          <w:sz w:val="32"/>
          <w:szCs w:val="32"/>
        </w:rPr>
      </w:pPr>
    </w:p>
    <w:p>
      <w:pPr>
        <w:pStyle w:val="9"/>
        <w:spacing w:line="520" w:lineRule="exact"/>
        <w:jc w:val="both"/>
        <w:rPr>
          <w:rFonts w:ascii="仿宋" w:hAnsi="仿宋" w:eastAsia="仿宋" w:cs="仿宋"/>
          <w:sz w:val="32"/>
          <w:szCs w:val="32"/>
        </w:rPr>
      </w:pPr>
    </w:p>
    <w:p>
      <w:pPr>
        <w:pStyle w:val="9"/>
        <w:spacing w:line="520" w:lineRule="exact"/>
        <w:jc w:val="center"/>
        <w:rPr>
          <w:rFonts w:ascii="仿宋" w:hAnsi="仿宋" w:eastAsia="仿宋" w:cs="仿宋"/>
          <w:sz w:val="32"/>
          <w:szCs w:val="32"/>
        </w:rPr>
      </w:pPr>
    </w:p>
    <w:p>
      <w:pPr>
        <w:pStyle w:val="9"/>
        <w:spacing w:line="520" w:lineRule="exact"/>
        <w:jc w:val="center"/>
        <w:rPr>
          <w:rFonts w:ascii="仿宋" w:hAnsi="仿宋" w:eastAsia="仿宋" w:cs="仿宋"/>
          <w:sz w:val="32"/>
          <w:szCs w:val="32"/>
        </w:rPr>
      </w:pPr>
    </w:p>
    <w:p>
      <w:pPr>
        <w:pStyle w:val="9"/>
        <w:spacing w:line="520" w:lineRule="exact"/>
        <w:jc w:val="center"/>
        <w:rPr>
          <w:rFonts w:ascii="仿宋" w:hAnsi="仿宋" w:eastAsia="仿宋" w:cs="仿宋"/>
          <w:sz w:val="32"/>
          <w:szCs w:val="32"/>
        </w:rPr>
      </w:pPr>
    </w:p>
    <w:p>
      <w:pPr>
        <w:pStyle w:val="9"/>
        <w:snapToGrid w:val="0"/>
        <w:spacing w:line="360" w:lineRule="auto"/>
        <w:ind w:firstLine="1074" w:firstLineChars="200"/>
        <w:jc w:val="center"/>
        <w:rPr>
          <w:rFonts w:ascii="宋体" w:hAnsi="宋体" w:eastAsia="宋体" w:cs="宋体"/>
          <w:w w:val="96"/>
          <w:sz w:val="32"/>
          <w:szCs w:val="32"/>
        </w:rPr>
      </w:pPr>
      <w:r>
        <w:rPr>
          <w:rFonts w:hint="eastAsia" w:hAnsi="黑体"/>
          <w:w w:val="96"/>
          <w:sz w:val="56"/>
          <w:szCs w:val="56"/>
        </w:rPr>
        <w:t>目录</w:t>
      </w:r>
    </w:p>
    <w:p>
      <w:pPr>
        <w:pStyle w:val="9"/>
        <w:snapToGrid w:val="0"/>
        <w:spacing w:line="360" w:lineRule="auto"/>
        <w:jc w:val="both"/>
        <w:rPr>
          <w:rFonts w:ascii="宋体" w:hAnsi="宋体" w:eastAsia="宋体" w:cs="宋体"/>
          <w:b/>
          <w:w w:val="96"/>
          <w:sz w:val="28"/>
          <w:szCs w:val="28"/>
        </w:rPr>
      </w:pPr>
      <w:r>
        <w:rPr>
          <w:rFonts w:hint="eastAsia" w:hAnsi="黑体"/>
          <w:bCs/>
          <w:w w:val="96"/>
          <w:sz w:val="28"/>
          <w:szCs w:val="28"/>
        </w:rPr>
        <w:t>第一部分中国共产主义青年团衡南县委员会概况</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一、部门职责</w:t>
      </w:r>
    </w:p>
    <w:p>
      <w:pPr>
        <w:pStyle w:val="9"/>
        <w:snapToGrid w:val="0"/>
        <w:spacing w:line="360" w:lineRule="auto"/>
        <w:ind w:firstLine="536" w:firstLineChars="200"/>
        <w:rPr>
          <w:rFonts w:ascii="宋体" w:hAnsi="宋体" w:eastAsia="宋体" w:cs="宋体"/>
          <w:w w:val="96"/>
          <w:sz w:val="32"/>
          <w:szCs w:val="32"/>
        </w:rPr>
      </w:pPr>
      <w:r>
        <w:rPr>
          <w:rFonts w:hint="eastAsia" w:ascii="宋体" w:hAnsi="宋体" w:eastAsia="宋体" w:cs="宋体"/>
          <w:w w:val="96"/>
          <w:sz w:val="28"/>
          <w:szCs w:val="28"/>
        </w:rPr>
        <w:t>二、机构设置</w:t>
      </w:r>
    </w:p>
    <w:p>
      <w:pPr>
        <w:pStyle w:val="9"/>
        <w:snapToGrid w:val="0"/>
        <w:spacing w:line="360" w:lineRule="auto"/>
        <w:rPr>
          <w:rFonts w:hAnsi="黑体"/>
          <w:bCs/>
          <w:w w:val="96"/>
          <w:sz w:val="28"/>
          <w:szCs w:val="28"/>
        </w:rPr>
      </w:pPr>
      <w:r>
        <w:rPr>
          <w:rFonts w:hint="eastAsia" w:hAnsi="黑体"/>
          <w:bCs/>
          <w:w w:val="96"/>
          <w:sz w:val="28"/>
          <w:szCs w:val="28"/>
        </w:rPr>
        <w:t>第二部分2020年度部门决算表</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一、收入支出决算总表</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二、收入决算表</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三、支出决算表</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四、财政拨款收入支出决算总表</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五、一般公共预算财政拨款支出决算表</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六、一般公共预算财政拨款基本支出决算表</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七、一般公共预算财政拨款“三公”经费支出决算表</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八、政府性基金预算财政拨款收入支出决算表</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九、国有资本经营预算财政拨款支出决算表</w:t>
      </w:r>
    </w:p>
    <w:p>
      <w:pPr>
        <w:pStyle w:val="9"/>
        <w:snapToGrid w:val="0"/>
        <w:spacing w:line="360" w:lineRule="auto"/>
        <w:rPr>
          <w:rFonts w:hAnsi="黑体"/>
          <w:bCs/>
          <w:w w:val="96"/>
          <w:sz w:val="28"/>
          <w:szCs w:val="28"/>
        </w:rPr>
      </w:pPr>
      <w:r>
        <w:rPr>
          <w:rFonts w:hint="eastAsia" w:hAnsi="黑体"/>
          <w:bCs/>
          <w:w w:val="96"/>
          <w:sz w:val="28"/>
          <w:szCs w:val="28"/>
        </w:rPr>
        <w:t>第三部分2020年度部门决算情况说明</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一、收入支出决算总体情况说明</w:t>
      </w:r>
    </w:p>
    <w:p>
      <w:pPr>
        <w:adjustRightInd w:val="0"/>
        <w:snapToGrid w:val="0"/>
        <w:spacing w:line="360" w:lineRule="auto"/>
        <w:ind w:firstLine="536" w:firstLineChars="200"/>
        <w:jc w:val="left"/>
        <w:rPr>
          <w:rFonts w:ascii="宋体" w:hAnsi="宋体" w:eastAsia="宋体" w:cs="宋体"/>
          <w:w w:val="96"/>
          <w:sz w:val="28"/>
          <w:szCs w:val="28"/>
        </w:rPr>
      </w:pPr>
      <w:r>
        <w:rPr>
          <w:rFonts w:hint="eastAsia" w:ascii="宋体" w:hAnsi="宋体" w:eastAsia="宋体" w:cs="宋体"/>
          <w:w w:val="96"/>
          <w:sz w:val="28"/>
          <w:szCs w:val="28"/>
        </w:rPr>
        <w:t>二、收入决算情况说明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三、支出决算情况说明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四、财政拨款收入支出决算总体情况说明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五、一般公共预算财政拨款支出决算情况说明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六、一般公共预算财政拨款基本支出决算情况说明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七、一般公共预算财政拨款三公经费支出决算情况说明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八、政府性基金预算收入支出决算情况说明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九、国有资本经营预算财政拨款支出决算情况</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十、关于机关运行经费支出说明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十一、一般性支出情况说明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十二、关于政府采购支出说明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十三、关于国有资产占用情况说明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十四、关于2020年度预算绩效情况说明</w:t>
      </w:r>
    </w:p>
    <w:p>
      <w:pPr>
        <w:pStyle w:val="9"/>
        <w:snapToGrid w:val="0"/>
        <w:spacing w:line="360" w:lineRule="auto"/>
        <w:rPr>
          <w:rFonts w:hAnsi="黑体"/>
          <w:bCs/>
          <w:w w:val="96"/>
          <w:sz w:val="28"/>
          <w:szCs w:val="28"/>
        </w:rPr>
      </w:pPr>
      <w:r>
        <w:rPr>
          <w:rFonts w:hint="eastAsia" w:hAnsi="黑体"/>
          <w:bCs/>
          <w:w w:val="96"/>
          <w:sz w:val="28"/>
          <w:szCs w:val="28"/>
        </w:rPr>
        <w:t>第四部分名词解释</w:t>
      </w:r>
    </w:p>
    <w:p>
      <w:pPr>
        <w:pStyle w:val="9"/>
        <w:snapToGrid w:val="0"/>
        <w:spacing w:line="360" w:lineRule="auto"/>
        <w:rPr>
          <w:rFonts w:hAnsi="黑体"/>
          <w:bCs/>
          <w:w w:val="96"/>
          <w:sz w:val="28"/>
          <w:szCs w:val="28"/>
        </w:rPr>
      </w:pPr>
      <w:r>
        <w:rPr>
          <w:rFonts w:hint="eastAsia" w:hAnsi="黑体"/>
          <w:bCs/>
          <w:w w:val="96"/>
          <w:sz w:val="28"/>
          <w:szCs w:val="28"/>
        </w:rPr>
        <w:t>第五部分附件</w:t>
      </w:r>
    </w:p>
    <w:p>
      <w:pPr>
        <w:adjustRightInd w:val="0"/>
        <w:snapToGrid w:val="0"/>
        <w:spacing w:line="360" w:lineRule="auto"/>
        <w:ind w:firstLine="614" w:firstLineChars="200"/>
        <w:jc w:val="center"/>
        <w:rPr>
          <w:rFonts w:ascii="宋体" w:hAnsi="宋体" w:eastAsia="宋体" w:cs="宋体"/>
          <w:w w:val="96"/>
          <w:sz w:val="32"/>
          <w:szCs w:val="32"/>
        </w:rPr>
      </w:pPr>
    </w:p>
    <w:p>
      <w:pPr>
        <w:adjustRightInd w:val="0"/>
        <w:snapToGrid w:val="0"/>
        <w:spacing w:line="360" w:lineRule="auto"/>
        <w:ind w:firstLine="614" w:firstLineChars="200"/>
        <w:jc w:val="center"/>
        <w:rPr>
          <w:rFonts w:ascii="宋体" w:hAnsi="宋体" w:eastAsia="宋体" w:cs="宋体"/>
          <w:w w:val="96"/>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rPr>
          <w:rFonts w:ascii="仿宋" w:hAnsi="仿宋" w:eastAsia="仿宋" w:cs="仿宋"/>
          <w:sz w:val="32"/>
          <w:szCs w:val="32"/>
        </w:rPr>
      </w:pPr>
    </w:p>
    <w:p>
      <w:pPr>
        <w:pStyle w:val="9"/>
        <w:jc w:val="center"/>
        <w:rPr>
          <w:rFonts w:hAnsi="黑体"/>
          <w:sz w:val="70"/>
          <w:szCs w:val="70"/>
        </w:rPr>
      </w:pPr>
    </w:p>
    <w:p>
      <w:pPr>
        <w:pStyle w:val="9"/>
        <w:jc w:val="center"/>
        <w:rPr>
          <w:rFonts w:hAnsi="黑体"/>
          <w:sz w:val="70"/>
          <w:szCs w:val="70"/>
        </w:rPr>
      </w:pPr>
    </w:p>
    <w:p>
      <w:pPr>
        <w:pStyle w:val="9"/>
        <w:jc w:val="center"/>
        <w:rPr>
          <w:rFonts w:hAnsi="黑体"/>
          <w:sz w:val="70"/>
          <w:szCs w:val="70"/>
        </w:rPr>
      </w:pPr>
    </w:p>
    <w:p>
      <w:pPr>
        <w:pStyle w:val="9"/>
        <w:jc w:val="center"/>
        <w:rPr>
          <w:rFonts w:hAnsi="黑体"/>
          <w:sz w:val="70"/>
          <w:szCs w:val="70"/>
        </w:rPr>
      </w:pPr>
    </w:p>
    <w:p>
      <w:pPr>
        <w:pStyle w:val="9"/>
        <w:jc w:val="center"/>
        <w:rPr>
          <w:rFonts w:hAnsi="黑体"/>
          <w:sz w:val="70"/>
          <w:szCs w:val="70"/>
        </w:rPr>
      </w:pPr>
    </w:p>
    <w:p>
      <w:pPr>
        <w:pStyle w:val="9"/>
        <w:jc w:val="center"/>
        <w:rPr>
          <w:rFonts w:hAnsi="黑体"/>
          <w:sz w:val="70"/>
          <w:szCs w:val="70"/>
        </w:rPr>
      </w:pPr>
    </w:p>
    <w:p>
      <w:pPr>
        <w:pStyle w:val="9"/>
        <w:jc w:val="center"/>
        <w:rPr>
          <w:rFonts w:hAnsi="黑体"/>
          <w:sz w:val="70"/>
          <w:szCs w:val="70"/>
        </w:rPr>
      </w:pPr>
    </w:p>
    <w:p>
      <w:pPr>
        <w:pStyle w:val="9"/>
        <w:jc w:val="center"/>
        <w:rPr>
          <w:rFonts w:hAnsi="黑体"/>
          <w:sz w:val="70"/>
          <w:szCs w:val="70"/>
        </w:rPr>
      </w:pPr>
    </w:p>
    <w:p>
      <w:pPr>
        <w:pStyle w:val="9"/>
        <w:jc w:val="center"/>
        <w:rPr>
          <w:rFonts w:hAnsi="黑体"/>
          <w:sz w:val="70"/>
          <w:szCs w:val="70"/>
        </w:rPr>
      </w:pPr>
    </w:p>
    <w:p>
      <w:pPr>
        <w:pStyle w:val="9"/>
        <w:jc w:val="center"/>
        <w:rPr>
          <w:rFonts w:hAnsi="黑体"/>
          <w:sz w:val="70"/>
          <w:szCs w:val="70"/>
        </w:rPr>
      </w:pPr>
    </w:p>
    <w:p>
      <w:pPr>
        <w:pStyle w:val="9"/>
        <w:jc w:val="center"/>
        <w:rPr>
          <w:rFonts w:hAnsi="黑体"/>
          <w:sz w:val="70"/>
          <w:szCs w:val="70"/>
        </w:rPr>
      </w:pPr>
    </w:p>
    <w:p>
      <w:pPr>
        <w:pStyle w:val="9"/>
        <w:snapToGrid w:val="0"/>
        <w:spacing w:line="288" w:lineRule="auto"/>
        <w:jc w:val="center"/>
        <w:rPr>
          <w:rFonts w:hAnsi="黑体"/>
          <w:sz w:val="70"/>
          <w:szCs w:val="70"/>
        </w:rPr>
      </w:pPr>
      <w:r>
        <w:rPr>
          <w:rFonts w:hint="eastAsia" w:hAnsi="黑体"/>
          <w:sz w:val="70"/>
          <w:szCs w:val="70"/>
        </w:rPr>
        <w:t xml:space="preserve">第一部分 </w:t>
      </w:r>
    </w:p>
    <w:p>
      <w:pPr>
        <w:pStyle w:val="9"/>
        <w:snapToGrid w:val="0"/>
        <w:spacing w:line="288" w:lineRule="auto"/>
        <w:jc w:val="center"/>
        <w:rPr>
          <w:rFonts w:hAnsi="黑体"/>
          <w:bCs/>
          <w:sz w:val="70"/>
          <w:szCs w:val="70"/>
        </w:rPr>
      </w:pPr>
      <w:r>
        <w:rPr>
          <w:rFonts w:hint="eastAsia" w:hAnsi="黑体"/>
          <w:bCs/>
          <w:sz w:val="70"/>
          <w:szCs w:val="70"/>
        </w:rPr>
        <w:t>中国共产主义青年团</w:t>
      </w:r>
    </w:p>
    <w:p>
      <w:pPr>
        <w:pStyle w:val="9"/>
        <w:snapToGrid w:val="0"/>
        <w:spacing w:line="288" w:lineRule="auto"/>
        <w:jc w:val="center"/>
        <w:rPr>
          <w:rFonts w:hAnsi="黑体"/>
          <w:bCs/>
          <w:sz w:val="70"/>
          <w:szCs w:val="70"/>
        </w:rPr>
      </w:pPr>
      <w:r>
        <w:rPr>
          <w:rFonts w:hint="eastAsia" w:hAnsi="黑体"/>
          <w:bCs/>
          <w:sz w:val="70"/>
          <w:szCs w:val="70"/>
        </w:rPr>
        <w:t>衡南县委员会单位</w:t>
      </w:r>
    </w:p>
    <w:p>
      <w:pPr>
        <w:pStyle w:val="9"/>
        <w:snapToGrid w:val="0"/>
        <w:spacing w:line="288" w:lineRule="auto"/>
        <w:jc w:val="center"/>
        <w:rPr>
          <w:rFonts w:hAnsi="黑体"/>
          <w:bCs/>
          <w:sz w:val="70"/>
          <w:szCs w:val="70"/>
        </w:rPr>
      </w:pPr>
      <w:r>
        <w:rPr>
          <w:rFonts w:hint="eastAsia" w:hAnsi="黑体"/>
          <w:bCs/>
          <w:sz w:val="70"/>
          <w:szCs w:val="70"/>
        </w:rPr>
        <w:t>概况</w:t>
      </w:r>
    </w:p>
    <w:p>
      <w:pPr>
        <w:pStyle w:val="10"/>
        <w:ind w:firstLine="0" w:firstLineChars="0"/>
        <w:jc w:val="left"/>
        <w:rPr>
          <w:rFonts w:ascii="仿宋" w:hAnsi="仿宋" w:eastAsia="仿宋" w:cs="仿宋"/>
          <w:sz w:val="32"/>
          <w:szCs w:val="32"/>
        </w:rPr>
      </w:pPr>
    </w:p>
    <w:p>
      <w:pPr>
        <w:pStyle w:val="10"/>
        <w:ind w:firstLine="0" w:firstLineChars="0"/>
        <w:jc w:val="left"/>
        <w:rPr>
          <w:rFonts w:ascii="仿宋" w:hAnsi="仿宋" w:eastAsia="仿宋" w:cs="仿宋"/>
          <w:sz w:val="32"/>
          <w:szCs w:val="32"/>
        </w:rPr>
      </w:pPr>
    </w:p>
    <w:p>
      <w:pPr>
        <w:pStyle w:val="10"/>
        <w:ind w:firstLine="0" w:firstLineChars="0"/>
        <w:jc w:val="left"/>
        <w:rPr>
          <w:rFonts w:ascii="仿宋" w:hAnsi="仿宋" w:eastAsia="仿宋" w:cs="仿宋"/>
          <w:sz w:val="32"/>
          <w:szCs w:val="32"/>
        </w:rPr>
      </w:pPr>
    </w:p>
    <w:p>
      <w:pPr>
        <w:pStyle w:val="10"/>
        <w:ind w:firstLine="0" w:firstLineChars="0"/>
        <w:jc w:val="left"/>
        <w:rPr>
          <w:rFonts w:ascii="仿宋" w:hAnsi="仿宋" w:eastAsia="仿宋" w:cs="仿宋"/>
          <w:sz w:val="32"/>
          <w:szCs w:val="32"/>
        </w:rPr>
      </w:pPr>
    </w:p>
    <w:p>
      <w:pPr>
        <w:pStyle w:val="10"/>
        <w:ind w:firstLine="0" w:firstLineChars="0"/>
        <w:jc w:val="left"/>
        <w:rPr>
          <w:rFonts w:ascii="仿宋" w:hAnsi="仿宋" w:eastAsia="仿宋" w:cs="仿宋"/>
          <w:sz w:val="32"/>
          <w:szCs w:val="32"/>
        </w:rPr>
      </w:pPr>
    </w:p>
    <w:p>
      <w:pPr>
        <w:pStyle w:val="10"/>
        <w:ind w:firstLine="0" w:firstLineChars="0"/>
        <w:jc w:val="left"/>
        <w:rPr>
          <w:rFonts w:ascii="仿宋" w:hAnsi="仿宋" w:eastAsia="仿宋" w:cs="仿宋"/>
          <w:sz w:val="32"/>
          <w:szCs w:val="32"/>
        </w:rPr>
      </w:pPr>
    </w:p>
    <w:p>
      <w:pPr>
        <w:pStyle w:val="10"/>
        <w:ind w:firstLine="0" w:firstLineChars="0"/>
        <w:jc w:val="left"/>
        <w:rPr>
          <w:rFonts w:ascii="仿宋" w:hAnsi="仿宋" w:eastAsia="仿宋" w:cs="仿宋"/>
          <w:sz w:val="32"/>
          <w:szCs w:val="32"/>
        </w:rPr>
      </w:pPr>
    </w:p>
    <w:p>
      <w:pPr>
        <w:pStyle w:val="10"/>
        <w:ind w:firstLine="0" w:firstLineChars="0"/>
        <w:jc w:val="left"/>
        <w:rPr>
          <w:rFonts w:ascii="仿宋" w:hAnsi="仿宋" w:eastAsia="仿宋" w:cs="仿宋"/>
          <w:sz w:val="32"/>
          <w:szCs w:val="32"/>
        </w:rPr>
      </w:pPr>
    </w:p>
    <w:p>
      <w:pPr>
        <w:pStyle w:val="10"/>
        <w:ind w:firstLine="0" w:firstLineChars="0"/>
        <w:jc w:val="left"/>
        <w:rPr>
          <w:rFonts w:ascii="仿宋" w:hAnsi="仿宋" w:eastAsia="仿宋" w:cs="仿宋"/>
          <w:b/>
          <w:bCs/>
          <w:sz w:val="32"/>
          <w:szCs w:val="32"/>
        </w:rPr>
      </w:pPr>
      <w:r>
        <w:rPr>
          <w:rFonts w:hint="eastAsia" w:ascii="仿宋" w:hAnsi="仿宋" w:eastAsia="仿宋" w:cs="仿宋"/>
          <w:b/>
          <w:bCs/>
          <w:sz w:val="32"/>
          <w:szCs w:val="32"/>
        </w:rPr>
        <w:t>一、部门职责</w:t>
      </w:r>
    </w:p>
    <w:p>
      <w:pPr>
        <w:ind w:firstLine="640" w:firstLineChars="200"/>
        <w:rPr>
          <w:rFonts w:ascii="仿宋" w:hAnsi="仿宋" w:eastAsia="仿宋" w:cs="仿宋"/>
          <w:sz w:val="32"/>
          <w:szCs w:val="32"/>
        </w:rPr>
      </w:pPr>
      <w:r>
        <w:rPr>
          <w:rFonts w:hint="eastAsia" w:ascii="仿宋" w:hAnsi="仿宋" w:eastAsia="仿宋" w:cs="仿宋"/>
          <w:sz w:val="32"/>
          <w:szCs w:val="32"/>
        </w:rPr>
        <w:t>中国共产主义青年团是中国共产党领导的先进青年的群团组织，是广大青年在实践中学习共产主义的学校，是党的助手和后备军，是党联系青年的桥梁和纽带，是国家政权的重要社会支柱。共青团衡南县委由中共衡南县委领导。其机关的主要工作职责是：</w:t>
      </w:r>
    </w:p>
    <w:p>
      <w:pPr>
        <w:ind w:firstLine="640" w:firstLineChars="200"/>
        <w:rPr>
          <w:rFonts w:ascii="仿宋" w:hAnsi="仿宋" w:eastAsia="仿宋" w:cs="仿宋"/>
          <w:sz w:val="32"/>
          <w:szCs w:val="32"/>
        </w:rPr>
      </w:pPr>
      <w:r>
        <w:rPr>
          <w:rFonts w:hint="eastAsia" w:ascii="仿宋" w:hAnsi="仿宋" w:eastAsia="仿宋" w:cs="仿宋"/>
          <w:sz w:val="32"/>
          <w:szCs w:val="32"/>
        </w:rPr>
        <w:t>（一）行使中共衡南县委赋予的领导全县共青团和少先队工作的职权，对在全县性青年社会团组织进行指导和管理。      （二）参与制定青少年事业发展规划和青少年工作方针、政策。对全县青少年活动阵地和青少年服务机构的建设等事务进行规划和管理。</w:t>
      </w:r>
    </w:p>
    <w:p>
      <w:pPr>
        <w:ind w:firstLine="640" w:firstLineChars="200"/>
        <w:rPr>
          <w:rFonts w:ascii="仿宋" w:hAnsi="仿宋" w:eastAsia="仿宋" w:cs="仿宋"/>
          <w:sz w:val="32"/>
          <w:szCs w:val="32"/>
        </w:rPr>
      </w:pPr>
      <w:r>
        <w:rPr>
          <w:rFonts w:hint="eastAsia" w:ascii="仿宋" w:hAnsi="仿宋" w:eastAsia="仿宋" w:cs="仿宋"/>
          <w:sz w:val="32"/>
          <w:szCs w:val="32"/>
        </w:rPr>
        <w:t>（三）参与有关青少年事务的法律和法规的制定和实施，协助中共衡南县委、县人民政府处理、协调与青少年利益相关的事务。</w:t>
      </w:r>
    </w:p>
    <w:p>
      <w:pPr>
        <w:ind w:firstLine="640" w:firstLineChars="200"/>
        <w:rPr>
          <w:rFonts w:ascii="仿宋" w:hAnsi="仿宋" w:eastAsia="仿宋" w:cs="仿宋"/>
          <w:sz w:val="32"/>
          <w:szCs w:val="32"/>
        </w:rPr>
      </w:pPr>
      <w:r>
        <w:rPr>
          <w:rFonts w:hint="eastAsia" w:ascii="仿宋" w:hAnsi="仿宋" w:eastAsia="仿宋" w:cs="仿宋"/>
          <w:sz w:val="32"/>
          <w:szCs w:val="32"/>
        </w:rPr>
        <w:t>（四）调查青年思想动态和青年工作状况，研究青少年运动、青少年工作理论和思想教育问题，提出相应对策，开展各种有益的活动，提高青少年政治思想、科学文化素质；研究青少年违法犯罪问题，协同有关部门开展青少年法制教育和未成年保护工作。</w:t>
      </w:r>
    </w:p>
    <w:p>
      <w:pPr>
        <w:ind w:firstLine="640" w:firstLineChars="200"/>
        <w:rPr>
          <w:rFonts w:ascii="仿宋" w:hAnsi="仿宋" w:eastAsia="仿宋" w:cs="仿宋"/>
          <w:sz w:val="32"/>
          <w:szCs w:val="32"/>
        </w:rPr>
      </w:pPr>
      <w:r>
        <w:rPr>
          <w:rFonts w:hint="eastAsia" w:ascii="仿宋" w:hAnsi="仿宋" w:eastAsia="仿宋" w:cs="仿宋"/>
          <w:sz w:val="32"/>
          <w:szCs w:val="32"/>
        </w:rPr>
        <w:t>（五）协助政府教育部门做好中、小学生的教育管理工作，维护学校稳定和社会安定团结。</w:t>
      </w:r>
    </w:p>
    <w:p>
      <w:pPr>
        <w:ind w:firstLine="640" w:firstLineChars="200"/>
        <w:rPr>
          <w:rFonts w:ascii="仿宋" w:hAnsi="仿宋" w:eastAsia="仿宋" w:cs="仿宋"/>
          <w:sz w:val="32"/>
          <w:szCs w:val="32"/>
        </w:rPr>
      </w:pPr>
      <w:r>
        <w:rPr>
          <w:rFonts w:hint="eastAsia" w:ascii="仿宋" w:hAnsi="仿宋" w:eastAsia="仿宋" w:cs="仿宋"/>
          <w:sz w:val="32"/>
          <w:szCs w:val="32"/>
        </w:rPr>
        <w:t>（六）在全县经济建设中，组织和带领青年发挥生力军和突击队作用。</w:t>
      </w:r>
    </w:p>
    <w:p>
      <w:pPr>
        <w:ind w:firstLine="640" w:firstLineChars="200"/>
        <w:rPr>
          <w:rFonts w:ascii="仿宋" w:hAnsi="仿宋" w:eastAsia="仿宋" w:cs="仿宋"/>
          <w:sz w:val="32"/>
          <w:szCs w:val="32"/>
        </w:rPr>
      </w:pPr>
      <w:r>
        <w:rPr>
          <w:rFonts w:hint="eastAsia" w:ascii="仿宋" w:hAnsi="仿宋" w:eastAsia="仿宋" w:cs="仿宋"/>
          <w:sz w:val="32"/>
          <w:szCs w:val="32"/>
        </w:rPr>
        <w:t>（七）会同有关部门做好青少年外事和县内外青少年组织、团体的交流工作；做好青年统战对象的团结教育工作。</w:t>
      </w:r>
    </w:p>
    <w:p>
      <w:pPr>
        <w:ind w:firstLine="640" w:firstLineChars="200"/>
        <w:rPr>
          <w:rFonts w:ascii="仿宋" w:hAnsi="仿宋" w:eastAsia="仿宋" w:cs="仿宋"/>
          <w:sz w:val="32"/>
          <w:szCs w:val="32"/>
        </w:rPr>
      </w:pPr>
      <w:r>
        <w:rPr>
          <w:rFonts w:hint="eastAsia" w:ascii="仿宋" w:hAnsi="仿宋" w:eastAsia="仿宋" w:cs="仿宋"/>
          <w:sz w:val="32"/>
          <w:szCs w:val="32"/>
        </w:rPr>
        <w:t>（八）承办中共衡南县委、县人民政府交办的有关事项。</w:t>
      </w:r>
    </w:p>
    <w:p>
      <w:pPr>
        <w:widowControl/>
        <w:spacing w:line="600" w:lineRule="exact"/>
        <w:rPr>
          <w:rFonts w:ascii="仿宋" w:hAnsi="仿宋" w:eastAsia="仿宋" w:cs="仿宋"/>
          <w:b/>
          <w:kern w:val="0"/>
          <w:sz w:val="32"/>
          <w:szCs w:val="32"/>
        </w:rPr>
      </w:pPr>
      <w:r>
        <w:rPr>
          <w:rFonts w:hint="eastAsia" w:ascii="仿宋" w:hAnsi="仿宋" w:eastAsia="仿宋" w:cs="仿宋"/>
          <w:b/>
          <w:kern w:val="0"/>
          <w:sz w:val="32"/>
          <w:szCs w:val="32"/>
        </w:rPr>
        <w:t>二、机构设置及决算单位构成</w:t>
      </w:r>
    </w:p>
    <w:p>
      <w:pPr>
        <w:ind w:firstLine="640" w:firstLineChars="200"/>
        <w:rPr>
          <w:rFonts w:ascii="仿宋" w:hAnsi="仿宋" w:eastAsia="仿宋" w:cs="仿宋"/>
          <w:sz w:val="32"/>
          <w:szCs w:val="32"/>
        </w:rPr>
      </w:pPr>
      <w:r>
        <w:rPr>
          <w:rFonts w:hint="eastAsia" w:ascii="仿宋" w:hAnsi="仿宋" w:eastAsia="仿宋" w:cs="仿宋"/>
          <w:bCs/>
          <w:kern w:val="0"/>
          <w:sz w:val="32"/>
          <w:szCs w:val="32"/>
        </w:rPr>
        <w:t>（一）内设机构设置。</w:t>
      </w:r>
      <w:r>
        <w:rPr>
          <w:rFonts w:hint="eastAsia" w:ascii="仿宋" w:hAnsi="仿宋" w:eastAsia="仿宋" w:cs="仿宋"/>
          <w:sz w:val="32"/>
          <w:szCs w:val="32"/>
        </w:rPr>
        <w:t>共青团衡南县委机关设2个职能部（室）分别为：办公室（加挂希望工程办公室、学少权益部牌子）、组织宣传部。</w:t>
      </w:r>
    </w:p>
    <w:p>
      <w:pPr>
        <w:widowControl/>
        <w:spacing w:line="600" w:lineRule="exact"/>
        <w:rPr>
          <w:rFonts w:ascii="仿宋" w:hAnsi="仿宋" w:eastAsia="仿宋" w:cs="仿宋"/>
          <w:bCs/>
          <w:kern w:val="0"/>
          <w:sz w:val="32"/>
          <w:szCs w:val="32"/>
        </w:rPr>
      </w:pPr>
    </w:p>
    <w:p>
      <w:pPr>
        <w:widowControl/>
        <w:spacing w:line="600" w:lineRule="exact"/>
        <w:rPr>
          <w:rFonts w:ascii="仿宋" w:hAnsi="仿宋" w:eastAsia="仿宋" w:cs="仿宋"/>
          <w:bCs/>
          <w:kern w:val="0"/>
          <w:sz w:val="32"/>
          <w:szCs w:val="32"/>
        </w:rPr>
      </w:pPr>
      <w:r>
        <w:rPr>
          <w:rFonts w:hint="eastAsia" w:ascii="仿宋" w:hAnsi="仿宋" w:eastAsia="仿宋" w:cs="仿宋"/>
          <w:bCs/>
          <w:kern w:val="0"/>
          <w:sz w:val="32"/>
          <w:szCs w:val="32"/>
        </w:rPr>
        <w:t>（二）决算单位构成。</w:t>
      </w:r>
      <w:r>
        <w:rPr>
          <w:rFonts w:hint="eastAsia" w:ascii="仿宋" w:hAnsi="仿宋" w:eastAsia="仿宋" w:cs="仿宋"/>
          <w:sz w:val="32"/>
          <w:szCs w:val="32"/>
        </w:rPr>
        <w:t>共青团衡南县委</w:t>
      </w:r>
      <w:r>
        <w:rPr>
          <w:rFonts w:hint="eastAsia" w:ascii="仿宋" w:hAnsi="仿宋" w:eastAsia="仿宋" w:cs="仿宋"/>
          <w:bCs/>
          <w:kern w:val="0"/>
          <w:sz w:val="32"/>
          <w:szCs w:val="32"/>
        </w:rPr>
        <w:t>2020年部门决算汇总公开</w:t>
      </w:r>
      <w:r>
        <w:rPr>
          <w:rFonts w:hint="eastAsia" w:ascii="仿宋" w:hAnsi="仿宋" w:eastAsia="仿宋" w:cs="仿宋"/>
          <w:color w:val="333333"/>
          <w:kern w:val="0"/>
          <w:sz w:val="32"/>
          <w:szCs w:val="32"/>
        </w:rPr>
        <w:t>就是县团委本级，没有二级机构。</w:t>
      </w:r>
    </w:p>
    <w:p>
      <w:pPr>
        <w:jc w:val="left"/>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黑体" w:hAnsi="黑体" w:eastAsia="黑体" w:cs="黑体"/>
          <w:sz w:val="70"/>
          <w:szCs w:val="70"/>
        </w:rPr>
      </w:pPr>
      <w:r>
        <w:rPr>
          <w:rFonts w:hint="eastAsia" w:ascii="黑体" w:hAnsi="黑体" w:eastAsia="黑体" w:cs="黑体"/>
          <w:sz w:val="70"/>
          <w:szCs w:val="70"/>
        </w:rPr>
        <w:t>第二部分</w:t>
      </w:r>
    </w:p>
    <w:p>
      <w:pPr>
        <w:jc w:val="center"/>
        <w:rPr>
          <w:rFonts w:ascii="黑体" w:hAnsi="黑体" w:eastAsia="黑体" w:cs="黑体"/>
          <w:sz w:val="70"/>
          <w:szCs w:val="70"/>
        </w:rPr>
      </w:pPr>
    </w:p>
    <w:p>
      <w:pPr>
        <w:jc w:val="center"/>
        <w:rPr>
          <w:rFonts w:ascii="黑体" w:hAnsi="黑体" w:eastAsia="黑体" w:cs="黑体"/>
          <w:sz w:val="70"/>
          <w:szCs w:val="70"/>
        </w:rPr>
      </w:pPr>
      <w:r>
        <w:rPr>
          <w:rFonts w:hint="eastAsia" w:ascii="黑体" w:hAnsi="黑体" w:eastAsia="黑体" w:cs="黑体"/>
          <w:sz w:val="70"/>
          <w:szCs w:val="70"/>
        </w:rPr>
        <w:t>部门决算表</w:t>
      </w:r>
    </w:p>
    <w:p>
      <w:pPr>
        <w:jc w:val="center"/>
        <w:rPr>
          <w:rFonts w:ascii="仿宋" w:hAnsi="仿宋" w:eastAsia="仿宋" w:cs="仿宋"/>
          <w:sz w:val="32"/>
          <w:szCs w:val="32"/>
        </w:rPr>
      </w:pPr>
    </w:p>
    <w:p>
      <w:pPr>
        <w:jc w:val="center"/>
        <w:rPr>
          <w:rFonts w:ascii="仿宋" w:hAnsi="仿宋" w:eastAsia="仿宋" w:cs="仿宋"/>
          <w:sz w:val="32"/>
          <w:szCs w:val="32"/>
        </w:rPr>
      </w:pPr>
      <w:r>
        <w:rPr>
          <w:rFonts w:hint="eastAsia" w:ascii="仿宋" w:hAnsi="仿宋" w:eastAsia="仿宋" w:cs="仿宋"/>
          <w:sz w:val="32"/>
          <w:szCs w:val="32"/>
        </w:rPr>
        <w:t>(部门决算公示表附后)</w:t>
      </w: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center"/>
        <w:rPr>
          <w:rFonts w:ascii="仿宋" w:hAnsi="仿宋" w:eastAsia="仿宋" w:cs="仿宋"/>
          <w:sz w:val="32"/>
          <w:szCs w:val="32"/>
        </w:rPr>
      </w:pPr>
    </w:p>
    <w:p>
      <w:pPr>
        <w:jc w:val="left"/>
        <w:rPr>
          <w:rFonts w:ascii="仿宋" w:hAnsi="仿宋" w:eastAsia="仿宋" w:cs="仿宋"/>
          <w:sz w:val="32"/>
          <w:szCs w:val="32"/>
        </w:rPr>
      </w:pPr>
    </w:p>
    <w:p>
      <w:pPr>
        <w:jc w:val="left"/>
        <w:rPr>
          <w:rFonts w:ascii="仿宋" w:hAnsi="仿宋" w:eastAsia="仿宋" w:cs="仿宋"/>
          <w:sz w:val="32"/>
          <w:szCs w:val="32"/>
        </w:rPr>
        <w:sectPr>
          <w:pgSz w:w="11906" w:h="16838"/>
          <w:pgMar w:top="1440" w:right="1800" w:bottom="1440" w:left="1800" w:header="851" w:footer="992" w:gutter="0"/>
          <w:cols w:space="425" w:num="1"/>
          <w:docGrid w:type="lines" w:linePitch="312" w:charSpace="0"/>
        </w:sectPr>
      </w:pPr>
    </w:p>
    <w:p>
      <w:pPr>
        <w:pStyle w:val="9"/>
        <w:rPr>
          <w:rFonts w:ascii="仿宋" w:hAnsi="仿宋" w:eastAsia="仿宋" w:cs="仿宋"/>
          <w:sz w:val="32"/>
          <w:szCs w:val="32"/>
        </w:rPr>
      </w:pPr>
    </w:p>
    <w:p>
      <w:pPr>
        <w:pStyle w:val="9"/>
        <w:rPr>
          <w:rFonts w:ascii="仿宋" w:hAnsi="仿宋" w:eastAsia="仿宋" w:cs="仿宋"/>
          <w:sz w:val="32"/>
          <w:szCs w:val="32"/>
        </w:rPr>
      </w:pPr>
    </w:p>
    <w:p>
      <w:pPr>
        <w:pStyle w:val="9"/>
        <w:rPr>
          <w:rFonts w:ascii="仿宋" w:hAnsi="仿宋" w:eastAsia="仿宋" w:cs="仿宋"/>
          <w:sz w:val="32"/>
          <w:szCs w:val="32"/>
        </w:rPr>
      </w:pPr>
    </w:p>
    <w:p>
      <w:pPr>
        <w:pStyle w:val="9"/>
        <w:rPr>
          <w:rFonts w:ascii="仿宋" w:hAnsi="仿宋" w:eastAsia="仿宋" w:cs="仿宋"/>
          <w:sz w:val="32"/>
          <w:szCs w:val="32"/>
        </w:rPr>
      </w:pPr>
    </w:p>
    <w:p>
      <w:pPr>
        <w:pStyle w:val="9"/>
        <w:jc w:val="center"/>
        <w:rPr>
          <w:rFonts w:ascii="仿宋" w:hAnsi="仿宋" w:eastAsia="仿宋" w:cs="仿宋"/>
          <w:sz w:val="32"/>
          <w:szCs w:val="32"/>
        </w:rPr>
      </w:pPr>
    </w:p>
    <w:p>
      <w:pPr>
        <w:pStyle w:val="9"/>
        <w:jc w:val="center"/>
        <w:rPr>
          <w:rFonts w:hAnsi="黑体"/>
          <w:sz w:val="70"/>
          <w:szCs w:val="70"/>
        </w:rPr>
      </w:pPr>
    </w:p>
    <w:p>
      <w:pPr>
        <w:pStyle w:val="9"/>
        <w:jc w:val="center"/>
        <w:rPr>
          <w:rFonts w:hAnsi="黑体"/>
          <w:sz w:val="70"/>
          <w:szCs w:val="70"/>
        </w:rPr>
      </w:pPr>
      <w:r>
        <w:rPr>
          <w:rFonts w:hint="eastAsia" w:hAnsi="黑体"/>
          <w:sz w:val="70"/>
          <w:szCs w:val="70"/>
        </w:rPr>
        <w:t>第三部分</w:t>
      </w:r>
    </w:p>
    <w:p>
      <w:pPr>
        <w:pStyle w:val="9"/>
        <w:jc w:val="center"/>
        <w:rPr>
          <w:rFonts w:hAnsi="黑体"/>
          <w:sz w:val="70"/>
          <w:szCs w:val="70"/>
        </w:rPr>
      </w:pPr>
    </w:p>
    <w:p>
      <w:pPr>
        <w:pStyle w:val="9"/>
        <w:jc w:val="center"/>
        <w:rPr>
          <w:rFonts w:hAnsi="黑体"/>
          <w:sz w:val="70"/>
          <w:szCs w:val="70"/>
        </w:rPr>
      </w:pPr>
      <w:r>
        <w:rPr>
          <w:rFonts w:hint="eastAsia" w:hAnsi="黑体"/>
          <w:sz w:val="70"/>
          <w:szCs w:val="70"/>
        </w:rPr>
        <w:t>2020年度部门决算情况说明</w:t>
      </w:r>
    </w:p>
    <w:p>
      <w:pPr>
        <w:widowControl/>
        <w:jc w:val="left"/>
        <w:rPr>
          <w:rFonts w:ascii="仿宋" w:hAnsi="仿宋" w:eastAsia="仿宋" w:cs="仿宋"/>
          <w:sz w:val="32"/>
          <w:szCs w:val="32"/>
        </w:rPr>
      </w:pPr>
      <w:r>
        <w:rPr>
          <w:rFonts w:hint="eastAsia" w:ascii="仿宋" w:hAnsi="仿宋" w:eastAsia="仿宋" w:cs="仿宋"/>
          <w:sz w:val="32"/>
          <w:szCs w:val="32"/>
        </w:rPr>
        <w:br w:type="page"/>
      </w:r>
    </w:p>
    <w:p>
      <w:pPr>
        <w:pStyle w:val="9"/>
        <w:ind w:firstLine="640" w:firstLineChars="200"/>
        <w:rPr>
          <w:rFonts w:ascii="仿宋" w:hAnsi="仿宋" w:eastAsia="仿宋" w:cs="仿宋"/>
          <w:b/>
          <w:sz w:val="32"/>
          <w:szCs w:val="32"/>
        </w:rPr>
      </w:pPr>
      <w:r>
        <w:rPr>
          <w:rFonts w:hint="eastAsia" w:ascii="仿宋" w:hAnsi="仿宋" w:eastAsia="仿宋" w:cs="仿宋"/>
          <w:b/>
          <w:sz w:val="32"/>
          <w:szCs w:val="32"/>
        </w:rPr>
        <w:t>一、收入支出决算总体情况说明</w:t>
      </w:r>
    </w:p>
    <w:p>
      <w:pPr>
        <w:pStyle w:val="9"/>
        <w:ind w:firstLine="640" w:firstLineChars="200"/>
        <w:rPr>
          <w:rFonts w:ascii="仿宋" w:hAnsi="仿宋" w:eastAsia="仿宋" w:cs="仿宋"/>
          <w:sz w:val="32"/>
          <w:szCs w:val="32"/>
        </w:rPr>
      </w:pPr>
      <w:r>
        <w:rPr>
          <w:rFonts w:hint="eastAsia" w:ascii="仿宋" w:hAnsi="仿宋" w:eastAsia="仿宋" w:cs="仿宋"/>
          <w:sz w:val="32"/>
          <w:szCs w:val="32"/>
        </w:rPr>
        <w:t>2020 年度收、支总计58.88万元，与2019年相比，减少25.43万元，减少34.40%。主要是因为人员经费减少。</w:t>
      </w:r>
    </w:p>
    <w:p>
      <w:pPr>
        <w:pStyle w:val="9"/>
        <w:ind w:firstLine="640" w:firstLineChars="200"/>
        <w:rPr>
          <w:rFonts w:ascii="仿宋" w:hAnsi="仿宋" w:eastAsia="仿宋" w:cs="仿宋"/>
          <w:b/>
          <w:sz w:val="32"/>
          <w:szCs w:val="32"/>
        </w:rPr>
      </w:pPr>
      <w:r>
        <w:rPr>
          <w:rFonts w:hint="eastAsia" w:ascii="仿宋" w:hAnsi="仿宋" w:eastAsia="仿宋" w:cs="仿宋"/>
          <w:b/>
          <w:sz w:val="32"/>
          <w:szCs w:val="32"/>
        </w:rPr>
        <w:t>二、收入决算情况说明</w:t>
      </w:r>
    </w:p>
    <w:p>
      <w:pPr>
        <w:pStyle w:val="9"/>
        <w:ind w:firstLine="640" w:firstLineChars="200"/>
        <w:rPr>
          <w:rFonts w:ascii="仿宋" w:hAnsi="仿宋" w:eastAsia="仿宋" w:cs="仿宋"/>
          <w:sz w:val="32"/>
          <w:szCs w:val="32"/>
        </w:rPr>
      </w:pPr>
      <w:r>
        <w:rPr>
          <w:rFonts w:hint="eastAsia" w:ascii="仿宋" w:hAnsi="仿宋" w:eastAsia="仿宋" w:cs="仿宋"/>
          <w:sz w:val="32"/>
          <w:szCs w:val="32"/>
        </w:rPr>
        <w:t>本年收入合计55.57万元，其中：财政拨款收入55.57万元；占1</w:t>
      </w:r>
      <w:r>
        <w:rPr>
          <w:rFonts w:ascii="仿宋" w:hAnsi="仿宋" w:eastAsia="仿宋" w:cs="仿宋"/>
          <w:sz w:val="32"/>
          <w:szCs w:val="32"/>
        </w:rPr>
        <w:t>00</w:t>
      </w:r>
      <w:r>
        <w:rPr>
          <w:rFonts w:hint="eastAsia" w:ascii="仿宋" w:hAnsi="仿宋" w:eastAsia="仿宋" w:cs="仿宋"/>
          <w:sz w:val="32"/>
          <w:szCs w:val="32"/>
        </w:rPr>
        <w:t>%。与2019年相比，减少25.43万元，减少34.40%。主要是因为人员经费减少。</w:t>
      </w:r>
    </w:p>
    <w:p>
      <w:pPr>
        <w:pStyle w:val="9"/>
        <w:ind w:firstLine="640" w:firstLineChars="200"/>
        <w:rPr>
          <w:rFonts w:ascii="仿宋" w:hAnsi="仿宋" w:eastAsia="仿宋" w:cs="仿宋"/>
          <w:b/>
          <w:sz w:val="32"/>
          <w:szCs w:val="32"/>
        </w:rPr>
      </w:pPr>
      <w:r>
        <w:rPr>
          <w:rFonts w:hint="eastAsia" w:ascii="仿宋" w:hAnsi="仿宋" w:eastAsia="仿宋" w:cs="仿宋"/>
          <w:b/>
          <w:sz w:val="32"/>
          <w:szCs w:val="32"/>
        </w:rPr>
        <w:t>三、支出决算情况说明</w:t>
      </w:r>
    </w:p>
    <w:p>
      <w:pPr>
        <w:pStyle w:val="9"/>
        <w:ind w:firstLine="640" w:firstLineChars="200"/>
        <w:rPr>
          <w:rFonts w:ascii="仿宋" w:hAnsi="仿宋" w:eastAsia="仿宋" w:cs="仿宋"/>
          <w:sz w:val="32"/>
          <w:szCs w:val="32"/>
        </w:rPr>
      </w:pPr>
      <w:r>
        <w:rPr>
          <w:rFonts w:hint="eastAsia" w:ascii="仿宋" w:hAnsi="仿宋" w:eastAsia="仿宋" w:cs="仿宋"/>
          <w:sz w:val="32"/>
          <w:szCs w:val="32"/>
        </w:rPr>
        <w:t>本年支出合计58.88万元，其中：基本支出34.78万元，占59.07%；项目支出24.10万元，占40.93%；</w:t>
      </w:r>
    </w:p>
    <w:p>
      <w:pPr>
        <w:pStyle w:val="9"/>
        <w:ind w:firstLine="640" w:firstLineChars="200"/>
        <w:rPr>
          <w:rFonts w:ascii="仿宋" w:hAnsi="仿宋" w:eastAsia="仿宋" w:cs="仿宋"/>
          <w:b/>
          <w:sz w:val="32"/>
          <w:szCs w:val="32"/>
        </w:rPr>
      </w:pPr>
      <w:r>
        <w:rPr>
          <w:rFonts w:hint="eastAsia" w:ascii="仿宋" w:hAnsi="仿宋" w:eastAsia="仿宋" w:cs="仿宋"/>
          <w:b/>
          <w:sz w:val="32"/>
          <w:szCs w:val="32"/>
        </w:rPr>
        <w:t>四、财政拨款收入支出决算总体情况说明</w:t>
      </w:r>
    </w:p>
    <w:p>
      <w:pPr>
        <w:pStyle w:val="9"/>
        <w:ind w:firstLine="640" w:firstLineChars="200"/>
        <w:rPr>
          <w:rFonts w:ascii="仿宋" w:hAnsi="仿宋" w:eastAsia="仿宋" w:cs="仿宋"/>
          <w:sz w:val="32"/>
          <w:szCs w:val="32"/>
        </w:rPr>
      </w:pPr>
      <w:r>
        <w:rPr>
          <w:rFonts w:hint="eastAsia" w:ascii="仿宋" w:hAnsi="仿宋" w:eastAsia="仿宋" w:cs="仿宋"/>
          <w:sz w:val="32"/>
          <w:szCs w:val="32"/>
        </w:rPr>
        <w:t>2020年度财政拨款收入</w:t>
      </w:r>
      <w:r>
        <w:rPr>
          <w:rFonts w:ascii="仿宋" w:hAnsi="仿宋" w:eastAsia="仿宋" w:cs="仿宋"/>
          <w:sz w:val="32"/>
          <w:szCs w:val="32"/>
        </w:rPr>
        <w:t>58.88</w:t>
      </w:r>
      <w:r>
        <w:rPr>
          <w:rFonts w:hint="eastAsia" w:ascii="仿宋" w:hAnsi="仿宋" w:eastAsia="仿宋" w:cs="仿宋"/>
          <w:sz w:val="32"/>
          <w:szCs w:val="32"/>
        </w:rPr>
        <w:t>万元、与2019年相比，减少25.43万元,减少34.4%，主要是因为人员经费减少。</w:t>
      </w:r>
    </w:p>
    <w:p>
      <w:pPr>
        <w:pStyle w:val="9"/>
        <w:ind w:firstLine="640" w:firstLineChars="200"/>
        <w:rPr>
          <w:rFonts w:ascii="仿宋" w:hAnsi="仿宋" w:eastAsia="仿宋" w:cs="仿宋"/>
          <w:b/>
          <w:sz w:val="32"/>
          <w:szCs w:val="32"/>
        </w:rPr>
      </w:pPr>
      <w:r>
        <w:rPr>
          <w:rFonts w:hint="eastAsia" w:ascii="仿宋" w:hAnsi="仿宋" w:eastAsia="仿宋" w:cs="仿宋"/>
          <w:b/>
          <w:sz w:val="32"/>
          <w:szCs w:val="32"/>
        </w:rPr>
        <w:t>五、一般公共预算财政拨款支出决算情况说明</w:t>
      </w:r>
    </w:p>
    <w:p>
      <w:pPr>
        <w:pStyle w:val="9"/>
        <w:ind w:firstLine="640" w:firstLineChars="200"/>
        <w:rPr>
          <w:rFonts w:ascii="仿宋" w:hAnsi="仿宋" w:eastAsia="仿宋" w:cs="仿宋"/>
          <w:b/>
          <w:sz w:val="32"/>
          <w:szCs w:val="32"/>
        </w:rPr>
      </w:pPr>
      <w:r>
        <w:rPr>
          <w:rFonts w:hint="eastAsia" w:ascii="仿宋" w:hAnsi="仿宋" w:eastAsia="仿宋" w:cs="仿宋"/>
          <w:b/>
          <w:sz w:val="32"/>
          <w:szCs w:val="32"/>
        </w:rPr>
        <w:t>（一）财政拨款支出决算总体情况</w:t>
      </w:r>
    </w:p>
    <w:p>
      <w:pPr>
        <w:pStyle w:val="9"/>
        <w:ind w:firstLine="800" w:firstLineChars="250"/>
        <w:rPr>
          <w:rFonts w:ascii="仿宋" w:hAnsi="仿宋" w:eastAsia="仿宋" w:cs="仿宋"/>
          <w:sz w:val="32"/>
          <w:szCs w:val="32"/>
        </w:rPr>
      </w:pPr>
      <w:r>
        <w:rPr>
          <w:rFonts w:hint="eastAsia" w:ascii="仿宋" w:hAnsi="仿宋" w:eastAsia="仿宋" w:cs="仿宋"/>
          <w:sz w:val="32"/>
          <w:szCs w:val="32"/>
        </w:rPr>
        <w:t>2020年度财政拨款支出58.88万元，占本年支出合计的100%，与2019年相比，财政拨款支出减少18.99万元，减少32.25%，主要是因为人员经费减少。</w:t>
      </w:r>
    </w:p>
    <w:p>
      <w:pPr>
        <w:pStyle w:val="9"/>
        <w:ind w:firstLine="800" w:firstLineChars="250"/>
        <w:rPr>
          <w:rFonts w:ascii="仿宋" w:hAnsi="仿宋" w:eastAsia="仿宋" w:cs="仿宋"/>
          <w:b/>
          <w:sz w:val="32"/>
          <w:szCs w:val="32"/>
        </w:rPr>
      </w:pPr>
      <w:r>
        <w:rPr>
          <w:rFonts w:hint="eastAsia" w:ascii="仿宋" w:hAnsi="仿宋" w:eastAsia="仿宋" w:cs="仿宋"/>
          <w:b/>
          <w:sz w:val="32"/>
          <w:szCs w:val="32"/>
        </w:rPr>
        <w:t>（二）财政拨款支出决算结构情况</w:t>
      </w:r>
    </w:p>
    <w:p>
      <w:pPr>
        <w:pStyle w:val="9"/>
        <w:ind w:firstLine="640" w:firstLineChars="200"/>
        <w:rPr>
          <w:rFonts w:ascii="仿宋" w:hAnsi="仿宋" w:eastAsia="仿宋" w:cs="仿宋"/>
          <w:sz w:val="32"/>
          <w:szCs w:val="32"/>
        </w:rPr>
      </w:pPr>
      <w:r>
        <w:rPr>
          <w:rFonts w:hint="eastAsia" w:ascii="仿宋" w:hAnsi="仿宋" w:eastAsia="仿宋" w:cs="仿宋"/>
          <w:sz w:val="32"/>
          <w:szCs w:val="32"/>
        </w:rPr>
        <w:t>2020年度财政拨款支出58.88万元，主要用于以下方面：一般公共服务（类）支出49.96万元，占84.85%；社会保障和就业支出6万元，占10.19%；住房保障支出1.31万元，占2.22%。</w:t>
      </w:r>
    </w:p>
    <w:p>
      <w:pPr>
        <w:pStyle w:val="9"/>
        <w:ind w:firstLine="640" w:firstLineChars="200"/>
        <w:rPr>
          <w:rFonts w:ascii="仿宋" w:hAnsi="仿宋" w:eastAsia="仿宋" w:cs="仿宋"/>
          <w:b/>
          <w:sz w:val="32"/>
          <w:szCs w:val="32"/>
        </w:rPr>
      </w:pPr>
      <w:r>
        <w:rPr>
          <w:rFonts w:hint="eastAsia" w:ascii="仿宋" w:hAnsi="仿宋" w:eastAsia="仿宋" w:cs="仿宋"/>
          <w:b/>
          <w:sz w:val="32"/>
          <w:szCs w:val="32"/>
        </w:rPr>
        <w:t>（三）财政拨款支出决算具体情况</w:t>
      </w:r>
    </w:p>
    <w:p>
      <w:pPr>
        <w:pStyle w:val="9"/>
        <w:ind w:firstLine="800" w:firstLineChars="250"/>
        <w:rPr>
          <w:rFonts w:ascii="仿宋" w:hAnsi="仿宋" w:eastAsia="仿宋" w:cs="仿宋"/>
          <w:sz w:val="32"/>
          <w:szCs w:val="32"/>
        </w:rPr>
      </w:pPr>
      <w:r>
        <w:rPr>
          <w:rFonts w:hint="eastAsia" w:ascii="仿宋" w:hAnsi="仿宋" w:eastAsia="仿宋" w:cs="仿宋"/>
          <w:sz w:val="32"/>
          <w:szCs w:val="32"/>
        </w:rPr>
        <w:t>2020年度财政拨款支出年初预算数为58.88万元，支出决算数为58.88万元，完成年初预算的100%，其中：</w:t>
      </w:r>
    </w:p>
    <w:p>
      <w:pPr>
        <w:pStyle w:val="9"/>
        <w:ind w:firstLine="800" w:firstLineChars="250"/>
        <w:rPr>
          <w:rFonts w:ascii="仿宋" w:hAnsi="仿宋" w:eastAsia="仿宋" w:cs="仿宋"/>
          <w:sz w:val="32"/>
          <w:szCs w:val="32"/>
        </w:rPr>
      </w:pPr>
      <w:r>
        <w:rPr>
          <w:rFonts w:hint="eastAsia" w:ascii="仿宋" w:hAnsi="仿宋" w:eastAsia="仿宋" w:cs="仿宋"/>
          <w:sz w:val="32"/>
          <w:szCs w:val="32"/>
        </w:rPr>
        <w:t>1、一般公共服务（类）支出49.96万元占84.85%；其中基本支出34.78万元，项目支出24.1万元。</w:t>
      </w:r>
    </w:p>
    <w:p>
      <w:pPr>
        <w:pStyle w:val="9"/>
        <w:ind w:firstLine="800" w:firstLineChars="250"/>
        <w:rPr>
          <w:rFonts w:ascii="仿宋" w:hAnsi="仿宋" w:eastAsia="仿宋" w:cs="仿宋"/>
          <w:sz w:val="32"/>
          <w:szCs w:val="32"/>
        </w:rPr>
      </w:pPr>
      <w:r>
        <w:rPr>
          <w:rFonts w:hint="eastAsia" w:ascii="仿宋" w:hAnsi="仿宋" w:eastAsia="仿宋" w:cs="仿宋"/>
          <w:sz w:val="32"/>
          <w:szCs w:val="32"/>
        </w:rPr>
        <w:t>2、社会保障和就业支出6万元，占10.19%。</w:t>
      </w:r>
    </w:p>
    <w:p>
      <w:pPr>
        <w:pStyle w:val="9"/>
        <w:ind w:firstLine="800" w:firstLineChars="250"/>
        <w:rPr>
          <w:rFonts w:ascii="仿宋" w:hAnsi="仿宋" w:eastAsia="仿宋" w:cs="仿宋"/>
          <w:sz w:val="32"/>
          <w:szCs w:val="32"/>
        </w:rPr>
      </w:pPr>
      <w:r>
        <w:rPr>
          <w:rFonts w:hint="eastAsia" w:ascii="仿宋" w:hAnsi="仿宋" w:eastAsia="仿宋" w:cs="仿宋"/>
          <w:sz w:val="32"/>
          <w:szCs w:val="32"/>
        </w:rPr>
        <w:t>3、住房保障支出1.31万元，占2.22%。</w:t>
      </w:r>
    </w:p>
    <w:p>
      <w:pPr>
        <w:pStyle w:val="9"/>
        <w:ind w:firstLine="640" w:firstLineChars="200"/>
        <w:rPr>
          <w:rFonts w:ascii="仿宋" w:hAnsi="仿宋" w:eastAsia="仿宋" w:cs="仿宋"/>
          <w:b/>
          <w:sz w:val="32"/>
          <w:szCs w:val="32"/>
        </w:rPr>
      </w:pPr>
      <w:r>
        <w:rPr>
          <w:rFonts w:hint="eastAsia" w:ascii="仿宋" w:hAnsi="仿宋" w:eastAsia="仿宋" w:cs="仿宋"/>
          <w:b/>
          <w:sz w:val="32"/>
          <w:szCs w:val="32"/>
        </w:rPr>
        <w:t>六、一般公共预算财政拨款基本支出决算情况说明</w:t>
      </w:r>
    </w:p>
    <w:p>
      <w:pPr>
        <w:pStyle w:val="9"/>
        <w:ind w:firstLine="640" w:firstLineChars="200"/>
        <w:rPr>
          <w:rFonts w:ascii="仿宋" w:hAnsi="仿宋" w:eastAsia="仿宋" w:cs="仿宋"/>
          <w:sz w:val="32"/>
          <w:szCs w:val="32"/>
        </w:rPr>
      </w:pPr>
      <w:r>
        <w:rPr>
          <w:rFonts w:hint="eastAsia" w:ascii="仿宋" w:hAnsi="仿宋" w:eastAsia="仿宋" w:cs="仿宋"/>
          <w:sz w:val="32"/>
          <w:szCs w:val="32"/>
        </w:rPr>
        <w:t>2020年度财政拨款基本支出34.78万元，其中：人员经费32.38万元，占基本支出的93.09%,主要包括基本工资、津贴补贴、奖金、伙食补助费；公用经费2.4万元，占基本支出的6.9%，主要包括办公费、印刷费、咨询费、手续费。</w:t>
      </w:r>
    </w:p>
    <w:p>
      <w:pPr>
        <w:pStyle w:val="9"/>
        <w:ind w:firstLine="640" w:firstLineChars="200"/>
        <w:rPr>
          <w:rFonts w:ascii="仿宋" w:hAnsi="仿宋" w:eastAsia="仿宋" w:cs="仿宋"/>
          <w:b/>
          <w:sz w:val="32"/>
          <w:szCs w:val="32"/>
        </w:rPr>
      </w:pPr>
      <w:r>
        <w:rPr>
          <w:rFonts w:hint="eastAsia" w:ascii="仿宋" w:hAnsi="仿宋" w:eastAsia="仿宋" w:cs="仿宋"/>
          <w:b/>
          <w:sz w:val="32"/>
          <w:szCs w:val="32"/>
        </w:rPr>
        <w:t>七、一般公共预算财政拨款三公经费支出决算情况说明</w:t>
      </w:r>
    </w:p>
    <w:p>
      <w:pPr>
        <w:pStyle w:val="9"/>
        <w:ind w:firstLine="640" w:firstLineChars="200"/>
        <w:rPr>
          <w:rFonts w:ascii="仿宋" w:hAnsi="仿宋" w:eastAsia="仿宋" w:cs="仿宋"/>
          <w:b/>
          <w:sz w:val="32"/>
          <w:szCs w:val="32"/>
        </w:rPr>
      </w:pPr>
      <w:r>
        <w:rPr>
          <w:rFonts w:hint="eastAsia" w:ascii="仿宋" w:hAnsi="仿宋" w:eastAsia="仿宋" w:cs="仿宋"/>
          <w:b/>
          <w:sz w:val="32"/>
          <w:szCs w:val="32"/>
        </w:rPr>
        <w:t>（一）“三公”经费财政拨款支出决算总体情况说明</w:t>
      </w:r>
    </w:p>
    <w:p>
      <w:pPr>
        <w:pStyle w:val="9"/>
        <w:ind w:firstLine="640" w:firstLineChars="200"/>
        <w:rPr>
          <w:rFonts w:ascii="仿宋" w:hAnsi="仿宋" w:eastAsia="仿宋" w:cs="仿宋"/>
          <w:sz w:val="32"/>
          <w:szCs w:val="32"/>
        </w:rPr>
      </w:pPr>
      <w:r>
        <w:rPr>
          <w:rFonts w:hint="eastAsia" w:ascii="仿宋" w:hAnsi="仿宋" w:eastAsia="仿宋" w:cs="仿宋"/>
          <w:sz w:val="32"/>
          <w:szCs w:val="32"/>
        </w:rPr>
        <w:t>“三公”经费财政拨款支出预算为0.4万元，支出决算为0.4万元，完成预算的100%，比上年决算数减少0.05万，减少比例为12.5%，主要原因是从严控制支出，压缩一般性支出。其中：</w:t>
      </w:r>
    </w:p>
    <w:p>
      <w:pPr>
        <w:pStyle w:val="9"/>
        <w:ind w:firstLine="640" w:firstLineChars="200"/>
        <w:rPr>
          <w:rFonts w:ascii="仿宋" w:hAnsi="仿宋" w:eastAsia="仿宋" w:cs="仿宋"/>
          <w:sz w:val="32"/>
          <w:szCs w:val="32"/>
        </w:rPr>
      </w:pPr>
      <w:r>
        <w:rPr>
          <w:rFonts w:hint="eastAsia" w:ascii="仿宋" w:hAnsi="仿宋" w:eastAsia="仿宋" w:cs="仿宋"/>
          <w:sz w:val="32"/>
          <w:szCs w:val="32"/>
        </w:rPr>
        <w:t>公务接待费支出预算为0.4万元，支出决算为0.4万元，完成预算的100%；</w:t>
      </w:r>
    </w:p>
    <w:p>
      <w:pPr>
        <w:pStyle w:val="9"/>
        <w:ind w:firstLine="640" w:firstLineChars="200"/>
        <w:rPr>
          <w:rFonts w:ascii="仿宋" w:hAnsi="仿宋" w:eastAsia="仿宋" w:cs="仿宋"/>
          <w:sz w:val="32"/>
          <w:szCs w:val="32"/>
        </w:rPr>
      </w:pPr>
      <w:r>
        <w:rPr>
          <w:rFonts w:hint="eastAsia" w:ascii="仿宋" w:hAnsi="仿宋" w:eastAsia="仿宋" w:cs="仿宋"/>
          <w:sz w:val="32"/>
          <w:szCs w:val="32"/>
        </w:rPr>
        <w:t>因公出国（境）费支出预算为0万元，支出决算为0万元0%；</w:t>
      </w:r>
    </w:p>
    <w:p>
      <w:pPr>
        <w:pStyle w:val="9"/>
        <w:ind w:firstLine="640" w:firstLineChars="200"/>
        <w:rPr>
          <w:rFonts w:ascii="仿宋" w:hAnsi="仿宋" w:eastAsia="仿宋" w:cs="仿宋"/>
          <w:sz w:val="32"/>
          <w:szCs w:val="32"/>
        </w:rPr>
      </w:pPr>
      <w:r>
        <w:rPr>
          <w:rFonts w:hint="eastAsia" w:ascii="仿宋" w:hAnsi="仿宋" w:eastAsia="仿宋" w:cs="仿宋"/>
          <w:sz w:val="32"/>
          <w:szCs w:val="32"/>
        </w:rPr>
        <w:t>公务用车购置费及运行维护费支出预算为0万元，支出决算为0万元，主要原因是：无公车。</w:t>
      </w:r>
    </w:p>
    <w:p>
      <w:pPr>
        <w:pStyle w:val="9"/>
        <w:ind w:firstLine="640" w:firstLineChars="200"/>
        <w:rPr>
          <w:rFonts w:ascii="仿宋" w:hAnsi="仿宋" w:eastAsia="仿宋" w:cs="仿宋"/>
          <w:b/>
          <w:sz w:val="32"/>
          <w:szCs w:val="32"/>
        </w:rPr>
      </w:pPr>
      <w:r>
        <w:rPr>
          <w:rFonts w:hint="eastAsia" w:ascii="仿宋" w:hAnsi="仿宋" w:eastAsia="仿宋" w:cs="仿宋"/>
          <w:b/>
          <w:sz w:val="32"/>
          <w:szCs w:val="32"/>
        </w:rPr>
        <w:t>（二）“三公”经费财政拨款支出决算具体情况说明</w:t>
      </w:r>
    </w:p>
    <w:p>
      <w:pPr>
        <w:pStyle w:val="9"/>
        <w:ind w:firstLine="640" w:firstLineChars="200"/>
        <w:rPr>
          <w:rFonts w:ascii="仿宋" w:hAnsi="仿宋" w:eastAsia="仿宋" w:cs="仿宋"/>
          <w:sz w:val="32"/>
          <w:szCs w:val="32"/>
        </w:rPr>
      </w:pPr>
      <w:r>
        <w:rPr>
          <w:rFonts w:hint="eastAsia" w:ascii="仿宋" w:hAnsi="仿宋" w:eastAsia="仿宋" w:cs="仿宋"/>
          <w:sz w:val="32"/>
          <w:szCs w:val="32"/>
        </w:rPr>
        <w:t>2020年度“三公”经费财政拨款支出决算中，因公出国（境）费支出决算为0万元，占0%；公务接待费支出决算0.4万元，占100%；公务用车购置费及运行维护费支出决算为0万元，占100%。</w:t>
      </w:r>
    </w:p>
    <w:p>
      <w:pPr>
        <w:pStyle w:val="9"/>
        <w:ind w:firstLine="640" w:firstLineChars="200"/>
        <w:rPr>
          <w:rFonts w:ascii="仿宋" w:hAnsi="仿宋" w:eastAsia="仿宋" w:cs="仿宋"/>
          <w:sz w:val="32"/>
          <w:szCs w:val="32"/>
        </w:rPr>
      </w:pPr>
      <w:r>
        <w:rPr>
          <w:rFonts w:hint="eastAsia" w:ascii="仿宋" w:hAnsi="仿宋" w:eastAsia="仿宋" w:cs="仿宋"/>
          <w:sz w:val="32"/>
          <w:szCs w:val="32"/>
        </w:rPr>
        <w:t>1、因公出国（境）费支出0万元，本年没有因公出国（境）。</w:t>
      </w:r>
    </w:p>
    <w:p>
      <w:pPr>
        <w:pStyle w:val="9"/>
        <w:ind w:firstLine="800" w:firstLineChars="250"/>
        <w:rPr>
          <w:rFonts w:ascii="仿宋" w:hAnsi="仿宋" w:eastAsia="仿宋" w:cs="仿宋"/>
          <w:sz w:val="32"/>
          <w:szCs w:val="32"/>
        </w:rPr>
      </w:pPr>
      <w:r>
        <w:rPr>
          <w:rFonts w:hint="eastAsia" w:ascii="仿宋" w:hAnsi="仿宋" w:eastAsia="仿宋" w:cs="仿宋"/>
          <w:sz w:val="32"/>
          <w:szCs w:val="32"/>
        </w:rPr>
        <w:t>2、公务接待费支出决算为0.4万元，全年共接待来访团组6个、来宾18人次，主要是误餐费、住宿等用。</w:t>
      </w:r>
    </w:p>
    <w:p>
      <w:pPr>
        <w:pStyle w:val="9"/>
        <w:ind w:firstLine="800" w:firstLineChars="250"/>
        <w:rPr>
          <w:rFonts w:ascii="仿宋" w:hAnsi="仿宋" w:eastAsia="仿宋" w:cs="仿宋"/>
          <w:sz w:val="32"/>
          <w:szCs w:val="32"/>
        </w:rPr>
      </w:pPr>
      <w:r>
        <w:rPr>
          <w:rFonts w:hint="eastAsia" w:ascii="仿宋" w:hAnsi="仿宋" w:eastAsia="仿宋" w:cs="仿宋"/>
          <w:sz w:val="32"/>
          <w:szCs w:val="32"/>
        </w:rPr>
        <w:t>3、公务用车购置费及运行维护费支出决算为0万元，其中：公务用车购置费0万元，公务用车运行维护费0万元。截至2020年，本单位保有车辆0辆，无新增车辆。</w:t>
      </w:r>
    </w:p>
    <w:p>
      <w:pPr>
        <w:pStyle w:val="9"/>
        <w:ind w:firstLine="960" w:firstLineChars="300"/>
        <w:rPr>
          <w:rFonts w:ascii="仿宋" w:hAnsi="仿宋" w:eastAsia="仿宋" w:cs="仿宋"/>
          <w:b/>
          <w:sz w:val="32"/>
          <w:szCs w:val="32"/>
        </w:rPr>
      </w:pPr>
      <w:r>
        <w:rPr>
          <w:rFonts w:hint="eastAsia" w:ascii="仿宋" w:hAnsi="仿宋" w:eastAsia="仿宋" w:cs="仿宋"/>
          <w:b/>
          <w:sz w:val="32"/>
          <w:szCs w:val="32"/>
        </w:rPr>
        <w:t>八、政府性基金预算收入支出决算情况</w:t>
      </w:r>
    </w:p>
    <w:p>
      <w:pPr>
        <w:pStyle w:val="9"/>
        <w:ind w:firstLine="960" w:firstLineChars="300"/>
        <w:rPr>
          <w:rFonts w:ascii="仿宋" w:hAnsi="仿宋" w:eastAsia="仿宋" w:cs="仿宋"/>
          <w:b/>
          <w:sz w:val="32"/>
          <w:szCs w:val="32"/>
        </w:rPr>
      </w:pPr>
      <w:r>
        <w:rPr>
          <w:rFonts w:hint="eastAsia" w:ascii="仿宋" w:hAnsi="仿宋" w:eastAsia="仿宋" w:cs="仿宋"/>
          <w:iCs/>
          <w:color w:val="000000" w:themeColor="text1"/>
          <w:sz w:val="32"/>
          <w:szCs w:val="32"/>
        </w:rPr>
        <w:t>本单位2020年无政府性基金收支。</w:t>
      </w:r>
    </w:p>
    <w:p>
      <w:pPr>
        <w:pStyle w:val="9"/>
        <w:ind w:firstLine="800" w:firstLineChars="250"/>
        <w:rPr>
          <w:rFonts w:ascii="仿宋" w:hAnsi="仿宋" w:eastAsia="仿宋" w:cs="仿宋"/>
          <w:b/>
          <w:bCs/>
          <w:sz w:val="32"/>
          <w:szCs w:val="32"/>
        </w:rPr>
      </w:pPr>
      <w:r>
        <w:rPr>
          <w:rFonts w:hint="eastAsia" w:ascii="仿宋" w:hAnsi="仿宋" w:eastAsia="仿宋" w:cs="仿宋"/>
          <w:b/>
          <w:bCs/>
          <w:sz w:val="32"/>
          <w:szCs w:val="32"/>
        </w:rPr>
        <w:t>九、国有资本经营预算财政拨款支出决算情况</w:t>
      </w:r>
    </w:p>
    <w:p>
      <w:pPr>
        <w:pStyle w:val="9"/>
        <w:ind w:firstLine="800" w:firstLineChars="250"/>
        <w:rPr>
          <w:rFonts w:ascii="仿宋" w:hAnsi="仿宋" w:eastAsia="仿宋" w:cs="仿宋"/>
          <w:sz w:val="32"/>
          <w:szCs w:val="32"/>
        </w:rPr>
      </w:pPr>
      <w:r>
        <w:rPr>
          <w:rFonts w:hint="eastAsia" w:ascii="仿宋" w:hAnsi="仿宋" w:eastAsia="仿宋" w:cs="仿宋"/>
          <w:sz w:val="32"/>
          <w:szCs w:val="32"/>
        </w:rPr>
        <w:t>本单位2020年没有国有资本经营预算财政拨款支出。</w:t>
      </w:r>
    </w:p>
    <w:p>
      <w:pPr>
        <w:ind w:firstLine="800" w:firstLineChars="250"/>
        <w:rPr>
          <w:rFonts w:ascii="仿宋" w:hAnsi="仿宋" w:eastAsia="仿宋" w:cs="仿宋"/>
          <w:b/>
          <w:color w:val="000000"/>
          <w:kern w:val="0"/>
          <w:sz w:val="32"/>
          <w:szCs w:val="32"/>
        </w:rPr>
      </w:pPr>
      <w:r>
        <w:rPr>
          <w:rFonts w:hint="eastAsia" w:ascii="仿宋" w:hAnsi="仿宋" w:eastAsia="仿宋" w:cs="仿宋"/>
          <w:b/>
          <w:sz w:val="32"/>
          <w:szCs w:val="32"/>
        </w:rPr>
        <w:t>十、</w:t>
      </w:r>
      <w:r>
        <w:rPr>
          <w:rFonts w:hint="eastAsia" w:ascii="仿宋" w:hAnsi="仿宋" w:eastAsia="仿宋" w:cs="仿宋"/>
          <w:b/>
          <w:color w:val="000000"/>
          <w:kern w:val="0"/>
          <w:sz w:val="32"/>
          <w:szCs w:val="32"/>
        </w:rPr>
        <w:t>机关运行经费支出情况</w:t>
      </w:r>
    </w:p>
    <w:p>
      <w:pPr>
        <w:ind w:firstLine="960" w:firstLineChars="300"/>
        <w:rPr>
          <w:rFonts w:ascii="仿宋" w:hAnsi="仿宋" w:eastAsia="仿宋" w:cs="仿宋"/>
          <w:color w:val="000000"/>
          <w:kern w:val="0"/>
          <w:sz w:val="32"/>
          <w:szCs w:val="32"/>
        </w:rPr>
      </w:pPr>
      <w:r>
        <w:rPr>
          <w:rFonts w:hint="eastAsia" w:ascii="仿宋" w:hAnsi="仿宋" w:eastAsia="仿宋" w:cs="仿宋"/>
          <w:color w:val="000000"/>
          <w:kern w:val="0"/>
          <w:sz w:val="32"/>
          <w:szCs w:val="32"/>
        </w:rPr>
        <w:t>本部门2020 年度机关运行经费支出2.4万元。比年初预算数增加0.6万元，增长25%。主要是本年召开工作会议，会议支出0</w:t>
      </w:r>
      <w:r>
        <w:rPr>
          <w:rFonts w:ascii="仿宋" w:hAnsi="仿宋" w:eastAsia="仿宋" w:cs="仿宋"/>
          <w:color w:val="000000"/>
          <w:kern w:val="0"/>
          <w:sz w:val="32"/>
          <w:szCs w:val="32"/>
        </w:rPr>
        <w:t>.1万元</w:t>
      </w:r>
      <w:r>
        <w:rPr>
          <w:rFonts w:hint="eastAsia" w:ascii="仿宋" w:hAnsi="仿宋" w:eastAsia="仿宋" w:cs="仿宋"/>
          <w:color w:val="000000"/>
          <w:kern w:val="0"/>
          <w:sz w:val="32"/>
          <w:szCs w:val="32"/>
        </w:rPr>
        <w:t>。</w:t>
      </w:r>
    </w:p>
    <w:p>
      <w:pPr>
        <w:ind w:firstLine="800" w:firstLineChars="250"/>
        <w:rPr>
          <w:rFonts w:ascii="仿宋" w:hAnsi="仿宋" w:eastAsia="仿宋" w:cs="仿宋"/>
          <w:b/>
          <w:sz w:val="32"/>
          <w:szCs w:val="32"/>
        </w:rPr>
      </w:pPr>
      <w:r>
        <w:rPr>
          <w:rFonts w:hint="eastAsia" w:ascii="仿宋" w:hAnsi="仿宋" w:eastAsia="仿宋" w:cs="仿宋"/>
          <w:b/>
          <w:sz w:val="32"/>
          <w:szCs w:val="32"/>
        </w:rPr>
        <w:t>十一、一般性支出情况</w:t>
      </w:r>
    </w:p>
    <w:p>
      <w:pPr>
        <w:ind w:firstLine="800" w:firstLineChars="250"/>
        <w:rPr>
          <w:rFonts w:ascii="仿宋" w:hAnsi="仿宋" w:eastAsia="仿宋" w:cs="仿宋"/>
          <w:bCs/>
          <w:color w:val="000000"/>
          <w:kern w:val="0"/>
          <w:sz w:val="32"/>
          <w:szCs w:val="32"/>
        </w:rPr>
      </w:pPr>
      <w:r>
        <w:rPr>
          <w:rFonts w:hint="eastAsia" w:ascii="仿宋" w:hAnsi="仿宋" w:eastAsia="仿宋" w:cs="仿宋"/>
          <w:bCs/>
          <w:sz w:val="32"/>
          <w:szCs w:val="32"/>
        </w:rPr>
        <w:t>2020年本部门开支会议费0.1万元，用于召开工作会议；培训费开支0.1万元，用于开展业务培训。</w:t>
      </w:r>
    </w:p>
    <w:p>
      <w:pPr>
        <w:ind w:firstLine="960" w:firstLineChars="300"/>
        <w:rPr>
          <w:rFonts w:ascii="仿宋" w:hAnsi="仿宋" w:eastAsia="仿宋" w:cs="仿宋"/>
          <w:b/>
          <w:color w:val="000000"/>
          <w:kern w:val="0"/>
          <w:sz w:val="32"/>
          <w:szCs w:val="32"/>
        </w:rPr>
      </w:pPr>
      <w:r>
        <w:rPr>
          <w:rFonts w:hint="eastAsia" w:ascii="仿宋" w:hAnsi="仿宋" w:eastAsia="仿宋" w:cs="仿宋"/>
          <w:b/>
          <w:color w:val="000000"/>
          <w:kern w:val="0"/>
          <w:sz w:val="32"/>
          <w:szCs w:val="32"/>
        </w:rPr>
        <w:t>十二、政府采购支出情况</w:t>
      </w:r>
    </w:p>
    <w:p>
      <w:pPr>
        <w:ind w:firstLine="960" w:firstLineChars="300"/>
        <w:rPr>
          <w:rFonts w:ascii="仿宋" w:hAnsi="仿宋" w:eastAsia="仿宋" w:cs="仿宋"/>
          <w:color w:val="000000"/>
          <w:kern w:val="0"/>
          <w:sz w:val="32"/>
          <w:szCs w:val="32"/>
        </w:rPr>
      </w:pPr>
      <w:r>
        <w:rPr>
          <w:rFonts w:hint="eastAsia" w:ascii="仿宋" w:hAnsi="仿宋" w:eastAsia="仿宋" w:cs="仿宋"/>
          <w:color w:val="000000"/>
          <w:kern w:val="0"/>
          <w:sz w:val="32"/>
          <w:szCs w:val="32"/>
        </w:rPr>
        <w:t>本部门2020年度政府采购支出总额0万元，</w:t>
      </w:r>
    </w:p>
    <w:p>
      <w:pPr>
        <w:ind w:firstLine="960" w:firstLineChars="300"/>
        <w:rPr>
          <w:rFonts w:ascii="仿宋" w:hAnsi="仿宋" w:eastAsia="仿宋" w:cs="仿宋"/>
          <w:b/>
          <w:color w:val="000000"/>
          <w:kern w:val="0"/>
          <w:sz w:val="32"/>
          <w:szCs w:val="32"/>
        </w:rPr>
      </w:pPr>
      <w:r>
        <w:rPr>
          <w:rFonts w:hint="eastAsia" w:ascii="仿宋" w:hAnsi="仿宋" w:eastAsia="仿宋" w:cs="仿宋"/>
          <w:b/>
          <w:color w:val="000000"/>
          <w:kern w:val="0"/>
          <w:sz w:val="32"/>
          <w:szCs w:val="32"/>
        </w:rPr>
        <w:t>十三、国有资产占用情况</w:t>
      </w:r>
    </w:p>
    <w:p>
      <w:pPr>
        <w:adjustRightInd w:val="0"/>
        <w:snapToGrid w:val="0"/>
        <w:spacing w:line="360" w:lineRule="auto"/>
        <w:ind w:firstLine="960" w:firstLineChars="300"/>
        <w:rPr>
          <w:rFonts w:ascii="仿宋" w:hAnsi="仿宋" w:eastAsia="仿宋" w:cs="仿宋"/>
          <w:color w:val="000000"/>
          <w:kern w:val="0"/>
          <w:sz w:val="32"/>
          <w:szCs w:val="32"/>
        </w:rPr>
      </w:pPr>
      <w:r>
        <w:rPr>
          <w:rFonts w:hint="eastAsia" w:ascii="仿宋" w:hAnsi="仿宋" w:eastAsia="仿宋" w:cs="仿宋"/>
          <w:color w:val="000000"/>
          <w:kern w:val="0"/>
          <w:sz w:val="32"/>
          <w:szCs w:val="32"/>
        </w:rPr>
        <w:t>截至2020年12月31日，本单位共有车辆0辆，单位价值50万元以上通用设备0台（套），单位价值100万元以上专用设备0台（套）。</w:t>
      </w:r>
    </w:p>
    <w:p>
      <w:pPr>
        <w:pStyle w:val="9"/>
        <w:ind w:firstLine="960" w:firstLineChars="300"/>
        <w:rPr>
          <w:rFonts w:ascii="仿宋" w:hAnsi="仿宋" w:eastAsia="仿宋" w:cs="仿宋"/>
          <w:b/>
          <w:sz w:val="32"/>
          <w:szCs w:val="32"/>
        </w:rPr>
      </w:pPr>
      <w:r>
        <w:rPr>
          <w:rFonts w:hint="eastAsia" w:ascii="仿宋" w:hAnsi="仿宋" w:eastAsia="仿宋" w:cs="仿宋"/>
          <w:b/>
          <w:sz w:val="32"/>
          <w:szCs w:val="32"/>
        </w:rPr>
        <w:t>十四、关于2020年度预算绩效情况说明</w:t>
      </w:r>
    </w:p>
    <w:p>
      <w:pPr>
        <w:pStyle w:val="9"/>
        <w:ind w:firstLine="800" w:firstLineChars="250"/>
        <w:rPr>
          <w:rFonts w:ascii="仿宋" w:hAnsi="仿宋" w:eastAsia="仿宋" w:cs="仿宋"/>
          <w:sz w:val="32"/>
          <w:szCs w:val="32"/>
        </w:rPr>
      </w:pPr>
      <w:r>
        <w:rPr>
          <w:rFonts w:hint="eastAsia" w:ascii="仿宋" w:hAnsi="仿宋" w:eastAsia="仿宋" w:cs="仿宋"/>
          <w:sz w:val="32"/>
          <w:szCs w:val="32"/>
        </w:rPr>
        <w:t>本部门预算绩效管理开展情况、绩效目标和绩效评价报告等按照财政绩效部门要求已公开。</w:t>
      </w:r>
    </w:p>
    <w:p>
      <w:pPr>
        <w:ind w:firstLine="640" w:firstLineChars="200"/>
        <w:rPr>
          <w:rFonts w:ascii="仿宋" w:hAnsi="仿宋" w:eastAsia="仿宋" w:cs="仿宋"/>
          <w:color w:val="000000"/>
          <w:kern w:val="0"/>
          <w:sz w:val="32"/>
          <w:szCs w:val="32"/>
        </w:rPr>
      </w:pPr>
    </w:p>
    <w:p>
      <w:pPr>
        <w:widowControl/>
        <w:jc w:val="left"/>
        <w:rPr>
          <w:rFonts w:ascii="仿宋" w:hAnsi="仿宋" w:eastAsia="仿宋" w:cs="仿宋"/>
          <w:color w:val="000000"/>
          <w:kern w:val="0"/>
          <w:sz w:val="32"/>
          <w:szCs w:val="32"/>
        </w:rPr>
      </w:pPr>
    </w:p>
    <w:p>
      <w:pPr>
        <w:pStyle w:val="9"/>
        <w:jc w:val="center"/>
        <w:rPr>
          <w:rFonts w:ascii="仿宋" w:hAnsi="仿宋" w:eastAsia="仿宋" w:cs="仿宋"/>
          <w:sz w:val="32"/>
          <w:szCs w:val="32"/>
        </w:rPr>
      </w:pPr>
    </w:p>
    <w:p>
      <w:pPr>
        <w:pStyle w:val="9"/>
        <w:jc w:val="center"/>
        <w:rPr>
          <w:rFonts w:ascii="仿宋" w:hAnsi="仿宋" w:eastAsia="仿宋" w:cs="仿宋"/>
          <w:sz w:val="32"/>
          <w:szCs w:val="32"/>
        </w:rPr>
      </w:pPr>
    </w:p>
    <w:p>
      <w:pPr>
        <w:pStyle w:val="9"/>
        <w:jc w:val="center"/>
        <w:rPr>
          <w:rFonts w:ascii="仿宋" w:hAnsi="仿宋" w:eastAsia="仿宋" w:cs="仿宋"/>
          <w:sz w:val="32"/>
          <w:szCs w:val="32"/>
        </w:rPr>
      </w:pPr>
    </w:p>
    <w:p>
      <w:pPr>
        <w:pStyle w:val="9"/>
        <w:jc w:val="center"/>
        <w:rPr>
          <w:rFonts w:ascii="仿宋" w:hAnsi="仿宋" w:eastAsia="仿宋" w:cs="仿宋"/>
          <w:sz w:val="32"/>
          <w:szCs w:val="32"/>
        </w:rPr>
      </w:pPr>
    </w:p>
    <w:p>
      <w:pPr>
        <w:pStyle w:val="9"/>
        <w:jc w:val="center"/>
        <w:rPr>
          <w:rFonts w:ascii="仿宋" w:hAnsi="仿宋" w:eastAsia="仿宋" w:cs="仿宋"/>
          <w:sz w:val="32"/>
          <w:szCs w:val="32"/>
        </w:rPr>
      </w:pPr>
    </w:p>
    <w:p>
      <w:pPr>
        <w:pStyle w:val="9"/>
        <w:jc w:val="center"/>
        <w:rPr>
          <w:rFonts w:ascii="仿宋" w:hAnsi="仿宋" w:eastAsia="仿宋" w:cs="仿宋"/>
          <w:sz w:val="32"/>
          <w:szCs w:val="32"/>
        </w:rPr>
      </w:pPr>
    </w:p>
    <w:p>
      <w:pPr>
        <w:pStyle w:val="9"/>
        <w:jc w:val="center"/>
        <w:rPr>
          <w:rFonts w:hAnsi="黑体"/>
          <w:sz w:val="70"/>
          <w:szCs w:val="70"/>
        </w:rPr>
      </w:pPr>
      <w:r>
        <w:rPr>
          <w:rFonts w:hint="eastAsia" w:hAnsi="黑体"/>
          <w:sz w:val="70"/>
          <w:szCs w:val="70"/>
        </w:rPr>
        <w:t>第四部分</w:t>
      </w:r>
    </w:p>
    <w:p>
      <w:pPr>
        <w:jc w:val="center"/>
        <w:rPr>
          <w:rFonts w:ascii="黑体" w:hAnsi="黑体" w:eastAsia="黑体" w:cs="黑体"/>
          <w:color w:val="000000"/>
          <w:kern w:val="0"/>
          <w:sz w:val="70"/>
          <w:szCs w:val="70"/>
        </w:rPr>
      </w:pPr>
    </w:p>
    <w:p>
      <w:pPr>
        <w:jc w:val="center"/>
        <w:rPr>
          <w:rFonts w:ascii="黑体" w:hAnsi="黑体" w:eastAsia="黑体" w:cs="黑体"/>
          <w:color w:val="000000"/>
          <w:kern w:val="0"/>
          <w:sz w:val="70"/>
          <w:szCs w:val="70"/>
        </w:rPr>
      </w:pPr>
      <w:r>
        <w:rPr>
          <w:rFonts w:hint="eastAsia" w:ascii="黑体" w:hAnsi="黑体" w:eastAsia="黑体" w:cs="黑体"/>
          <w:color w:val="000000"/>
          <w:kern w:val="0"/>
          <w:sz w:val="70"/>
          <w:szCs w:val="70"/>
        </w:rPr>
        <w:t>名词解释</w:t>
      </w:r>
    </w:p>
    <w:p>
      <w:pPr>
        <w:widowControl/>
        <w:jc w:val="left"/>
        <w:rPr>
          <w:rFonts w:ascii="仿宋" w:hAnsi="仿宋" w:eastAsia="仿宋" w:cs="仿宋"/>
          <w:color w:val="000000"/>
          <w:kern w:val="0"/>
          <w:sz w:val="32"/>
          <w:szCs w:val="32"/>
        </w:rPr>
      </w:pPr>
      <w:r>
        <w:rPr>
          <w:rFonts w:hint="eastAsia" w:ascii="仿宋" w:hAnsi="仿宋" w:eastAsia="仿宋" w:cs="仿宋"/>
          <w:color w:val="000000"/>
          <w:kern w:val="0"/>
          <w:sz w:val="32"/>
          <w:szCs w:val="32"/>
        </w:rPr>
        <w:br w:type="page"/>
      </w:r>
    </w:p>
    <w:p>
      <w:pPr>
        <w:widowControl/>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一、财政拨款收入：</w:t>
      </w:r>
      <w:r>
        <w:rPr>
          <w:rFonts w:hint="eastAsia" w:ascii="宋体" w:hAnsi="宋体" w:eastAsia="宋体" w:cs="宋体"/>
          <w:w w:val="96"/>
          <w:kern w:val="0"/>
          <w:sz w:val="32"/>
          <w:szCs w:val="32"/>
        </w:rPr>
        <w:t>指财政部门核拨给单位的财政预算资金。</w:t>
      </w:r>
    </w:p>
    <w:p>
      <w:pPr>
        <w:widowControl/>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二、事业收入：</w:t>
      </w:r>
      <w:r>
        <w:rPr>
          <w:rFonts w:hint="eastAsia" w:ascii="宋体" w:hAnsi="宋体" w:eastAsia="宋体" w:cs="宋体"/>
          <w:w w:val="96"/>
          <w:kern w:val="0"/>
          <w:sz w:val="32"/>
          <w:szCs w:val="32"/>
        </w:rPr>
        <w:t>指事业单位开展专业业务活动及辅助活动所取得的收入。</w:t>
      </w:r>
    </w:p>
    <w:p>
      <w:pPr>
        <w:widowControl/>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三、附属单位上缴收入：</w:t>
      </w:r>
      <w:r>
        <w:rPr>
          <w:rFonts w:hint="eastAsia" w:ascii="宋体" w:hAnsi="宋体" w:eastAsia="宋体" w:cs="宋体"/>
          <w:w w:val="96"/>
          <w:kern w:val="0"/>
          <w:sz w:val="32"/>
          <w:szCs w:val="32"/>
        </w:rPr>
        <w:t>指事业单位附属独立核算单位按有关规定上缴的收入。</w:t>
      </w:r>
    </w:p>
    <w:p>
      <w:pPr>
        <w:widowControl/>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四、其他收入：</w:t>
      </w:r>
      <w:r>
        <w:rPr>
          <w:rFonts w:hint="eastAsia" w:ascii="宋体" w:hAnsi="宋体" w:eastAsia="宋体" w:cs="宋体"/>
          <w:w w:val="96"/>
          <w:kern w:val="0"/>
          <w:sz w:val="32"/>
          <w:szCs w:val="32"/>
        </w:rPr>
        <w:t>指单位取得的除上述“财政拨款收入”、“事业收入”、“附属单位上缴收入”等以外的收入。</w:t>
      </w:r>
    </w:p>
    <w:p>
      <w:pPr>
        <w:widowControl/>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五、年初结转和结余：</w:t>
      </w:r>
      <w:r>
        <w:rPr>
          <w:rFonts w:hint="eastAsia" w:ascii="宋体" w:hAnsi="宋体" w:eastAsia="宋体" w:cs="宋体"/>
          <w:w w:val="96"/>
          <w:kern w:val="0"/>
          <w:sz w:val="32"/>
          <w:szCs w:val="32"/>
        </w:rPr>
        <w:t>指以前年度尚未完成、结转到本年仍按有关规定继续使用的资金。</w:t>
      </w:r>
    </w:p>
    <w:p>
      <w:pPr>
        <w:widowControl/>
        <w:tabs>
          <w:tab w:val="left" w:pos="2635"/>
        </w:tabs>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六、用事业基金弥补收支差额：</w:t>
      </w:r>
      <w:r>
        <w:rPr>
          <w:rFonts w:hint="eastAsia" w:ascii="宋体" w:hAnsi="宋体" w:eastAsia="宋体" w:cs="宋体"/>
          <w:w w:val="96"/>
          <w:kern w:val="0"/>
          <w:sz w:val="32"/>
          <w:szCs w:val="32"/>
        </w:rPr>
        <w:t>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w:t>
      </w:r>
    </w:p>
    <w:p>
      <w:pPr>
        <w:widowControl/>
        <w:adjustRightInd w:val="0"/>
        <w:snapToGrid w:val="0"/>
        <w:spacing w:line="360" w:lineRule="auto"/>
        <w:ind w:firstLine="614" w:firstLineChars="200"/>
        <w:rPr>
          <w:rFonts w:ascii="宋体" w:hAnsi="宋体" w:eastAsia="宋体" w:cs="宋体"/>
          <w:bCs/>
          <w:w w:val="96"/>
          <w:kern w:val="0"/>
          <w:sz w:val="32"/>
          <w:szCs w:val="32"/>
        </w:rPr>
      </w:pPr>
      <w:r>
        <w:rPr>
          <w:rFonts w:hint="eastAsia" w:ascii="宋体" w:hAnsi="宋体" w:eastAsia="宋体" w:cs="宋体"/>
          <w:b/>
          <w:w w:val="96"/>
          <w:kern w:val="0"/>
          <w:sz w:val="32"/>
          <w:szCs w:val="32"/>
        </w:rPr>
        <w:t>七、卫生健康支出（类）行政事业单位医疗（款）其他行政事业单位医疗支出（项）：</w:t>
      </w:r>
      <w:r>
        <w:rPr>
          <w:rFonts w:hint="eastAsia" w:ascii="宋体" w:hAnsi="宋体" w:eastAsia="宋体" w:cs="宋体"/>
          <w:bCs/>
          <w:w w:val="96"/>
          <w:kern w:val="0"/>
          <w:sz w:val="32"/>
          <w:szCs w:val="32"/>
        </w:rPr>
        <w:t>指单位医疗保障经费。</w:t>
      </w:r>
    </w:p>
    <w:p>
      <w:pPr>
        <w:widowControl/>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八、住房保障支出（类）住房改革支出（款）住房公积金（项）：</w:t>
      </w:r>
      <w:r>
        <w:rPr>
          <w:rFonts w:hint="eastAsia" w:ascii="宋体" w:hAnsi="宋体" w:eastAsia="宋体" w:cs="宋体"/>
          <w:w w:val="96"/>
          <w:kern w:val="0"/>
          <w:sz w:val="32"/>
          <w:szCs w:val="32"/>
        </w:rPr>
        <w:t>指住房公积金。</w:t>
      </w:r>
    </w:p>
    <w:p>
      <w:pPr>
        <w:widowControl/>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九、结余分配：</w:t>
      </w:r>
      <w:r>
        <w:rPr>
          <w:rFonts w:hint="eastAsia" w:ascii="宋体" w:hAnsi="宋体" w:eastAsia="宋体" w:cs="宋体"/>
          <w:w w:val="96"/>
          <w:kern w:val="0"/>
          <w:sz w:val="32"/>
          <w:szCs w:val="32"/>
        </w:rPr>
        <w:t>指事业单位按规定提取的职工福利基金、事业基金和缴纳的所得税，以及建设单位按规定应交回的基本建设竣工项目结余资金。</w:t>
      </w:r>
    </w:p>
    <w:p>
      <w:pPr>
        <w:widowControl/>
        <w:autoSpaceDE w:val="0"/>
        <w:autoSpaceDN w:val="0"/>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十、年末结转和结余：</w:t>
      </w:r>
      <w:r>
        <w:rPr>
          <w:rFonts w:hint="eastAsia" w:ascii="宋体" w:hAnsi="宋体" w:eastAsia="宋体" w:cs="宋体"/>
          <w:w w:val="96"/>
          <w:kern w:val="0"/>
          <w:sz w:val="32"/>
          <w:szCs w:val="32"/>
        </w:rPr>
        <w:t>指本年度或以前年度预算安排、因客观条件发生变化无法按原计划实施，需延迟到以后年度按有关规定继续使用的资金。</w:t>
      </w:r>
    </w:p>
    <w:p>
      <w:pPr>
        <w:widowControl/>
        <w:autoSpaceDE w:val="0"/>
        <w:autoSpaceDN w:val="0"/>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十一、基本支出：</w:t>
      </w:r>
      <w:r>
        <w:rPr>
          <w:rFonts w:hint="eastAsia" w:ascii="宋体" w:hAnsi="宋体" w:eastAsia="宋体" w:cs="宋体"/>
          <w:w w:val="96"/>
          <w:kern w:val="0"/>
          <w:sz w:val="32"/>
          <w:szCs w:val="32"/>
        </w:rPr>
        <w:t>指为保障机构正常运转、完成日常工作任务而发生的人员支出和公用支出。</w:t>
      </w:r>
    </w:p>
    <w:p>
      <w:pPr>
        <w:widowControl/>
        <w:autoSpaceDE w:val="0"/>
        <w:autoSpaceDN w:val="0"/>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十二、项目支出：</w:t>
      </w:r>
      <w:r>
        <w:rPr>
          <w:rFonts w:hint="eastAsia" w:ascii="宋体" w:hAnsi="宋体" w:eastAsia="宋体" w:cs="宋体"/>
          <w:w w:val="96"/>
          <w:kern w:val="0"/>
          <w:sz w:val="32"/>
          <w:szCs w:val="32"/>
        </w:rPr>
        <w:t>指在基本支出之外，为完成特定行政任务和事业发展目标所发生的支出。</w:t>
      </w:r>
    </w:p>
    <w:p>
      <w:pPr>
        <w:widowControl/>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十三、“三公”经费：</w:t>
      </w:r>
      <w:r>
        <w:rPr>
          <w:rFonts w:hint="eastAsia" w:ascii="宋体" w:hAnsi="宋体" w:eastAsia="宋体" w:cs="宋体"/>
          <w:w w:val="96"/>
          <w:kern w:val="0"/>
          <w:sz w:val="32"/>
          <w:szCs w:val="32"/>
        </w:rPr>
        <w:t>指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widowControl/>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十四、机关运行经费：</w:t>
      </w:r>
      <w:r>
        <w:rPr>
          <w:rFonts w:hint="eastAsia" w:ascii="宋体" w:hAnsi="宋体" w:eastAsia="宋体" w:cs="宋体"/>
          <w:w w:val="96"/>
          <w:kern w:val="0"/>
          <w:sz w:val="32"/>
          <w:szCs w:val="32"/>
        </w:rPr>
        <w:t>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widowControl/>
        <w:adjustRightInd w:val="0"/>
        <w:snapToGrid w:val="0"/>
        <w:spacing w:line="360" w:lineRule="auto"/>
        <w:ind w:firstLine="614" w:firstLineChars="200"/>
        <w:jc w:val="left"/>
        <w:rPr>
          <w:rFonts w:ascii="宋体" w:hAnsi="宋体" w:eastAsia="宋体" w:cs="宋体"/>
          <w:color w:val="FF0000"/>
          <w:w w:val="96"/>
          <w:sz w:val="32"/>
          <w:szCs w:val="32"/>
          <w:shd w:val="clear" w:color="auto" w:fill="FFFFFF"/>
        </w:rPr>
      </w:pPr>
    </w:p>
    <w:p>
      <w:pPr>
        <w:widowControl/>
        <w:adjustRightInd w:val="0"/>
        <w:snapToGrid w:val="0"/>
        <w:spacing w:line="360" w:lineRule="auto"/>
        <w:ind w:firstLine="614" w:firstLineChars="200"/>
        <w:jc w:val="left"/>
        <w:rPr>
          <w:rFonts w:ascii="宋体" w:hAnsi="宋体" w:eastAsia="宋体" w:cs="宋体"/>
          <w:color w:val="FF0000"/>
          <w:w w:val="96"/>
          <w:sz w:val="32"/>
          <w:szCs w:val="32"/>
          <w:shd w:val="clear" w:color="auto" w:fill="FFFFFF"/>
        </w:rPr>
      </w:pPr>
    </w:p>
    <w:p>
      <w:pPr>
        <w:widowControl/>
        <w:adjustRightInd w:val="0"/>
        <w:snapToGrid w:val="0"/>
        <w:spacing w:line="360" w:lineRule="auto"/>
        <w:ind w:firstLine="614" w:firstLineChars="200"/>
        <w:jc w:val="left"/>
        <w:rPr>
          <w:rFonts w:ascii="宋体" w:hAnsi="宋体" w:eastAsia="宋体" w:cs="宋体"/>
          <w:color w:val="FF0000"/>
          <w:w w:val="96"/>
          <w:sz w:val="32"/>
          <w:szCs w:val="32"/>
          <w:shd w:val="clear" w:color="auto" w:fill="FFFFFF"/>
        </w:rPr>
      </w:pPr>
    </w:p>
    <w:p>
      <w:pPr>
        <w:ind w:firstLine="640" w:firstLineChars="200"/>
        <w:jc w:val="left"/>
        <w:rPr>
          <w:rFonts w:ascii="仿宋" w:hAnsi="仿宋" w:eastAsia="仿宋" w:cs="仿宋"/>
          <w:color w:val="000000"/>
          <w:kern w:val="0"/>
          <w:sz w:val="32"/>
          <w:szCs w:val="32"/>
        </w:rPr>
      </w:pPr>
    </w:p>
    <w:p>
      <w:pPr>
        <w:pStyle w:val="9"/>
        <w:jc w:val="center"/>
        <w:rPr>
          <w:rFonts w:ascii="仿宋" w:hAnsi="仿宋" w:eastAsia="仿宋" w:cs="仿宋"/>
          <w:sz w:val="32"/>
          <w:szCs w:val="32"/>
        </w:rPr>
      </w:pPr>
    </w:p>
    <w:p>
      <w:pPr>
        <w:pStyle w:val="9"/>
        <w:jc w:val="center"/>
        <w:rPr>
          <w:rFonts w:ascii="仿宋" w:hAnsi="仿宋" w:eastAsia="仿宋" w:cs="仿宋"/>
          <w:sz w:val="32"/>
          <w:szCs w:val="32"/>
        </w:rPr>
      </w:pPr>
    </w:p>
    <w:p>
      <w:pPr>
        <w:pStyle w:val="9"/>
        <w:jc w:val="center"/>
        <w:rPr>
          <w:rFonts w:ascii="仿宋" w:hAnsi="仿宋" w:eastAsia="仿宋" w:cs="仿宋"/>
          <w:sz w:val="32"/>
          <w:szCs w:val="32"/>
        </w:rPr>
      </w:pPr>
    </w:p>
    <w:p>
      <w:pPr>
        <w:pStyle w:val="9"/>
        <w:jc w:val="center"/>
        <w:rPr>
          <w:rFonts w:ascii="仿宋" w:hAnsi="仿宋" w:eastAsia="仿宋" w:cs="仿宋"/>
          <w:sz w:val="32"/>
          <w:szCs w:val="32"/>
        </w:rPr>
      </w:pPr>
    </w:p>
    <w:p>
      <w:pPr>
        <w:pStyle w:val="9"/>
        <w:jc w:val="center"/>
        <w:rPr>
          <w:rFonts w:ascii="仿宋" w:hAnsi="仿宋" w:eastAsia="仿宋" w:cs="仿宋"/>
          <w:sz w:val="32"/>
          <w:szCs w:val="32"/>
        </w:rPr>
      </w:pPr>
    </w:p>
    <w:p>
      <w:pPr>
        <w:pStyle w:val="9"/>
        <w:jc w:val="center"/>
        <w:rPr>
          <w:rFonts w:ascii="仿宋" w:hAnsi="仿宋" w:eastAsia="仿宋" w:cs="仿宋"/>
          <w:sz w:val="32"/>
          <w:szCs w:val="32"/>
        </w:rPr>
      </w:pPr>
    </w:p>
    <w:p>
      <w:pPr>
        <w:pStyle w:val="9"/>
        <w:jc w:val="center"/>
        <w:rPr>
          <w:rFonts w:hAnsi="黑体"/>
          <w:sz w:val="70"/>
          <w:szCs w:val="70"/>
        </w:rPr>
      </w:pPr>
    </w:p>
    <w:p>
      <w:pPr>
        <w:pStyle w:val="9"/>
        <w:jc w:val="center"/>
        <w:rPr>
          <w:rFonts w:hAnsi="黑体"/>
          <w:sz w:val="70"/>
          <w:szCs w:val="70"/>
        </w:rPr>
      </w:pPr>
    </w:p>
    <w:p>
      <w:pPr>
        <w:pStyle w:val="9"/>
        <w:jc w:val="center"/>
        <w:rPr>
          <w:rFonts w:hAnsi="黑体"/>
          <w:sz w:val="70"/>
          <w:szCs w:val="70"/>
        </w:rPr>
      </w:pPr>
    </w:p>
    <w:p>
      <w:pPr>
        <w:pStyle w:val="9"/>
        <w:jc w:val="center"/>
        <w:rPr>
          <w:rFonts w:hAnsi="黑体"/>
          <w:sz w:val="70"/>
          <w:szCs w:val="70"/>
        </w:rPr>
      </w:pPr>
    </w:p>
    <w:p>
      <w:pPr>
        <w:pStyle w:val="9"/>
        <w:jc w:val="center"/>
        <w:rPr>
          <w:rFonts w:hAnsi="黑体"/>
          <w:sz w:val="70"/>
          <w:szCs w:val="70"/>
        </w:rPr>
      </w:pPr>
    </w:p>
    <w:p>
      <w:pPr>
        <w:pStyle w:val="9"/>
        <w:jc w:val="center"/>
        <w:rPr>
          <w:rFonts w:hAnsi="黑体"/>
          <w:sz w:val="70"/>
          <w:szCs w:val="70"/>
        </w:rPr>
      </w:pPr>
    </w:p>
    <w:p>
      <w:pPr>
        <w:pStyle w:val="9"/>
        <w:jc w:val="center"/>
        <w:rPr>
          <w:rFonts w:hAnsi="黑体"/>
          <w:sz w:val="70"/>
          <w:szCs w:val="70"/>
        </w:rPr>
      </w:pPr>
    </w:p>
    <w:p>
      <w:pPr>
        <w:pStyle w:val="9"/>
        <w:jc w:val="center"/>
        <w:rPr>
          <w:rFonts w:hAnsi="黑体"/>
          <w:sz w:val="70"/>
          <w:szCs w:val="70"/>
        </w:rPr>
      </w:pPr>
    </w:p>
    <w:p>
      <w:pPr>
        <w:pStyle w:val="9"/>
        <w:jc w:val="center"/>
        <w:rPr>
          <w:rFonts w:hAnsi="黑体"/>
          <w:sz w:val="70"/>
          <w:szCs w:val="70"/>
        </w:rPr>
      </w:pPr>
      <w:r>
        <w:rPr>
          <w:rFonts w:hint="eastAsia" w:hAnsi="黑体"/>
          <w:sz w:val="70"/>
          <w:szCs w:val="70"/>
        </w:rPr>
        <w:t>第五部分</w:t>
      </w:r>
    </w:p>
    <w:p>
      <w:pPr>
        <w:jc w:val="center"/>
        <w:rPr>
          <w:rFonts w:ascii="黑体" w:hAnsi="黑体" w:eastAsia="黑体" w:cs="黑体"/>
          <w:color w:val="000000"/>
          <w:kern w:val="0"/>
          <w:sz w:val="70"/>
          <w:szCs w:val="70"/>
        </w:rPr>
      </w:pPr>
    </w:p>
    <w:p>
      <w:pPr>
        <w:jc w:val="center"/>
        <w:rPr>
          <w:rFonts w:ascii="仿宋" w:hAnsi="仿宋" w:eastAsia="仿宋" w:cs="仿宋"/>
          <w:color w:val="000000"/>
          <w:kern w:val="0"/>
          <w:sz w:val="32"/>
          <w:szCs w:val="32"/>
        </w:rPr>
      </w:pPr>
      <w:r>
        <w:rPr>
          <w:rFonts w:hint="eastAsia" w:ascii="黑体" w:hAnsi="黑体" w:eastAsia="黑体" w:cs="黑体"/>
          <w:color w:val="000000"/>
          <w:kern w:val="0"/>
          <w:sz w:val="70"/>
          <w:szCs w:val="70"/>
        </w:rPr>
        <w:t>附件</w:t>
      </w:r>
    </w:p>
    <w:p>
      <w:pPr>
        <w:widowControl/>
        <w:jc w:val="left"/>
        <w:rPr>
          <w:rFonts w:ascii="仿宋" w:hAnsi="仿宋" w:eastAsia="仿宋" w:cs="仿宋"/>
          <w:color w:val="000000"/>
          <w:kern w:val="0"/>
          <w:sz w:val="32"/>
          <w:szCs w:val="32"/>
        </w:rPr>
      </w:pPr>
      <w:r>
        <w:rPr>
          <w:rFonts w:hint="eastAsia" w:ascii="仿宋" w:hAnsi="仿宋" w:eastAsia="仿宋" w:cs="仿宋"/>
          <w:color w:val="000000"/>
          <w:kern w:val="0"/>
          <w:sz w:val="32"/>
          <w:szCs w:val="32"/>
        </w:rPr>
        <w:br w:type="page"/>
      </w:r>
    </w:p>
    <w:p>
      <w:pPr>
        <w:ind w:firstLine="800" w:firstLineChars="200"/>
        <w:jc w:val="center"/>
        <w:rPr>
          <w:rFonts w:ascii="仿宋" w:hAnsi="仿宋" w:eastAsia="仿宋" w:cs="仿宋"/>
          <w:b/>
          <w:color w:val="000000"/>
          <w:kern w:val="0"/>
          <w:sz w:val="40"/>
          <w:szCs w:val="40"/>
        </w:rPr>
      </w:pPr>
      <w:r>
        <w:rPr>
          <w:rFonts w:hint="eastAsia" w:ascii="仿宋" w:hAnsi="仿宋" w:eastAsia="仿宋" w:cs="仿宋"/>
          <w:b/>
          <w:bCs/>
          <w:sz w:val="40"/>
          <w:szCs w:val="40"/>
        </w:rPr>
        <w:t>共青团衡南县委</w:t>
      </w:r>
      <w:r>
        <w:rPr>
          <w:rFonts w:hint="eastAsia" w:ascii="仿宋" w:hAnsi="仿宋" w:eastAsia="仿宋" w:cs="仿宋"/>
          <w:b/>
          <w:color w:val="000000"/>
          <w:kern w:val="0"/>
          <w:sz w:val="40"/>
          <w:szCs w:val="40"/>
        </w:rPr>
        <w:t>2020年度部门整体支出</w:t>
      </w:r>
    </w:p>
    <w:p>
      <w:pPr>
        <w:ind w:firstLine="800" w:firstLineChars="200"/>
        <w:jc w:val="center"/>
        <w:rPr>
          <w:rFonts w:ascii="仿宋" w:hAnsi="仿宋" w:eastAsia="仿宋" w:cs="仿宋"/>
          <w:b/>
          <w:color w:val="000000"/>
          <w:kern w:val="0"/>
          <w:sz w:val="40"/>
          <w:szCs w:val="40"/>
        </w:rPr>
      </w:pPr>
      <w:r>
        <w:rPr>
          <w:rFonts w:hint="eastAsia" w:ascii="仿宋" w:hAnsi="仿宋" w:eastAsia="仿宋" w:cs="仿宋"/>
          <w:b/>
          <w:color w:val="000000"/>
          <w:kern w:val="0"/>
          <w:sz w:val="40"/>
          <w:szCs w:val="40"/>
        </w:rPr>
        <w:t>绩效评价报告</w:t>
      </w:r>
    </w:p>
    <w:p>
      <w:pPr>
        <w:ind w:firstLine="640" w:firstLineChars="200"/>
        <w:jc w:val="center"/>
        <w:rPr>
          <w:rFonts w:ascii="仿宋" w:hAnsi="仿宋" w:eastAsia="仿宋" w:cs="仿宋"/>
          <w:b/>
          <w:color w:val="000000"/>
          <w:kern w:val="0"/>
          <w:sz w:val="32"/>
          <w:szCs w:val="32"/>
        </w:rPr>
      </w:pPr>
    </w:p>
    <w:p>
      <w:pPr>
        <w:ind w:firstLine="640" w:firstLineChars="200"/>
        <w:rPr>
          <w:rFonts w:ascii="仿宋" w:hAnsi="仿宋" w:eastAsia="仿宋" w:cs="仿宋"/>
          <w:sz w:val="32"/>
          <w:szCs w:val="32"/>
        </w:rPr>
      </w:pPr>
      <w:r>
        <w:rPr>
          <w:rFonts w:hint="eastAsia" w:ascii="仿宋" w:hAnsi="仿宋" w:eastAsia="仿宋" w:cs="仿宋"/>
          <w:sz w:val="32"/>
          <w:szCs w:val="32"/>
        </w:rPr>
        <w:t>为了认真贯彻落实《中共湖南省委湖南省人民政府关于开展政府绩效评估工作的通知》、《湖南省人民政府关于全面推进预算绩效管理的意见》精神，切实做好县财政局安排的〈衡南县预算绩效管理工作考核办法〉，现将2020年度共青团衡南县委预算管理绩效工作自评报告如下：</w:t>
      </w:r>
    </w:p>
    <w:p>
      <w:pPr>
        <w:ind w:firstLine="640" w:firstLineChars="200"/>
        <w:rPr>
          <w:rFonts w:ascii="仿宋" w:hAnsi="仿宋" w:eastAsia="仿宋" w:cs="仿宋"/>
          <w:sz w:val="32"/>
          <w:szCs w:val="32"/>
        </w:rPr>
      </w:pPr>
      <w:r>
        <w:rPr>
          <w:rFonts w:hint="eastAsia" w:ascii="仿宋" w:hAnsi="仿宋" w:eastAsia="仿宋" w:cs="仿宋"/>
          <w:sz w:val="32"/>
          <w:szCs w:val="32"/>
        </w:rPr>
        <w:t>一、部门基本情况</w:t>
      </w:r>
    </w:p>
    <w:p>
      <w:pPr>
        <w:ind w:firstLine="640" w:firstLineChars="200"/>
        <w:rPr>
          <w:rFonts w:ascii="仿宋" w:hAnsi="仿宋" w:eastAsia="仿宋" w:cs="仿宋"/>
          <w:sz w:val="32"/>
          <w:szCs w:val="32"/>
        </w:rPr>
      </w:pPr>
      <w:r>
        <w:rPr>
          <w:rFonts w:hint="eastAsia" w:ascii="仿宋" w:hAnsi="仿宋" w:eastAsia="仿宋" w:cs="仿宋"/>
          <w:sz w:val="32"/>
          <w:szCs w:val="32"/>
        </w:rPr>
        <w:t>（一）单位主要职能</w:t>
      </w:r>
    </w:p>
    <w:p>
      <w:pPr>
        <w:ind w:firstLine="640" w:firstLineChars="200"/>
        <w:rPr>
          <w:rFonts w:ascii="仿宋" w:hAnsi="仿宋" w:eastAsia="仿宋" w:cs="仿宋"/>
          <w:sz w:val="32"/>
          <w:szCs w:val="32"/>
        </w:rPr>
      </w:pPr>
      <w:r>
        <w:rPr>
          <w:rFonts w:hint="eastAsia" w:ascii="仿宋" w:hAnsi="仿宋" w:eastAsia="仿宋" w:cs="仿宋"/>
          <w:sz w:val="32"/>
          <w:szCs w:val="32"/>
        </w:rPr>
        <w:t>中国共产主义青年团是中国共产党领导的先进青年的群团组织，是广大青年在实践中学习共产主义的学校，是党的助手和后备军，是党联系青年的桥梁和纽带，是国家政权的重要社会支柱。共青团衡南县委由中共衡南县委领导。其机关的主要工作职责是：</w:t>
      </w:r>
    </w:p>
    <w:p>
      <w:pPr>
        <w:ind w:firstLine="320" w:firstLineChars="100"/>
        <w:rPr>
          <w:rFonts w:ascii="仿宋" w:hAnsi="仿宋" w:eastAsia="仿宋" w:cs="仿宋"/>
          <w:sz w:val="32"/>
          <w:szCs w:val="32"/>
        </w:rPr>
      </w:pPr>
      <w:r>
        <w:rPr>
          <w:rFonts w:hint="eastAsia" w:ascii="仿宋" w:hAnsi="仿宋" w:eastAsia="仿宋" w:cs="仿宋"/>
          <w:sz w:val="32"/>
          <w:szCs w:val="32"/>
        </w:rPr>
        <w:t xml:space="preserve">1.行使中共衡南县委赋予的领导全县共青团和少先队工作的职权，对在全县性青年社会团组织进行指导和管理。      </w:t>
      </w:r>
    </w:p>
    <w:p>
      <w:pPr>
        <w:ind w:firstLine="320" w:firstLineChars="100"/>
        <w:rPr>
          <w:rFonts w:ascii="仿宋" w:hAnsi="仿宋" w:eastAsia="仿宋" w:cs="仿宋"/>
          <w:sz w:val="32"/>
          <w:szCs w:val="32"/>
        </w:rPr>
      </w:pPr>
      <w:r>
        <w:rPr>
          <w:rFonts w:hint="eastAsia" w:ascii="仿宋" w:hAnsi="仿宋" w:eastAsia="仿宋" w:cs="仿宋"/>
          <w:sz w:val="32"/>
          <w:szCs w:val="32"/>
        </w:rPr>
        <w:t>2.参与制定青少年事业发展规划和青少年工作方针、政策。对全县青少年活动阵地和青少年服务机构的建设等事务进行规划和管理。</w:t>
      </w:r>
    </w:p>
    <w:p>
      <w:pPr>
        <w:ind w:firstLine="320" w:firstLineChars="100"/>
        <w:rPr>
          <w:rFonts w:ascii="仿宋" w:hAnsi="仿宋" w:eastAsia="仿宋" w:cs="仿宋"/>
          <w:sz w:val="32"/>
          <w:szCs w:val="32"/>
        </w:rPr>
      </w:pPr>
      <w:r>
        <w:rPr>
          <w:rFonts w:hint="eastAsia" w:ascii="仿宋" w:hAnsi="仿宋" w:eastAsia="仿宋" w:cs="仿宋"/>
          <w:sz w:val="32"/>
          <w:szCs w:val="32"/>
        </w:rPr>
        <w:t>3.参与有关青少年事务的法律和法规</w:t>
      </w:r>
      <w:bookmarkStart w:id="0" w:name="_GoBack"/>
      <w:bookmarkEnd w:id="0"/>
      <w:r>
        <w:rPr>
          <w:rFonts w:hint="eastAsia" w:ascii="仿宋" w:hAnsi="仿宋" w:eastAsia="仿宋" w:cs="仿宋"/>
          <w:sz w:val="32"/>
          <w:szCs w:val="32"/>
        </w:rPr>
        <w:t>的制定和实施，协助中共衡南县委、县人民政府处理、协调与青少年利益相关的事务。</w:t>
      </w:r>
    </w:p>
    <w:p>
      <w:pPr>
        <w:ind w:firstLine="320" w:firstLineChars="100"/>
        <w:rPr>
          <w:rFonts w:ascii="仿宋" w:hAnsi="仿宋" w:eastAsia="仿宋" w:cs="仿宋"/>
          <w:sz w:val="32"/>
          <w:szCs w:val="32"/>
        </w:rPr>
      </w:pPr>
      <w:r>
        <w:rPr>
          <w:rFonts w:hint="eastAsia" w:ascii="仿宋" w:hAnsi="仿宋" w:eastAsia="仿宋" w:cs="仿宋"/>
          <w:sz w:val="32"/>
          <w:szCs w:val="32"/>
        </w:rPr>
        <w:t>4.调查青年思想动态和青年工作状况，研究青少年运动、青少年工作理论和思想教育问题，提出相应对策，开展各种有益的活动，提高青少年政治思想、科学文化素质；研究青少年违法犯罪问题，协同有关部门开展青少年法制教育和未成年保护工作。</w:t>
      </w:r>
    </w:p>
    <w:p>
      <w:pPr>
        <w:ind w:firstLine="320" w:firstLineChars="100"/>
        <w:rPr>
          <w:rFonts w:ascii="仿宋" w:hAnsi="仿宋" w:eastAsia="仿宋" w:cs="仿宋"/>
          <w:sz w:val="32"/>
          <w:szCs w:val="32"/>
        </w:rPr>
      </w:pPr>
      <w:r>
        <w:rPr>
          <w:rFonts w:hint="eastAsia" w:ascii="仿宋" w:hAnsi="仿宋" w:eastAsia="仿宋" w:cs="仿宋"/>
          <w:sz w:val="32"/>
          <w:szCs w:val="32"/>
        </w:rPr>
        <w:t>5.协助政府教育部门做好中、小学生的教育管理工作，维护学校稳定和社会安定团结。</w:t>
      </w:r>
    </w:p>
    <w:p>
      <w:pPr>
        <w:ind w:firstLine="320" w:firstLineChars="100"/>
        <w:rPr>
          <w:rFonts w:ascii="仿宋" w:hAnsi="仿宋" w:eastAsia="仿宋" w:cs="仿宋"/>
          <w:sz w:val="32"/>
          <w:szCs w:val="32"/>
        </w:rPr>
      </w:pPr>
      <w:r>
        <w:rPr>
          <w:rFonts w:hint="eastAsia" w:ascii="仿宋" w:hAnsi="仿宋" w:eastAsia="仿宋" w:cs="仿宋"/>
          <w:sz w:val="32"/>
          <w:szCs w:val="32"/>
        </w:rPr>
        <w:t>6.在全县经济建设中，组织和带领青年发挥生力军和突击队作用。</w:t>
      </w:r>
    </w:p>
    <w:p>
      <w:pPr>
        <w:ind w:firstLine="320" w:firstLineChars="100"/>
        <w:rPr>
          <w:rFonts w:ascii="仿宋" w:hAnsi="仿宋" w:eastAsia="仿宋" w:cs="仿宋"/>
          <w:sz w:val="32"/>
          <w:szCs w:val="32"/>
        </w:rPr>
      </w:pPr>
      <w:r>
        <w:rPr>
          <w:rFonts w:hint="eastAsia" w:ascii="仿宋" w:hAnsi="仿宋" w:eastAsia="仿宋" w:cs="仿宋"/>
          <w:sz w:val="32"/>
          <w:szCs w:val="32"/>
        </w:rPr>
        <w:t>7.会同有关部门做好青少年外事和县内外青少年组织、团体的交流工作；做好青年统战对象的团结教育工作。</w:t>
      </w:r>
    </w:p>
    <w:p>
      <w:pPr>
        <w:ind w:firstLine="320" w:firstLineChars="100"/>
        <w:rPr>
          <w:rFonts w:ascii="仿宋" w:hAnsi="仿宋" w:eastAsia="仿宋" w:cs="仿宋"/>
          <w:sz w:val="32"/>
          <w:szCs w:val="32"/>
        </w:rPr>
      </w:pPr>
      <w:r>
        <w:rPr>
          <w:rFonts w:hint="eastAsia" w:ascii="仿宋" w:hAnsi="仿宋" w:eastAsia="仿宋" w:cs="仿宋"/>
          <w:sz w:val="32"/>
          <w:szCs w:val="32"/>
        </w:rPr>
        <w:t>8.承办中共衡南县委、县人民政府交办的有关事项。</w:t>
      </w:r>
    </w:p>
    <w:p>
      <w:pPr>
        <w:ind w:firstLine="640" w:firstLineChars="200"/>
        <w:rPr>
          <w:rFonts w:ascii="仿宋" w:hAnsi="仿宋" w:eastAsia="仿宋" w:cs="仿宋"/>
          <w:sz w:val="32"/>
          <w:szCs w:val="32"/>
        </w:rPr>
      </w:pPr>
      <w:r>
        <w:rPr>
          <w:rFonts w:hint="eastAsia" w:ascii="仿宋" w:hAnsi="仿宋" w:eastAsia="仿宋" w:cs="仿宋"/>
          <w:sz w:val="32"/>
          <w:szCs w:val="32"/>
        </w:rPr>
        <w:t>（二）机构设置情况</w:t>
      </w:r>
    </w:p>
    <w:p>
      <w:pPr>
        <w:ind w:firstLine="640" w:firstLineChars="200"/>
        <w:rPr>
          <w:rFonts w:ascii="仿宋" w:hAnsi="仿宋" w:eastAsia="仿宋" w:cs="仿宋"/>
          <w:sz w:val="32"/>
          <w:szCs w:val="32"/>
        </w:rPr>
      </w:pPr>
      <w:r>
        <w:rPr>
          <w:rFonts w:hint="eastAsia" w:ascii="仿宋" w:hAnsi="仿宋" w:eastAsia="仿宋" w:cs="仿宋"/>
          <w:sz w:val="32"/>
          <w:szCs w:val="32"/>
        </w:rPr>
        <w:t>我委内设2个职能部（室）分别为：办公室（加挂希望工程办公室、学少权益部牌子）、组织宣传部。</w:t>
      </w:r>
    </w:p>
    <w:p>
      <w:pPr>
        <w:numPr>
          <w:ilvl w:val="0"/>
          <w:numId w:val="1"/>
        </w:numPr>
        <w:ind w:firstLine="630"/>
        <w:rPr>
          <w:rFonts w:ascii="仿宋" w:hAnsi="仿宋" w:eastAsia="仿宋" w:cs="仿宋"/>
          <w:sz w:val="32"/>
          <w:szCs w:val="32"/>
        </w:rPr>
      </w:pPr>
      <w:r>
        <w:rPr>
          <w:rFonts w:hint="eastAsia" w:ascii="仿宋" w:hAnsi="仿宋" w:eastAsia="仿宋" w:cs="仿宋"/>
          <w:sz w:val="32"/>
          <w:szCs w:val="32"/>
        </w:rPr>
        <w:t>人员编制情况</w:t>
      </w:r>
    </w:p>
    <w:p>
      <w:pPr>
        <w:ind w:firstLine="640" w:firstLineChars="200"/>
        <w:rPr>
          <w:rFonts w:ascii="仿宋" w:hAnsi="仿宋" w:eastAsia="仿宋" w:cs="仿宋"/>
          <w:sz w:val="32"/>
          <w:szCs w:val="32"/>
        </w:rPr>
      </w:pPr>
      <w:r>
        <w:rPr>
          <w:rFonts w:hint="eastAsia" w:ascii="仿宋" w:hAnsi="仿宋" w:eastAsia="仿宋" w:cs="仿宋"/>
          <w:sz w:val="32"/>
          <w:szCs w:val="32"/>
        </w:rPr>
        <w:t>我委现有干部职工4人，行政编制4人。</w:t>
      </w:r>
    </w:p>
    <w:p>
      <w:pPr>
        <w:adjustRightInd w:val="0"/>
        <w:snapToGrid w:val="0"/>
        <w:spacing w:line="600" w:lineRule="exact"/>
        <w:ind w:firstLine="640" w:firstLineChars="200"/>
        <w:rPr>
          <w:rFonts w:ascii="仿宋" w:hAnsi="仿宋" w:eastAsia="仿宋" w:cs="仿宋"/>
          <w:sz w:val="32"/>
          <w:szCs w:val="32"/>
        </w:rPr>
      </w:pPr>
      <w:r>
        <w:rPr>
          <w:rFonts w:hint="eastAsia" w:ascii="仿宋" w:hAnsi="仿宋" w:eastAsia="仿宋" w:cs="仿宋"/>
          <w:sz w:val="32"/>
          <w:szCs w:val="32"/>
        </w:rPr>
        <w:t>二、部门整体支出管理及使用情况</w:t>
      </w:r>
    </w:p>
    <w:p>
      <w:pPr>
        <w:ind w:firstLine="630"/>
        <w:rPr>
          <w:rFonts w:ascii="仿宋" w:hAnsi="仿宋" w:eastAsia="仿宋" w:cs="仿宋"/>
          <w:sz w:val="32"/>
          <w:szCs w:val="32"/>
        </w:rPr>
      </w:pPr>
      <w:r>
        <w:rPr>
          <w:rFonts w:hint="eastAsia" w:ascii="仿宋" w:hAnsi="仿宋" w:eastAsia="仿宋" w:cs="仿宋"/>
          <w:sz w:val="32"/>
          <w:szCs w:val="32"/>
        </w:rPr>
        <w:t>（一）基本支出管理情况</w:t>
      </w:r>
    </w:p>
    <w:p>
      <w:pPr>
        <w:ind w:firstLine="633" w:firstLineChars="198"/>
        <w:rPr>
          <w:rFonts w:ascii="仿宋" w:hAnsi="仿宋" w:eastAsia="仿宋" w:cs="仿宋"/>
          <w:sz w:val="32"/>
          <w:szCs w:val="32"/>
        </w:rPr>
      </w:pPr>
      <w:r>
        <w:rPr>
          <w:rFonts w:hint="eastAsia" w:ascii="仿宋" w:hAnsi="仿宋" w:eastAsia="仿宋" w:cs="仿宋"/>
          <w:sz w:val="32"/>
          <w:szCs w:val="32"/>
        </w:rPr>
        <w:t>2020年我委基本支出为44.38万元,系保障我委机构正常运转，完成日常工作任务发生的各项支出。主要用于干部职工工资、津补贴、办公费、差旅费、资料费、水电费、和办公设备购置等日常公用经费的开支。</w:t>
      </w:r>
    </w:p>
    <w:p>
      <w:pPr>
        <w:ind w:firstLine="640" w:firstLineChars="200"/>
        <w:rPr>
          <w:rFonts w:ascii="仿宋" w:hAnsi="仿宋" w:eastAsia="仿宋" w:cs="仿宋"/>
          <w:sz w:val="32"/>
          <w:szCs w:val="32"/>
        </w:rPr>
      </w:pPr>
      <w:r>
        <w:rPr>
          <w:rFonts w:hint="eastAsia" w:ascii="仿宋" w:hAnsi="仿宋" w:eastAsia="仿宋" w:cs="仿宋"/>
          <w:sz w:val="32"/>
          <w:szCs w:val="32"/>
        </w:rPr>
        <w:t>（二）“三公经费”的支出使用和管理情况</w:t>
      </w:r>
    </w:p>
    <w:p>
      <w:pPr>
        <w:ind w:firstLine="640" w:firstLineChars="200"/>
        <w:rPr>
          <w:rFonts w:ascii="仿宋" w:hAnsi="仿宋" w:eastAsia="仿宋" w:cs="仿宋"/>
          <w:sz w:val="32"/>
          <w:szCs w:val="32"/>
        </w:rPr>
      </w:pPr>
      <w:r>
        <w:rPr>
          <w:rFonts w:hint="eastAsia" w:ascii="仿宋" w:hAnsi="仿宋" w:eastAsia="仿宋" w:cs="仿宋"/>
          <w:sz w:val="32"/>
          <w:szCs w:val="32"/>
        </w:rPr>
        <w:t>我委“三公经费”的使用均在控制范围内，且较预算金额有所下降，其中：公务接待费0.5万元，实际支出0.4万元，我委已纳入公务用车改革。</w:t>
      </w:r>
    </w:p>
    <w:p>
      <w:pPr>
        <w:ind w:firstLine="630"/>
        <w:rPr>
          <w:rFonts w:ascii="仿宋" w:hAnsi="仿宋" w:eastAsia="仿宋" w:cs="仿宋"/>
          <w:sz w:val="32"/>
          <w:szCs w:val="32"/>
        </w:rPr>
      </w:pPr>
      <w:r>
        <w:rPr>
          <w:rFonts w:hint="eastAsia" w:ascii="仿宋" w:hAnsi="仿宋" w:eastAsia="仿宋" w:cs="仿宋"/>
          <w:sz w:val="32"/>
          <w:szCs w:val="32"/>
        </w:rPr>
        <w:t>（三）专项支出</w:t>
      </w:r>
    </w:p>
    <w:p>
      <w:pPr>
        <w:ind w:firstLine="640" w:firstLineChars="200"/>
        <w:rPr>
          <w:rFonts w:ascii="仿宋" w:hAnsi="仿宋" w:eastAsia="仿宋" w:cs="仿宋"/>
          <w:sz w:val="32"/>
          <w:szCs w:val="32"/>
        </w:rPr>
      </w:pPr>
      <w:r>
        <w:rPr>
          <w:rFonts w:hint="eastAsia" w:ascii="仿宋" w:hAnsi="仿宋" w:eastAsia="仿宋" w:cs="仿宋"/>
          <w:sz w:val="32"/>
          <w:szCs w:val="32"/>
        </w:rPr>
        <w:t>2020我委的专项经费21万元,主要用于“五四”青年活动、青少年发展专项工作、希望工程工作、少先队工作、青年志愿服务队工作、预防青少年犯罪工作等支出。</w:t>
      </w:r>
    </w:p>
    <w:p>
      <w:pPr>
        <w:adjustRightInd w:val="0"/>
        <w:snapToGrid w:val="0"/>
        <w:spacing w:line="600" w:lineRule="exact"/>
        <w:ind w:firstLine="640" w:firstLineChars="200"/>
        <w:rPr>
          <w:rFonts w:ascii="仿宋" w:hAnsi="仿宋" w:eastAsia="仿宋" w:cs="仿宋"/>
          <w:sz w:val="32"/>
          <w:szCs w:val="32"/>
        </w:rPr>
      </w:pPr>
      <w:r>
        <w:rPr>
          <w:rFonts w:hint="eastAsia" w:ascii="仿宋" w:hAnsi="仿宋" w:eastAsia="仿宋" w:cs="仿宋"/>
          <w:sz w:val="32"/>
          <w:szCs w:val="32"/>
        </w:rPr>
        <w:t>三、部门整体支出绩效情况</w:t>
      </w:r>
    </w:p>
    <w:p>
      <w:pPr>
        <w:spacing w:line="600" w:lineRule="exact"/>
        <w:ind w:firstLine="640" w:firstLineChars="200"/>
        <w:rPr>
          <w:rFonts w:ascii="仿宋" w:hAnsi="仿宋" w:eastAsia="仿宋" w:cs="仿宋"/>
          <w:sz w:val="32"/>
          <w:szCs w:val="32"/>
        </w:rPr>
      </w:pPr>
      <w:r>
        <w:rPr>
          <w:rFonts w:hint="eastAsia" w:ascii="仿宋" w:hAnsi="仿宋" w:eastAsia="仿宋" w:cs="仿宋"/>
          <w:sz w:val="32"/>
          <w:szCs w:val="32"/>
        </w:rPr>
        <w:t>2020年，根据我委年初工作规划和重点性工作，围绕县委、县政府中心工作，积极履职，强化管理，较好的完成了年度工作目标。通过加强预算收支的管理，不断建立健全内部管理制度，理顺内部管理流程，部门整体支出管理情况得到了提升，较好的完成了各项目标任务 。</w:t>
      </w:r>
    </w:p>
    <w:p>
      <w:pPr>
        <w:ind w:firstLine="630"/>
        <w:rPr>
          <w:rFonts w:ascii="仿宋" w:hAnsi="仿宋" w:eastAsia="仿宋" w:cs="仿宋"/>
          <w:sz w:val="32"/>
          <w:szCs w:val="32"/>
        </w:rPr>
      </w:pPr>
      <w:r>
        <w:rPr>
          <w:rFonts w:hint="eastAsia" w:ascii="仿宋" w:hAnsi="仿宋" w:eastAsia="仿宋" w:cs="仿宋"/>
          <w:sz w:val="32"/>
          <w:szCs w:val="32"/>
        </w:rPr>
        <w:t>四、存在的主要问题</w:t>
      </w:r>
    </w:p>
    <w:p>
      <w:pPr>
        <w:spacing w:line="600" w:lineRule="exact"/>
        <w:ind w:firstLine="640" w:firstLineChars="200"/>
        <w:rPr>
          <w:rFonts w:ascii="仿宋" w:hAnsi="仿宋" w:eastAsia="仿宋" w:cs="仿宋"/>
          <w:kern w:val="0"/>
          <w:sz w:val="32"/>
          <w:szCs w:val="32"/>
        </w:rPr>
      </w:pPr>
      <w:r>
        <w:rPr>
          <w:rFonts w:hint="eastAsia" w:ascii="仿宋" w:hAnsi="仿宋" w:eastAsia="仿宋" w:cs="仿宋"/>
          <w:kern w:val="0"/>
          <w:sz w:val="32"/>
          <w:szCs w:val="32"/>
        </w:rPr>
        <w:t>从预算收支情况看：年初预算与部门决算仍存在偏差，在预算执行过程中，由于各种客观原因存在指标之间调剂使用的现象，预算编制、下达需要更加科学、及时。同时，内部控制制度还待于进一步完善，行政运行成本控制方面还有一定压缩空间。</w:t>
      </w:r>
    </w:p>
    <w:p>
      <w:pPr>
        <w:adjustRightInd w:val="0"/>
        <w:snapToGrid w:val="0"/>
        <w:spacing w:line="600" w:lineRule="exact"/>
        <w:ind w:firstLine="640" w:firstLineChars="200"/>
        <w:rPr>
          <w:rFonts w:ascii="仿宋" w:hAnsi="仿宋" w:eastAsia="仿宋" w:cs="仿宋"/>
          <w:sz w:val="32"/>
          <w:szCs w:val="32"/>
        </w:rPr>
      </w:pPr>
      <w:r>
        <w:rPr>
          <w:rFonts w:hint="eastAsia" w:ascii="仿宋" w:hAnsi="仿宋" w:eastAsia="仿宋" w:cs="仿宋"/>
          <w:sz w:val="32"/>
          <w:szCs w:val="32"/>
        </w:rPr>
        <w:t>年初预算的编制较为精细，按照费用支出的使用范围和内容，进行了基本支出、项目支出的严格区分，并按照预算的最末级明细进行预算支出管理，专款专用。但对于追加项目支出、上年结余结转的项目资金，没有进行预算分解，编制明细预算。</w:t>
      </w:r>
    </w:p>
    <w:p>
      <w:pPr>
        <w:adjustRightInd w:val="0"/>
        <w:snapToGrid w:val="0"/>
        <w:spacing w:line="600" w:lineRule="exact"/>
        <w:ind w:firstLine="640" w:firstLineChars="200"/>
        <w:rPr>
          <w:rFonts w:ascii="仿宋" w:hAnsi="仿宋" w:eastAsia="仿宋" w:cs="仿宋"/>
          <w:sz w:val="32"/>
          <w:szCs w:val="32"/>
        </w:rPr>
      </w:pPr>
      <w:r>
        <w:rPr>
          <w:rFonts w:hint="eastAsia" w:ascii="仿宋" w:hAnsi="仿宋" w:eastAsia="仿宋" w:cs="仿宋"/>
          <w:sz w:val="32"/>
          <w:szCs w:val="32"/>
        </w:rPr>
        <w:t>五、改进措施和有关建议</w:t>
      </w:r>
    </w:p>
    <w:p>
      <w:pPr>
        <w:adjustRightInd w:val="0"/>
        <w:snapToGrid w:val="0"/>
        <w:spacing w:line="600" w:lineRule="exact"/>
        <w:ind w:firstLine="640" w:firstLineChars="200"/>
        <w:rPr>
          <w:rFonts w:ascii="仿宋" w:hAnsi="仿宋" w:eastAsia="仿宋" w:cs="仿宋"/>
          <w:sz w:val="32"/>
          <w:szCs w:val="32"/>
        </w:rPr>
      </w:pPr>
      <w:r>
        <w:rPr>
          <w:rFonts w:hint="eastAsia" w:ascii="仿宋" w:hAnsi="仿宋" w:eastAsia="仿宋" w:cs="仿宋"/>
          <w:sz w:val="32"/>
          <w:szCs w:val="32"/>
        </w:rPr>
        <w:t>1、抓好财务预算管理，严格执行财务管理制度，充分发挥监督作用。</w:t>
      </w:r>
    </w:p>
    <w:p>
      <w:pPr>
        <w:adjustRightInd w:val="0"/>
        <w:snapToGrid w:val="0"/>
        <w:spacing w:line="600" w:lineRule="exact"/>
        <w:ind w:firstLine="640" w:firstLineChars="200"/>
        <w:rPr>
          <w:rFonts w:ascii="仿宋" w:hAnsi="仿宋" w:eastAsia="仿宋" w:cs="仿宋"/>
          <w:sz w:val="32"/>
          <w:szCs w:val="32"/>
        </w:rPr>
      </w:pPr>
      <w:r>
        <w:rPr>
          <w:rFonts w:hint="eastAsia" w:ascii="仿宋" w:hAnsi="仿宋" w:eastAsia="仿宋" w:cs="仿宋"/>
          <w:sz w:val="32"/>
          <w:szCs w:val="32"/>
        </w:rPr>
        <w:t>2、严格财务支出审批。抓好审核和审批两个环节，在审核审批中严把支出关，切实维护财务纪律的严肃性。</w:t>
      </w:r>
    </w:p>
    <w:p>
      <w:pPr>
        <w:adjustRightInd w:val="0"/>
        <w:snapToGrid w:val="0"/>
        <w:spacing w:line="600" w:lineRule="exact"/>
        <w:ind w:firstLine="640" w:firstLineChars="200"/>
        <w:rPr>
          <w:rFonts w:ascii="仿宋" w:hAnsi="仿宋" w:eastAsia="仿宋" w:cs="仿宋"/>
          <w:sz w:val="32"/>
          <w:szCs w:val="32"/>
        </w:rPr>
      </w:pPr>
      <w:r>
        <w:rPr>
          <w:rFonts w:hint="eastAsia" w:ascii="仿宋" w:hAnsi="仿宋" w:eastAsia="仿宋" w:cs="仿宋"/>
          <w:sz w:val="32"/>
          <w:szCs w:val="32"/>
        </w:rPr>
        <w:t>3、强化经费管理。重点加强招待费和办公经费的管理，严格控制支出，降低行政运行成本。</w:t>
      </w:r>
    </w:p>
    <w:p>
      <w:pPr>
        <w:adjustRightInd w:val="0"/>
        <w:snapToGrid w:val="0"/>
        <w:spacing w:line="600" w:lineRule="exact"/>
        <w:ind w:firstLine="640" w:firstLineChars="200"/>
        <w:rPr>
          <w:rFonts w:ascii="仿宋" w:hAnsi="仿宋" w:eastAsia="仿宋" w:cs="仿宋"/>
          <w:sz w:val="32"/>
          <w:szCs w:val="32"/>
        </w:rPr>
      </w:pPr>
    </w:p>
    <w:p>
      <w:pPr>
        <w:adjustRightInd w:val="0"/>
        <w:snapToGrid w:val="0"/>
        <w:spacing w:line="600" w:lineRule="exact"/>
        <w:ind w:firstLine="640" w:firstLineChars="200"/>
        <w:rPr>
          <w:rFonts w:ascii="仿宋" w:hAnsi="仿宋" w:eastAsia="仿宋" w:cs="仿宋"/>
          <w:sz w:val="32"/>
          <w:szCs w:val="32"/>
        </w:rPr>
      </w:pPr>
    </w:p>
    <w:p>
      <w:pPr>
        <w:adjustRightInd w:val="0"/>
        <w:snapToGrid w:val="0"/>
        <w:spacing w:line="600" w:lineRule="exact"/>
        <w:ind w:firstLine="640" w:firstLineChars="200"/>
        <w:rPr>
          <w:rFonts w:ascii="仿宋" w:hAnsi="仿宋" w:eastAsia="仿宋" w:cs="仿宋"/>
          <w:sz w:val="32"/>
          <w:szCs w:val="32"/>
        </w:rPr>
      </w:pPr>
    </w:p>
    <w:p>
      <w:pPr>
        <w:adjustRightInd w:val="0"/>
        <w:snapToGrid w:val="0"/>
        <w:spacing w:line="600" w:lineRule="exact"/>
        <w:ind w:firstLine="640" w:firstLineChars="200"/>
        <w:rPr>
          <w:rFonts w:ascii="仿宋" w:hAnsi="仿宋" w:eastAsia="仿宋" w:cs="仿宋"/>
          <w:sz w:val="32"/>
          <w:szCs w:val="32"/>
        </w:rPr>
      </w:pPr>
    </w:p>
    <w:p>
      <w:pPr>
        <w:ind w:firstLine="640" w:firstLineChars="200"/>
        <w:jc w:val="left"/>
        <w:rPr>
          <w:rFonts w:ascii="仿宋" w:hAnsi="仿宋" w:eastAsia="仿宋" w:cs="仿宋"/>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DC80E4"/>
    <w:multiLevelType w:val="singleLevel"/>
    <w:tmpl w:val="32DC80E4"/>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506F9"/>
    <w:rsid w:val="0002229B"/>
    <w:rsid w:val="000273BD"/>
    <w:rsid w:val="000415B7"/>
    <w:rsid w:val="000658A3"/>
    <w:rsid w:val="00074155"/>
    <w:rsid w:val="000A3F69"/>
    <w:rsid w:val="00152C6D"/>
    <w:rsid w:val="00162D39"/>
    <w:rsid w:val="0017318A"/>
    <w:rsid w:val="001A67DB"/>
    <w:rsid w:val="001D51E5"/>
    <w:rsid w:val="001F0C3B"/>
    <w:rsid w:val="00214427"/>
    <w:rsid w:val="00265724"/>
    <w:rsid w:val="0027426B"/>
    <w:rsid w:val="003479BD"/>
    <w:rsid w:val="003768D5"/>
    <w:rsid w:val="004506F9"/>
    <w:rsid w:val="004717A2"/>
    <w:rsid w:val="00491741"/>
    <w:rsid w:val="00500E5F"/>
    <w:rsid w:val="005122EF"/>
    <w:rsid w:val="00517C33"/>
    <w:rsid w:val="00523644"/>
    <w:rsid w:val="0054069E"/>
    <w:rsid w:val="005767CC"/>
    <w:rsid w:val="00590D9F"/>
    <w:rsid w:val="00595D26"/>
    <w:rsid w:val="005A74E6"/>
    <w:rsid w:val="005D4D55"/>
    <w:rsid w:val="005E2CFB"/>
    <w:rsid w:val="0062378F"/>
    <w:rsid w:val="00651EEC"/>
    <w:rsid w:val="006A351B"/>
    <w:rsid w:val="006B0422"/>
    <w:rsid w:val="006C1B53"/>
    <w:rsid w:val="006D7730"/>
    <w:rsid w:val="006E5284"/>
    <w:rsid w:val="006F3EB5"/>
    <w:rsid w:val="00702E34"/>
    <w:rsid w:val="00704395"/>
    <w:rsid w:val="00720FF1"/>
    <w:rsid w:val="00812ED5"/>
    <w:rsid w:val="008277D9"/>
    <w:rsid w:val="008A3E8D"/>
    <w:rsid w:val="008B4C26"/>
    <w:rsid w:val="009237C4"/>
    <w:rsid w:val="00950252"/>
    <w:rsid w:val="00967F5D"/>
    <w:rsid w:val="009A0F95"/>
    <w:rsid w:val="009B3ADF"/>
    <w:rsid w:val="009C3B52"/>
    <w:rsid w:val="009F4E52"/>
    <w:rsid w:val="00A42218"/>
    <w:rsid w:val="00A70249"/>
    <w:rsid w:val="00B33BEA"/>
    <w:rsid w:val="00B57C9F"/>
    <w:rsid w:val="00B845B3"/>
    <w:rsid w:val="00B85D8B"/>
    <w:rsid w:val="00BE3674"/>
    <w:rsid w:val="00C208DF"/>
    <w:rsid w:val="00C3049A"/>
    <w:rsid w:val="00C31B1E"/>
    <w:rsid w:val="00C77645"/>
    <w:rsid w:val="00CE04C3"/>
    <w:rsid w:val="00CE76A0"/>
    <w:rsid w:val="00D148C6"/>
    <w:rsid w:val="00DD06FF"/>
    <w:rsid w:val="00DD5FE9"/>
    <w:rsid w:val="00E00C7A"/>
    <w:rsid w:val="00E43FED"/>
    <w:rsid w:val="00E55B68"/>
    <w:rsid w:val="00F74360"/>
    <w:rsid w:val="00FB462F"/>
    <w:rsid w:val="00FE16FA"/>
    <w:rsid w:val="00FE328A"/>
    <w:rsid w:val="05391497"/>
    <w:rsid w:val="0A733E75"/>
    <w:rsid w:val="0E1472B8"/>
    <w:rsid w:val="0EDE1AD5"/>
    <w:rsid w:val="1697654A"/>
    <w:rsid w:val="23D461B4"/>
    <w:rsid w:val="2A2C24F5"/>
    <w:rsid w:val="377F2DB0"/>
    <w:rsid w:val="40053AE6"/>
    <w:rsid w:val="51E60BDD"/>
    <w:rsid w:val="59711E60"/>
    <w:rsid w:val="6A767CA5"/>
    <w:rsid w:val="6B073D6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paragraph" w:customStyle="1" w:styleId="9">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0">
    <w:name w:val="List Paragraph"/>
    <w:basedOn w:val="1"/>
    <w:qFormat/>
    <w:uiPriority w:val="34"/>
    <w:pPr>
      <w:ind w:firstLine="420" w:firstLineChars="200"/>
    </w:pPr>
  </w:style>
  <w:style w:type="character" w:customStyle="1" w:styleId="11">
    <w:name w:val="批注框文本 Char"/>
    <w:basedOn w:val="6"/>
    <w:link w:val="2"/>
    <w:semiHidden/>
    <w:qFormat/>
    <w:uiPriority w:val="99"/>
    <w:rPr>
      <w:sz w:val="18"/>
      <w:szCs w:val="18"/>
    </w:rPr>
  </w:style>
  <w:style w:type="paragraph" w:customStyle="1" w:styleId="12">
    <w:name w:val="普通(网站) Char"/>
    <w:basedOn w:val="1"/>
    <w:qFormat/>
    <w:uiPriority w:val="0"/>
    <w:pPr>
      <w:spacing w:before="100" w:beforeAutospacing="1" w:after="100" w:afterAutospacing="1"/>
      <w:jc w:val="left"/>
    </w:pPr>
    <w:rPr>
      <w:rFonts w:hint="eastAsia" w:ascii="宋体" w:hAnsi="宋体" w:eastAsia="宋体" w:cs="Times New Roman"/>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7BAF138-7016-4B20-8ED9-F87F81D1823C}">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18</Pages>
  <Words>852</Words>
  <Characters>4863</Characters>
  <Lines>40</Lines>
  <Paragraphs>11</Paragraphs>
  <TotalTime>13</TotalTime>
  <ScaleCrop>false</ScaleCrop>
  <LinksUpToDate>false</LinksUpToDate>
  <CharactersWithSpaces>5704</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茜茜</cp:lastModifiedBy>
  <cp:lastPrinted>2020-07-15T07:25:00Z</cp:lastPrinted>
  <dcterms:modified xsi:type="dcterms:W3CDTF">2023-09-18T03:19:44Z</dcterms:modified>
  <cp:revision>29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662876A0B2144E5092035F512C53587C</vt:lpwstr>
  </property>
</Properties>
</file>