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spacing w:before="0" w:beforeAutospacing="0"/>
        <w:jc w:val="both"/>
        <w:rPr>
          <w:rFonts w:hint="default" w:ascii="仿宋" w:hAnsi="仿宋" w:eastAsia="仿宋" w:cs="仿宋"/>
          <w:shd w:val="clear" w:color="auto" w:fill="FFFFFF"/>
        </w:rPr>
      </w:pPr>
    </w:p>
    <w:p>
      <w:pPr>
        <w:pStyle w:val="8"/>
        <w:spacing w:before="0" w:beforeAutospacing="0"/>
        <w:jc w:val="both"/>
        <w:rPr>
          <w:rFonts w:hint="default" w:ascii="仿宋" w:hAnsi="仿宋" w:eastAsia="仿宋" w:cs="仿宋"/>
          <w:shd w:val="clear" w:color="auto" w:fill="FFFFFF"/>
        </w:rPr>
      </w:pPr>
    </w:p>
    <w:p>
      <w:pPr>
        <w:pStyle w:val="8"/>
        <w:spacing w:before="0" w:beforeAutospacing="0"/>
        <w:jc w:val="both"/>
        <w:rPr>
          <w:rFonts w:hint="default" w:ascii="仿宋" w:hAnsi="仿宋" w:eastAsia="仿宋" w:cs="仿宋"/>
          <w:shd w:val="clear" w:color="auto" w:fill="FFFFFF"/>
        </w:rPr>
      </w:pPr>
    </w:p>
    <w:p>
      <w:pPr>
        <w:pStyle w:val="8"/>
        <w:spacing w:before="0" w:beforeAutospacing="0"/>
        <w:jc w:val="both"/>
        <w:rPr>
          <w:rFonts w:hint="default" w:ascii="仿宋" w:hAnsi="仿宋" w:eastAsia="仿宋" w:cs="仿宋"/>
          <w:shd w:val="clear" w:color="auto" w:fill="FFFFFF"/>
        </w:rPr>
      </w:pPr>
    </w:p>
    <w:p>
      <w:pPr>
        <w:jc w:val="center"/>
        <w:rPr>
          <w:rFonts w:ascii="仿宋" w:hAnsi="仿宋" w:eastAsia="仿宋" w:cs="仿宋"/>
          <w:b/>
          <w:sz w:val="66"/>
          <w:szCs w:val="66"/>
        </w:rPr>
      </w:pPr>
      <w:r>
        <w:rPr>
          <w:rFonts w:hint="eastAsia" w:ascii="仿宋" w:hAnsi="仿宋" w:eastAsia="仿宋" w:cs="仿宋"/>
          <w:b/>
          <w:sz w:val="66"/>
          <w:szCs w:val="66"/>
        </w:rPr>
        <w:t>中共衡南县委统战部</w:t>
      </w:r>
    </w:p>
    <w:p>
      <w:pPr>
        <w:jc w:val="center"/>
        <w:rPr>
          <w:rFonts w:ascii="仿宋" w:hAnsi="仿宋" w:eastAsia="仿宋" w:cs="仿宋"/>
          <w:b/>
          <w:sz w:val="50"/>
          <w:szCs w:val="50"/>
        </w:rPr>
      </w:pPr>
    </w:p>
    <w:p>
      <w:pPr>
        <w:jc w:val="center"/>
        <w:rPr>
          <w:rFonts w:ascii="仿宋" w:hAnsi="仿宋" w:eastAsia="仿宋" w:cs="仿宋"/>
          <w:b/>
          <w:sz w:val="66"/>
          <w:szCs w:val="66"/>
        </w:rPr>
      </w:pPr>
      <w:r>
        <w:rPr>
          <w:rFonts w:hint="eastAsia" w:ascii="仿宋" w:hAnsi="仿宋" w:eastAsia="仿宋" w:cs="仿宋"/>
          <w:b/>
          <w:sz w:val="66"/>
          <w:szCs w:val="66"/>
        </w:rPr>
        <w:t>2020年度部门决算</w:t>
      </w:r>
    </w:p>
    <w:p>
      <w:pPr>
        <w:rPr>
          <w:rFonts w:ascii="仿宋" w:hAnsi="仿宋" w:eastAsia="仿宋" w:cs="仿宋"/>
          <w:b/>
          <w:sz w:val="44"/>
          <w:szCs w:val="44"/>
        </w:rPr>
      </w:pPr>
    </w:p>
    <w:p>
      <w:pPr>
        <w:pStyle w:val="8"/>
        <w:spacing w:before="0" w:beforeAutospacing="0"/>
        <w:jc w:val="both"/>
        <w:rPr>
          <w:rFonts w:hint="default" w:ascii="仿宋" w:hAnsi="仿宋" w:eastAsia="仿宋" w:cs="仿宋"/>
          <w:shd w:val="clear" w:color="auto" w:fill="FFFFFF"/>
        </w:rPr>
      </w:pPr>
    </w:p>
    <w:p>
      <w:pPr>
        <w:pStyle w:val="8"/>
        <w:spacing w:before="0" w:beforeAutospacing="0"/>
        <w:jc w:val="both"/>
        <w:rPr>
          <w:rFonts w:hint="default" w:ascii="仿宋" w:hAnsi="仿宋" w:eastAsia="仿宋" w:cs="仿宋"/>
          <w:shd w:val="clear" w:color="auto" w:fill="FFFFFF"/>
        </w:rPr>
      </w:pPr>
    </w:p>
    <w:p>
      <w:pPr>
        <w:pStyle w:val="8"/>
        <w:spacing w:before="0" w:beforeAutospacing="0"/>
        <w:jc w:val="both"/>
        <w:rPr>
          <w:rFonts w:hint="default" w:ascii="仿宋" w:hAnsi="仿宋" w:eastAsia="仿宋" w:cs="仿宋"/>
          <w:shd w:val="clear" w:color="auto" w:fill="FFFFFF"/>
        </w:rPr>
      </w:pPr>
    </w:p>
    <w:p>
      <w:pPr>
        <w:widowControl/>
        <w:rPr>
          <w:rFonts w:ascii="仿宋" w:hAnsi="仿宋" w:eastAsia="仿宋" w:cs="仿宋"/>
          <w:kern w:val="0"/>
          <w:sz w:val="24"/>
          <w:szCs w:val="24"/>
          <w:shd w:val="clear" w:color="auto" w:fill="FFFFFF"/>
        </w:rPr>
      </w:pPr>
      <w:r>
        <w:rPr>
          <w:rFonts w:hint="eastAsia" w:ascii="仿宋" w:hAnsi="仿宋" w:eastAsia="仿宋" w:cs="仿宋"/>
          <w:shd w:val="clear" w:color="auto" w:fill="FFFFFF"/>
        </w:rPr>
        <w:br w:type="page"/>
      </w:r>
    </w:p>
    <w:p>
      <w:pPr>
        <w:pStyle w:val="8"/>
        <w:spacing w:before="0" w:beforeAutospacing="0" w:line="600" w:lineRule="exact"/>
        <w:jc w:val="center"/>
        <w:rPr>
          <w:rFonts w:hint="default" w:ascii="仿宋" w:hAnsi="仿宋" w:eastAsia="仿宋" w:cs="仿宋"/>
          <w:sz w:val="44"/>
          <w:szCs w:val="44"/>
          <w:shd w:val="clear" w:color="auto" w:fill="FFFFFF"/>
        </w:rPr>
      </w:pPr>
      <w:r>
        <w:rPr>
          <w:rFonts w:ascii="仿宋" w:hAnsi="仿宋" w:eastAsia="仿宋" w:cs="仿宋"/>
          <w:sz w:val="44"/>
          <w:szCs w:val="44"/>
          <w:shd w:val="clear" w:color="auto" w:fill="FFFFFF"/>
        </w:rPr>
        <w:t>目录</w:t>
      </w:r>
    </w:p>
    <w:p>
      <w:pPr>
        <w:pStyle w:val="8"/>
        <w:widowControl w:val="0"/>
        <w:autoSpaceDE w:val="0"/>
        <w:spacing w:before="0" w:beforeAutospacing="0" w:after="0" w:afterAutospacing="0" w:line="500" w:lineRule="exact"/>
        <w:jc w:val="both"/>
        <w:rPr>
          <w:rFonts w:hint="default" w:ascii="仿宋" w:hAnsi="仿宋" w:eastAsia="仿宋" w:cs="仿宋"/>
          <w:sz w:val="30"/>
          <w:szCs w:val="30"/>
        </w:rPr>
      </w:pPr>
      <w:r>
        <w:rPr>
          <w:rStyle w:val="9"/>
          <w:rFonts w:hint="eastAsia" w:ascii="仿宋" w:hAnsi="仿宋" w:eastAsia="仿宋" w:cs="仿宋"/>
          <w:sz w:val="30"/>
          <w:szCs w:val="30"/>
          <w:shd w:val="clear" w:color="auto" w:fill="FFFFFF"/>
        </w:rPr>
        <w:t>第一部分中共衡南县委统战部概况</w:t>
      </w:r>
    </w:p>
    <w:p>
      <w:pPr>
        <w:pStyle w:val="8"/>
        <w:widowControl w:val="0"/>
        <w:autoSpaceDE w:val="0"/>
        <w:spacing w:before="0" w:beforeAutospacing="0" w:after="0" w:afterAutospacing="0" w:line="500" w:lineRule="exact"/>
        <w:jc w:val="both"/>
        <w:rPr>
          <w:rFonts w:hint="default" w:ascii="仿宋" w:hAnsi="仿宋" w:eastAsia="仿宋" w:cs="仿宋"/>
          <w:sz w:val="30"/>
          <w:szCs w:val="30"/>
        </w:rPr>
      </w:pPr>
      <w:r>
        <w:rPr>
          <w:rFonts w:ascii="仿宋" w:hAnsi="仿宋" w:eastAsia="仿宋" w:cs="仿宋"/>
          <w:sz w:val="30"/>
          <w:szCs w:val="30"/>
          <w:shd w:val="clear" w:color="auto" w:fill="FFFFFF"/>
        </w:rPr>
        <w:t>一、部门职责</w:t>
      </w:r>
    </w:p>
    <w:p>
      <w:pPr>
        <w:pStyle w:val="8"/>
        <w:widowControl w:val="0"/>
        <w:autoSpaceDE w:val="0"/>
        <w:spacing w:before="0" w:beforeAutospacing="0" w:after="0" w:afterAutospacing="0" w:line="500" w:lineRule="exact"/>
        <w:jc w:val="both"/>
        <w:rPr>
          <w:rFonts w:hint="default" w:ascii="仿宋" w:hAnsi="仿宋" w:eastAsia="仿宋" w:cs="仿宋"/>
          <w:sz w:val="30"/>
          <w:szCs w:val="30"/>
        </w:rPr>
      </w:pPr>
      <w:r>
        <w:rPr>
          <w:rFonts w:ascii="仿宋" w:hAnsi="仿宋" w:eastAsia="仿宋" w:cs="仿宋"/>
          <w:sz w:val="30"/>
          <w:szCs w:val="30"/>
          <w:shd w:val="clear" w:color="auto" w:fill="FFFFFF"/>
        </w:rPr>
        <w:t>二、机构设置</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Style w:val="9"/>
          <w:rFonts w:hint="eastAsia" w:ascii="仿宋" w:hAnsi="仿宋" w:eastAsia="仿宋" w:cs="仿宋"/>
          <w:sz w:val="30"/>
          <w:szCs w:val="30"/>
          <w:shd w:val="clear" w:color="auto" w:fill="FFFFFF"/>
        </w:rPr>
        <w:t>第二部分  2019年度部门决算表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一、收入支出决算总表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二、收入决算表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三、支出决算表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四、财政拨款收入支出决算总表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五、一般公共预算财政拨款支出决算表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六、一般公共预算财政拨款基本支出决算表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七、一般公共预算财政拨款“三公”经费支出决算表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八、政府性基金预算财政拨款收入支出决算表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九、国有资本经营预算财政拨款支出决算表</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Style w:val="9"/>
          <w:rFonts w:hint="eastAsia" w:ascii="仿宋" w:hAnsi="仿宋" w:eastAsia="仿宋" w:cs="仿宋"/>
          <w:sz w:val="30"/>
          <w:szCs w:val="30"/>
          <w:shd w:val="clear" w:color="auto" w:fill="FFFFFF"/>
        </w:rPr>
        <w:t>第三部分  2019年度部门决算情况说明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一、收入支出决算总体情况说明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二、收入决算情况说明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三、支出决算情况说明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四、财政拨款收入支出决算总体情况说明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五、一般公共预算财政拨款支出决算情况说明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六、一般公共预算财政拨款基本支出决算情况说明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七、一般公共预算财政拨款三公经费支出决算情况说明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八、政府性基金预算收入支出决算情况</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九、国有资本经营预算财政拨款支出决算情况</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十、关于机关运行经费支出说明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十一、一般性支出情况说明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十二、关于政府采购支出说明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十三、关于国有资产占用情况说明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Fonts w:ascii="仿宋" w:hAnsi="仿宋" w:eastAsia="仿宋" w:cs="仿宋"/>
          <w:sz w:val="30"/>
          <w:szCs w:val="30"/>
          <w:shd w:val="clear" w:color="auto" w:fill="FFFFFF"/>
        </w:rPr>
        <w:t>十四、关于2020年度预算绩效情况说明</w:t>
      </w:r>
    </w:p>
    <w:p>
      <w:pPr>
        <w:pStyle w:val="8"/>
        <w:widowControl w:val="0"/>
        <w:autoSpaceDE w:val="0"/>
        <w:spacing w:before="0" w:beforeAutospacing="0" w:after="0" w:afterAutospacing="0" w:line="500" w:lineRule="exact"/>
        <w:jc w:val="both"/>
        <w:rPr>
          <w:rFonts w:hint="default" w:ascii="仿宋" w:hAnsi="仿宋" w:eastAsia="仿宋" w:cs="仿宋"/>
          <w:sz w:val="30"/>
          <w:szCs w:val="30"/>
          <w:shd w:val="clear" w:color="auto" w:fill="FFFFFF"/>
        </w:rPr>
      </w:pPr>
      <w:r>
        <w:rPr>
          <w:rStyle w:val="9"/>
          <w:rFonts w:hint="eastAsia" w:ascii="仿宋" w:hAnsi="仿宋" w:eastAsia="仿宋" w:cs="仿宋"/>
          <w:sz w:val="30"/>
          <w:szCs w:val="30"/>
          <w:shd w:val="clear" w:color="auto" w:fill="FFFFFF"/>
        </w:rPr>
        <w:t>第四部分名词解释</w:t>
      </w:r>
    </w:p>
    <w:p>
      <w:pPr>
        <w:widowControl/>
        <w:rPr>
          <w:rFonts w:ascii="仿宋" w:hAnsi="仿宋" w:eastAsia="仿宋" w:cs="仿宋"/>
          <w:sz w:val="30"/>
          <w:szCs w:val="30"/>
        </w:rPr>
        <w:sectPr>
          <w:footerReference r:id="rId3" w:type="default"/>
          <w:pgSz w:w="11906" w:h="16838"/>
          <w:pgMar w:top="1588" w:right="1418" w:bottom="1247" w:left="1418" w:header="851" w:footer="1134" w:gutter="0"/>
          <w:pgNumType w:start="1"/>
          <w:cols w:space="425" w:num="1"/>
          <w:docGrid w:type="lines" w:linePitch="312" w:charSpace="0"/>
        </w:sectPr>
      </w:pPr>
      <w:r>
        <w:rPr>
          <w:rStyle w:val="9"/>
          <w:rFonts w:hint="eastAsia" w:ascii="仿宋" w:hAnsi="仿宋" w:eastAsia="仿宋" w:cs="仿宋"/>
          <w:sz w:val="30"/>
          <w:szCs w:val="30"/>
          <w:shd w:val="clear" w:color="auto" w:fill="FFFFFF"/>
        </w:rPr>
        <w:t>第五部分附件</w:t>
      </w:r>
    </w:p>
    <w:p>
      <w:pPr>
        <w:spacing w:line="560" w:lineRule="exact"/>
        <w:rPr>
          <w:rFonts w:ascii="仿宋" w:hAnsi="仿宋" w:eastAsia="仿宋" w:cs="仿宋"/>
          <w:sz w:val="44"/>
          <w:szCs w:val="44"/>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b/>
          <w:sz w:val="66"/>
          <w:szCs w:val="66"/>
        </w:rPr>
      </w:pPr>
      <w:r>
        <w:rPr>
          <w:rFonts w:hint="eastAsia" w:ascii="仿宋" w:hAnsi="仿宋" w:eastAsia="仿宋" w:cs="仿宋"/>
          <w:b/>
          <w:sz w:val="66"/>
          <w:szCs w:val="66"/>
        </w:rPr>
        <w:t>第一部分</w:t>
      </w:r>
    </w:p>
    <w:p>
      <w:pPr>
        <w:jc w:val="center"/>
        <w:rPr>
          <w:rFonts w:ascii="仿宋" w:hAnsi="仿宋" w:eastAsia="仿宋" w:cs="仿宋"/>
          <w:b/>
          <w:sz w:val="66"/>
          <w:szCs w:val="66"/>
        </w:rPr>
      </w:pPr>
    </w:p>
    <w:p>
      <w:pPr>
        <w:jc w:val="center"/>
        <w:rPr>
          <w:rFonts w:ascii="仿宋" w:hAnsi="仿宋" w:eastAsia="仿宋" w:cs="仿宋"/>
          <w:b/>
          <w:sz w:val="66"/>
          <w:szCs w:val="66"/>
        </w:rPr>
      </w:pPr>
      <w:r>
        <w:rPr>
          <w:rFonts w:hint="eastAsia" w:ascii="仿宋" w:hAnsi="仿宋" w:eastAsia="仿宋" w:cs="仿宋"/>
          <w:b/>
          <w:sz w:val="66"/>
          <w:szCs w:val="66"/>
        </w:rPr>
        <w:t>中共衡南县委统战部单位概况</w:t>
      </w: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spacing w:line="640" w:lineRule="exact"/>
        <w:rPr>
          <w:rFonts w:ascii="仿宋" w:hAnsi="仿宋" w:eastAsia="仿宋" w:cs="仿宋"/>
          <w:sz w:val="30"/>
          <w:szCs w:val="30"/>
        </w:rPr>
      </w:pPr>
    </w:p>
    <w:p>
      <w:pPr>
        <w:pStyle w:val="8"/>
        <w:spacing w:before="0" w:beforeAutospacing="0" w:afterAutospacing="0" w:line="640" w:lineRule="exact"/>
        <w:ind w:firstLine="640" w:firstLineChars="200"/>
        <w:jc w:val="both"/>
        <w:rPr>
          <w:rFonts w:hint="default" w:ascii="仿宋" w:hAnsi="仿宋" w:eastAsia="仿宋" w:cs="仿宋"/>
          <w:sz w:val="32"/>
          <w:szCs w:val="32"/>
        </w:rPr>
      </w:pPr>
      <w:r>
        <w:rPr>
          <w:rFonts w:ascii="仿宋" w:hAnsi="仿宋" w:eastAsia="仿宋" w:cs="仿宋"/>
          <w:sz w:val="32"/>
          <w:szCs w:val="32"/>
        </w:rPr>
        <w:t>一、部门职责</w:t>
      </w:r>
    </w:p>
    <w:p>
      <w:pPr>
        <w:overflowPunct w:val="0"/>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（1）贯彻执行中央和省委、市委、县委有关方针、政策；调查研究统一战线理论和方针、政策，向县委反映统一战线情况，提出统战工作的意见和建议；检查统战政策执行情况，协调统一战线各方面的关系。</w:t>
      </w:r>
    </w:p>
    <w:p>
      <w:pPr>
        <w:overflowPunct w:val="0"/>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2）负责联系各民主党派和无党派代表人士，通报情况，反映意见和建议；研究、贯彻落实与完善多党合作和政治协商制度以及对民主党派工作的有关方针、政策；落实中央和省委、市委、县委关于发挥民主党派和无党派代表人士参政议政和民主监督作用的工作；为县委与县各民主党派进行政治协商做好组织联络工作；受县委委托，向民主党派、无党派人士通报县委精神；支持、帮助县各民主党派加强自身建设，选拔培养新一代代表人物；协助有关部门帮助县各民主党派改善工作条件。</w:t>
      </w:r>
    </w:p>
    <w:p>
      <w:pPr>
        <w:overflowPunct w:val="0"/>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3）负责各民主党派组织、党外人士的政治安排；会同有关部门做好培养、考察、选拔、推荐、安排民主党派党外人士担任政府及其部门和司法机关领导职务的工作；协同做好民主党派、无党派人士代表的培训工作；协助民主党派、工商联管理干部工作。</w:t>
      </w:r>
    </w:p>
    <w:p>
      <w:pPr>
        <w:overflowPunct w:val="0"/>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（4）调查研究并反映非公有制经济代表人士的情况，协调关系，提出政策建议；团结、帮助、引导、教育非公有制经济人士，开展思想政治工作。</w:t>
      </w:r>
    </w:p>
    <w:p>
      <w:pPr>
        <w:overflowPunct w:val="0"/>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（5）负责开展以祖国统一为重点的海外统战工作；联系香港、澳门、台湾和海外有关社团及代表人士；协调港澳台统战工作。</w:t>
      </w:r>
    </w:p>
    <w:p>
      <w:pPr>
        <w:overflowPunct w:val="0"/>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（6）指导乡镇、系统、科局党委统战工作；协调政府各有关部门的统战工作；指导和协调县委台办、县外事局、县工商联、县侨联事务等各项统战工作。</w:t>
      </w:r>
    </w:p>
    <w:p>
      <w:pPr>
        <w:overflowPunct w:val="0"/>
        <w:spacing w:line="640" w:lineRule="exact"/>
        <w:ind w:firstLine="640" w:firstLineChars="200"/>
        <w:rPr>
          <w:rFonts w:ascii="仿宋" w:hAnsi="仿宋" w:eastAsia="仿宋" w:cs="仿宋"/>
          <w:sz w:val="32"/>
          <w:szCs w:val="32"/>
        </w:rPr>
      </w:pPr>
      <w:r>
        <w:rPr>
          <w:rFonts w:hint="eastAsia" w:ascii="仿宋" w:hAnsi="仿宋" w:eastAsia="仿宋" w:cs="仿宋"/>
          <w:sz w:val="32"/>
          <w:szCs w:val="32"/>
        </w:rPr>
        <w:t>（7）承办县委和省、市委统战部交办的其他事项、工作。</w:t>
      </w:r>
    </w:p>
    <w:p>
      <w:pPr>
        <w:snapToGrid w:val="0"/>
        <w:spacing w:line="640" w:lineRule="exact"/>
        <w:ind w:firstLine="600" w:firstLineChars="200"/>
        <w:rPr>
          <w:rFonts w:ascii="仿宋" w:hAnsi="仿宋" w:eastAsia="仿宋" w:cs="仿宋"/>
          <w:sz w:val="34"/>
          <w:szCs w:val="34"/>
        </w:rPr>
      </w:pPr>
      <w:r>
        <w:rPr>
          <w:rFonts w:hint="eastAsia" w:ascii="仿宋" w:hAnsi="仿宋" w:eastAsia="仿宋" w:cs="仿宋"/>
          <w:sz w:val="30"/>
          <w:szCs w:val="30"/>
        </w:rPr>
        <w:t>二、机构设置及决算单位构成</w:t>
      </w:r>
    </w:p>
    <w:p>
      <w:pPr>
        <w:snapToGrid w:val="0"/>
        <w:spacing w:line="640" w:lineRule="exact"/>
        <w:ind w:firstLine="600" w:firstLineChars="200"/>
        <w:rPr>
          <w:rFonts w:ascii="仿宋" w:hAnsi="仿宋" w:eastAsia="仿宋" w:cs="仿宋"/>
          <w:sz w:val="30"/>
          <w:szCs w:val="30"/>
        </w:rPr>
      </w:pPr>
      <w:r>
        <w:rPr>
          <w:rFonts w:hint="eastAsia" w:ascii="仿宋" w:hAnsi="仿宋" w:eastAsia="仿宋" w:cs="仿宋"/>
          <w:sz w:val="30"/>
          <w:szCs w:val="30"/>
        </w:rPr>
        <w:t>（一）内设机构设置</w:t>
      </w:r>
    </w:p>
    <w:p>
      <w:pPr>
        <w:pStyle w:val="5"/>
        <w:shd w:val="clear" w:color="auto" w:fill="FFFFFF"/>
        <w:spacing w:before="0" w:beforeAutospacing="0" w:after="0" w:afterAutospacing="0" w:line="640" w:lineRule="exact"/>
        <w:ind w:firstLine="600" w:firstLineChars="200"/>
        <w:jc w:val="both"/>
        <w:rPr>
          <w:rFonts w:hint="default" w:ascii="仿宋" w:hAnsi="仿宋" w:eastAsia="仿宋" w:cs="仿宋"/>
          <w:sz w:val="32"/>
          <w:szCs w:val="32"/>
        </w:rPr>
      </w:pPr>
      <w:r>
        <w:rPr>
          <w:rFonts w:ascii="仿宋" w:hAnsi="仿宋" w:eastAsia="仿宋" w:cs="仿宋"/>
          <w:sz w:val="30"/>
          <w:szCs w:val="30"/>
        </w:rPr>
        <w:t>根据上述职能，我</w:t>
      </w:r>
      <w:r>
        <w:rPr>
          <w:rFonts w:ascii="仿宋" w:hAnsi="仿宋" w:eastAsia="仿宋" w:cs="仿宋"/>
          <w:sz w:val="32"/>
          <w:szCs w:val="32"/>
        </w:rPr>
        <w:t>部内设机构4个：办公室、干部室（民主党派工作室）、民族宗教和侨务工作室、非公有制经济工作室；另设一个非独立核算二级机构：衡南县党外知识分子工作办公室。</w:t>
      </w:r>
    </w:p>
    <w:p>
      <w:pPr>
        <w:autoSpaceDE w:val="0"/>
        <w:snapToGrid w:val="0"/>
        <w:spacing w:line="640" w:lineRule="exact"/>
        <w:ind w:firstLine="600" w:firstLineChars="200"/>
        <w:rPr>
          <w:rFonts w:ascii="仿宋" w:hAnsi="仿宋" w:eastAsia="仿宋" w:cs="仿宋"/>
          <w:sz w:val="30"/>
          <w:szCs w:val="30"/>
        </w:rPr>
      </w:pPr>
      <w:r>
        <w:rPr>
          <w:rFonts w:hint="eastAsia" w:ascii="仿宋" w:hAnsi="仿宋" w:eastAsia="仿宋" w:cs="仿宋"/>
          <w:sz w:val="30"/>
          <w:szCs w:val="30"/>
        </w:rPr>
        <w:t>（二）决算单位构成</w:t>
      </w:r>
    </w:p>
    <w:p>
      <w:pPr>
        <w:spacing w:line="640" w:lineRule="exact"/>
        <w:ind w:firstLine="616" w:firstLineChars="200"/>
        <w:rPr>
          <w:rFonts w:ascii="仿宋" w:hAnsi="仿宋" w:eastAsia="仿宋" w:cs="仿宋"/>
          <w:spacing w:val="-6"/>
          <w:sz w:val="32"/>
          <w:szCs w:val="32"/>
        </w:rPr>
      </w:pPr>
      <w:r>
        <w:rPr>
          <w:rFonts w:hint="eastAsia" w:ascii="仿宋" w:hAnsi="仿宋" w:eastAsia="仿宋" w:cs="仿宋"/>
          <w:spacing w:val="-6"/>
          <w:sz w:val="32"/>
          <w:szCs w:val="32"/>
        </w:rPr>
        <w:t>2019年部门决算汇总公开单位构成包括：县委统战部本级（含县党外知识分子工作办公室）</w:t>
      </w: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widowControl/>
        <w:spacing w:line="600" w:lineRule="exact"/>
        <w:rPr>
          <w:rFonts w:ascii="仿宋" w:hAnsi="仿宋" w:eastAsia="仿宋" w:cs="仿宋"/>
          <w:kern w:val="0"/>
          <w:sz w:val="40"/>
          <w:szCs w:val="40"/>
        </w:rPr>
      </w:pPr>
    </w:p>
    <w:p>
      <w:pPr>
        <w:widowControl/>
        <w:spacing w:line="600" w:lineRule="exact"/>
        <w:rPr>
          <w:rFonts w:ascii="仿宋" w:hAnsi="仿宋" w:eastAsia="仿宋" w:cs="仿宋"/>
          <w:kern w:val="0"/>
          <w:sz w:val="40"/>
          <w:szCs w:val="40"/>
        </w:rPr>
      </w:pPr>
    </w:p>
    <w:p>
      <w:pPr>
        <w:widowControl/>
        <w:spacing w:line="600" w:lineRule="exact"/>
        <w:rPr>
          <w:rFonts w:ascii="仿宋" w:hAnsi="仿宋" w:eastAsia="仿宋" w:cs="仿宋"/>
          <w:kern w:val="0"/>
          <w:sz w:val="40"/>
          <w:szCs w:val="40"/>
        </w:rPr>
      </w:pPr>
    </w:p>
    <w:p>
      <w:pPr>
        <w:widowControl/>
        <w:spacing w:line="600" w:lineRule="exact"/>
        <w:rPr>
          <w:rFonts w:ascii="仿宋" w:hAnsi="仿宋" w:eastAsia="仿宋" w:cs="仿宋"/>
          <w:kern w:val="0"/>
          <w:sz w:val="40"/>
          <w:szCs w:val="40"/>
        </w:rPr>
      </w:pPr>
    </w:p>
    <w:p>
      <w:pPr>
        <w:widowControl/>
        <w:spacing w:line="600" w:lineRule="exact"/>
        <w:rPr>
          <w:rFonts w:ascii="仿宋" w:hAnsi="仿宋" w:eastAsia="仿宋" w:cs="仿宋"/>
          <w:kern w:val="0"/>
          <w:sz w:val="40"/>
          <w:szCs w:val="40"/>
        </w:rPr>
      </w:pPr>
    </w:p>
    <w:p>
      <w:pPr>
        <w:widowControl/>
        <w:spacing w:line="600" w:lineRule="exact"/>
        <w:rPr>
          <w:rFonts w:ascii="仿宋" w:hAnsi="仿宋" w:eastAsia="仿宋" w:cs="仿宋"/>
          <w:kern w:val="0"/>
          <w:sz w:val="40"/>
          <w:szCs w:val="40"/>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b/>
          <w:sz w:val="66"/>
          <w:szCs w:val="66"/>
        </w:rPr>
      </w:pPr>
      <w:r>
        <w:rPr>
          <w:rFonts w:hint="eastAsia" w:ascii="仿宋" w:hAnsi="仿宋" w:eastAsia="仿宋" w:cs="仿宋"/>
          <w:b/>
          <w:sz w:val="66"/>
          <w:szCs w:val="66"/>
        </w:rPr>
        <w:t>2020年度部门决算表</w:t>
      </w:r>
    </w:p>
    <w:p>
      <w:pPr>
        <w:jc w:val="center"/>
        <w:rPr>
          <w:rFonts w:ascii="仿宋" w:hAnsi="仿宋" w:eastAsia="仿宋" w:cs="仿宋"/>
          <w:b/>
          <w:sz w:val="66"/>
          <w:szCs w:val="66"/>
        </w:rPr>
      </w:pPr>
    </w:p>
    <w:p>
      <w:pPr>
        <w:jc w:val="center"/>
        <w:rPr>
          <w:rFonts w:ascii="仿宋" w:hAnsi="仿宋" w:eastAsia="仿宋" w:cs="仿宋"/>
          <w:b/>
          <w:sz w:val="66"/>
          <w:szCs w:val="66"/>
        </w:rPr>
      </w:pPr>
    </w:p>
    <w:p>
      <w:pPr>
        <w:jc w:val="center"/>
        <w:rPr>
          <w:rFonts w:ascii="仿宋" w:hAnsi="仿宋" w:eastAsia="仿宋" w:cs="仿宋"/>
          <w:b/>
          <w:sz w:val="66"/>
          <w:szCs w:val="66"/>
        </w:rPr>
      </w:pPr>
      <w:r>
        <w:rPr>
          <w:rFonts w:hint="eastAsia" w:ascii="仿宋" w:hAnsi="仿宋" w:eastAsia="仿宋" w:cs="仿宋"/>
          <w:b/>
          <w:sz w:val="66"/>
          <w:szCs w:val="66"/>
        </w:rPr>
        <w:t>(部门决算公示表附后)</w:t>
      </w:r>
    </w:p>
    <w:p>
      <w:pPr>
        <w:widowControl/>
        <w:rPr>
          <w:rFonts w:ascii="仿宋" w:hAnsi="仿宋" w:eastAsia="仿宋" w:cs="仿宋"/>
          <w:b/>
          <w:sz w:val="36"/>
          <w:szCs w:val="36"/>
        </w:rPr>
      </w:pPr>
      <w:r>
        <w:rPr>
          <w:rFonts w:hint="eastAsia" w:ascii="仿宋" w:hAnsi="仿宋" w:eastAsia="仿宋" w:cs="仿宋"/>
          <w:b/>
          <w:sz w:val="36"/>
          <w:szCs w:val="36"/>
        </w:rPr>
        <w:br w:type="page"/>
      </w:r>
    </w:p>
    <w:p>
      <w:pPr>
        <w:jc w:val="center"/>
        <w:rPr>
          <w:rFonts w:ascii="仿宋" w:hAnsi="仿宋" w:eastAsia="仿宋" w:cs="仿宋"/>
          <w:b/>
          <w:sz w:val="66"/>
          <w:szCs w:val="66"/>
        </w:rPr>
      </w:pPr>
    </w:p>
    <w:p>
      <w:pPr>
        <w:jc w:val="center"/>
        <w:rPr>
          <w:rFonts w:ascii="仿宋" w:hAnsi="仿宋" w:eastAsia="仿宋" w:cs="仿宋"/>
          <w:b/>
          <w:sz w:val="66"/>
          <w:szCs w:val="66"/>
        </w:rPr>
      </w:pPr>
    </w:p>
    <w:p>
      <w:pPr>
        <w:jc w:val="center"/>
        <w:rPr>
          <w:rFonts w:ascii="仿宋" w:hAnsi="仿宋" w:eastAsia="仿宋" w:cs="仿宋"/>
          <w:b/>
          <w:sz w:val="66"/>
          <w:szCs w:val="66"/>
        </w:rPr>
      </w:pPr>
    </w:p>
    <w:p>
      <w:pPr>
        <w:jc w:val="center"/>
        <w:rPr>
          <w:rFonts w:ascii="仿宋" w:hAnsi="仿宋" w:eastAsia="仿宋" w:cs="仿宋"/>
          <w:b/>
          <w:sz w:val="66"/>
          <w:szCs w:val="66"/>
        </w:rPr>
      </w:pPr>
    </w:p>
    <w:p>
      <w:pPr>
        <w:jc w:val="center"/>
        <w:rPr>
          <w:rFonts w:ascii="仿宋" w:hAnsi="仿宋" w:eastAsia="仿宋" w:cs="仿宋"/>
          <w:b/>
          <w:sz w:val="66"/>
          <w:szCs w:val="66"/>
        </w:rPr>
      </w:pPr>
      <w:r>
        <w:rPr>
          <w:rFonts w:hint="eastAsia" w:ascii="仿宋" w:hAnsi="仿宋" w:eastAsia="仿宋" w:cs="仿宋"/>
          <w:b/>
          <w:sz w:val="66"/>
          <w:szCs w:val="66"/>
        </w:rPr>
        <w:t>第三部分</w:t>
      </w:r>
    </w:p>
    <w:p>
      <w:pPr>
        <w:jc w:val="center"/>
        <w:rPr>
          <w:rFonts w:ascii="仿宋" w:hAnsi="仿宋" w:eastAsia="仿宋" w:cs="仿宋"/>
          <w:b/>
          <w:sz w:val="66"/>
          <w:szCs w:val="66"/>
        </w:rPr>
      </w:pPr>
    </w:p>
    <w:p>
      <w:pPr>
        <w:jc w:val="center"/>
        <w:rPr>
          <w:rFonts w:ascii="仿宋" w:hAnsi="仿宋" w:eastAsia="仿宋" w:cs="仿宋"/>
          <w:b/>
          <w:sz w:val="66"/>
          <w:szCs w:val="66"/>
        </w:rPr>
      </w:pPr>
    </w:p>
    <w:p>
      <w:pPr>
        <w:jc w:val="center"/>
        <w:rPr>
          <w:rFonts w:ascii="仿宋" w:hAnsi="仿宋" w:eastAsia="仿宋" w:cs="仿宋"/>
          <w:b/>
          <w:sz w:val="66"/>
          <w:szCs w:val="66"/>
        </w:rPr>
      </w:pPr>
      <w:r>
        <w:rPr>
          <w:rFonts w:hint="eastAsia" w:ascii="仿宋" w:hAnsi="仿宋" w:eastAsia="仿宋" w:cs="仿宋"/>
          <w:b/>
          <w:sz w:val="66"/>
          <w:szCs w:val="66"/>
        </w:rPr>
        <w:t>2020年度部门决算情况说明</w:t>
      </w: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spacing w:line="640" w:lineRule="exact"/>
        <w:ind w:firstLine="6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一、收入支出决算总体情况说明</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2020年度收入总计285.88万元，较上年决算数增加44.07万元，增长18%，主要是因为上级单位及同级其他单位转入的结算资金。</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2020年度支出总计286.02万元，较上年决算数增加41.19万元，增长16.8%。主要是因为上级单位及同级其他单位转入的结算资金支出。</w:t>
      </w:r>
    </w:p>
    <w:p>
      <w:pPr>
        <w:spacing w:line="640" w:lineRule="exact"/>
        <w:ind w:firstLine="6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二、收入决算情况说明</w:t>
      </w:r>
    </w:p>
    <w:p>
      <w:pPr>
        <w:spacing w:line="640" w:lineRule="exact"/>
        <w:ind w:firstLine="600"/>
        <w:rPr>
          <w:rFonts w:ascii="仿宋" w:hAnsi="仿宋" w:eastAsia="仿宋" w:cs="仿宋"/>
          <w:kern w:val="0"/>
          <w:sz w:val="30"/>
          <w:szCs w:val="30"/>
        </w:rPr>
      </w:pPr>
      <w:r>
        <w:rPr>
          <w:rFonts w:hint="eastAsia" w:ascii="仿宋" w:hAnsi="仿宋" w:eastAsia="仿宋" w:cs="仿宋"/>
          <w:kern w:val="0"/>
          <w:sz w:val="30"/>
          <w:szCs w:val="30"/>
        </w:rPr>
        <w:t>2020年收入合计285.88万元，较上年决算数增加44.07万元，增长18%，本年收入决算全部为财政拨款收入285.88万元。</w:t>
      </w:r>
    </w:p>
    <w:p>
      <w:pPr>
        <w:spacing w:line="640" w:lineRule="exact"/>
        <w:ind w:firstLine="6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三、支出决算情况说明</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2020年支出合计286.02万元，较上年决算数增加41.19万元，增长16.8%。本年支出按支出性质和经济分类基本支出137.33万元，占总支出的48.01%，项目支出148.69万元，占总支出的51.99%。本年支出按功能分类各项构成及占比情况如下：</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（一）一般公共服务支出216.35万元，占本年总支出的75.64%。</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（二）社会保障和就业支出15.64万元，占本年总支出的5.46%。</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（三））卫生健康支出5.25万元，占本年支出合计的1.83%。</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（四）住房保障支出5.03万元，占本年支出合计的1.76%。</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（五）其他结算资金拨付支出43.75万元，占本年支出合计的15.31%。</w:t>
      </w:r>
    </w:p>
    <w:p>
      <w:pPr>
        <w:spacing w:line="640" w:lineRule="exact"/>
        <w:ind w:firstLine="6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四、财政拨款收入支出决算总体情况说明</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2020年度财政拨款收入、支出总计571.9万元。较上年决算数486.65万元增加85.25万元，增长17.52%。主要是因为上级单位及同级其他单位转入的结算资金支出所致。</w:t>
      </w:r>
    </w:p>
    <w:p>
      <w:pPr>
        <w:spacing w:line="640" w:lineRule="exact"/>
        <w:ind w:firstLine="6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五、一般公共预算财政拨款支出决算情况说明</w:t>
      </w:r>
    </w:p>
    <w:p>
      <w:pPr>
        <w:spacing w:line="640" w:lineRule="exact"/>
        <w:ind w:firstLine="602" w:firstLineChars="200"/>
        <w:rPr>
          <w:rFonts w:ascii="仿宋" w:hAnsi="仿宋" w:eastAsia="仿宋" w:cs="仿宋"/>
          <w:b/>
          <w:kern w:val="0"/>
          <w:sz w:val="30"/>
          <w:szCs w:val="30"/>
        </w:rPr>
      </w:pPr>
      <w:r>
        <w:rPr>
          <w:rFonts w:hint="eastAsia" w:ascii="仿宋" w:hAnsi="仿宋" w:eastAsia="仿宋" w:cs="仿宋"/>
          <w:b/>
          <w:kern w:val="0"/>
          <w:sz w:val="30"/>
          <w:szCs w:val="30"/>
        </w:rPr>
        <w:t>（一）财政拨款支出决算总体情况。</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2020年度财政拨款支出286.02万元，全部是财政拨款支出，较上年决算数244.83万元增加41.19万元，增长16.8%。主要是因为上级单位及同级其他单位转入的结算资金支出所致。</w:t>
      </w:r>
    </w:p>
    <w:p>
      <w:pPr>
        <w:spacing w:line="640" w:lineRule="exact"/>
        <w:ind w:firstLine="602" w:firstLineChars="200"/>
        <w:rPr>
          <w:rFonts w:ascii="仿宋" w:hAnsi="仿宋" w:eastAsia="仿宋" w:cs="仿宋"/>
          <w:b/>
          <w:kern w:val="0"/>
          <w:sz w:val="30"/>
          <w:szCs w:val="30"/>
        </w:rPr>
      </w:pPr>
      <w:r>
        <w:rPr>
          <w:rFonts w:hint="eastAsia" w:ascii="仿宋" w:hAnsi="仿宋" w:eastAsia="仿宋" w:cs="仿宋"/>
          <w:b/>
          <w:kern w:val="0"/>
          <w:sz w:val="30"/>
          <w:szCs w:val="30"/>
        </w:rPr>
        <w:t>（二）财政拨款支出决算结构情况。</w:t>
      </w:r>
    </w:p>
    <w:p>
      <w:pPr>
        <w:spacing w:line="640" w:lineRule="exact"/>
        <w:ind w:firstLine="645"/>
        <w:rPr>
          <w:rFonts w:ascii="仿宋" w:hAnsi="仿宋" w:eastAsia="仿宋" w:cs="仿宋"/>
          <w:kern w:val="0"/>
          <w:sz w:val="30"/>
          <w:szCs w:val="30"/>
        </w:rPr>
      </w:pPr>
      <w:r>
        <w:rPr>
          <w:rFonts w:hint="eastAsia" w:ascii="仿宋" w:hAnsi="仿宋" w:eastAsia="仿宋" w:cs="仿宋"/>
          <w:kern w:val="0"/>
          <w:sz w:val="30"/>
          <w:szCs w:val="30"/>
        </w:rPr>
        <w:t>2020年度财政拨款支出286.02万元，均为一般公共预算财政拨款支出，其中，基本支出137.33万元，占48.01%；项目支出148.69万元，占比51.99%。</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按功能分类各项构成及占比情况如下：</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（一）一般公共服务支出216.35万元，占财政拨款本年支出合计的75.64%。</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（二）社会保障和就业支出15.64万元，占本年总支出的5.46%。</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（三））卫生健康支出5.25万元，占本年支出合计的1.83%。</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（四）住房保障支出5.03万元，占本年支出合计的1.76%。</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（五）其他结算资金拨付支出43.75万元，占本年支出合计的15.31%。</w:t>
      </w:r>
    </w:p>
    <w:p>
      <w:pPr>
        <w:spacing w:line="640" w:lineRule="exact"/>
        <w:ind w:firstLine="600"/>
        <w:rPr>
          <w:rFonts w:ascii="仿宋" w:hAnsi="仿宋" w:eastAsia="仿宋" w:cs="仿宋"/>
          <w:b/>
          <w:kern w:val="0"/>
          <w:sz w:val="30"/>
          <w:szCs w:val="30"/>
        </w:rPr>
      </w:pPr>
      <w:r>
        <w:rPr>
          <w:rFonts w:hint="eastAsia" w:ascii="仿宋" w:hAnsi="仿宋" w:eastAsia="仿宋" w:cs="仿宋"/>
          <w:b/>
          <w:kern w:val="0"/>
          <w:sz w:val="30"/>
          <w:szCs w:val="30"/>
        </w:rPr>
        <w:t>（三）财政拨款支出决算具体情况。</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2020年度财政拨款支出年初预算为248.98万元，支出决算为286.02万元。预决算差额原因主要是：</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一是增加了上级财政及同级其他单位临时性转入的各项统战相关经费，全年增加拨入金额合计43.75万元；</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二是按照县财政经费预算缩减要求对原项目经费进行了核减预算10%左右。</w:t>
      </w:r>
    </w:p>
    <w:p>
      <w:pPr>
        <w:spacing w:line="640" w:lineRule="exact"/>
        <w:ind w:firstLine="6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六、一般公共预算财政拨款基本支出决算情况说明</w:t>
      </w:r>
    </w:p>
    <w:p>
      <w:pPr>
        <w:spacing w:line="640" w:lineRule="exact"/>
        <w:ind w:firstLine="600"/>
        <w:rPr>
          <w:rFonts w:ascii="仿宋" w:hAnsi="仿宋" w:eastAsia="仿宋" w:cs="仿宋"/>
          <w:kern w:val="0"/>
          <w:sz w:val="30"/>
          <w:szCs w:val="30"/>
        </w:rPr>
      </w:pPr>
      <w:r>
        <w:rPr>
          <w:rFonts w:hint="eastAsia" w:ascii="仿宋" w:hAnsi="仿宋" w:eastAsia="仿宋" w:cs="仿宋"/>
          <w:kern w:val="0"/>
          <w:sz w:val="30"/>
          <w:szCs w:val="30"/>
        </w:rPr>
        <w:t>2020年度一般公共预算财政拨款基本支出决算合计137.33万元，主要包括：基本工资、津贴补贴、奖金、职业年金缴费、其他社会保障缴费、其他工资福利支出、住房公积金、机关事业单位基本养老保险缴费；公用经费6.12万元，主要包括：办公费、会议费、培训费、公务接待费、劳务费、公务用车运行维护费。</w:t>
      </w:r>
    </w:p>
    <w:p>
      <w:pPr>
        <w:spacing w:line="640" w:lineRule="exact"/>
        <w:ind w:firstLine="6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七、一般公共预算财政拨款“三公”经费支出决算情况说明</w:t>
      </w:r>
    </w:p>
    <w:p>
      <w:pPr>
        <w:spacing w:line="640" w:lineRule="exact"/>
        <w:ind w:firstLine="602" w:firstLineChars="200"/>
        <w:rPr>
          <w:rFonts w:ascii="仿宋" w:hAnsi="仿宋" w:eastAsia="仿宋" w:cs="仿宋"/>
          <w:b/>
          <w:kern w:val="0"/>
          <w:sz w:val="30"/>
          <w:szCs w:val="30"/>
        </w:rPr>
      </w:pPr>
      <w:r>
        <w:rPr>
          <w:rFonts w:hint="eastAsia" w:ascii="仿宋" w:hAnsi="仿宋" w:eastAsia="仿宋" w:cs="仿宋"/>
          <w:b/>
          <w:kern w:val="0"/>
          <w:sz w:val="30"/>
          <w:szCs w:val="30"/>
        </w:rPr>
        <w:t>（一）“三公”经费财政拨款支出决算总体情况说明。</w:t>
      </w:r>
    </w:p>
    <w:p>
      <w:pPr>
        <w:spacing w:line="640" w:lineRule="exact"/>
        <w:ind w:firstLine="709"/>
        <w:rPr>
          <w:rFonts w:ascii="仿宋" w:hAnsi="仿宋" w:eastAsia="仿宋" w:cs="仿宋"/>
        </w:rPr>
      </w:pPr>
      <w:r>
        <w:rPr>
          <w:rFonts w:hint="eastAsia" w:ascii="仿宋" w:hAnsi="仿宋" w:eastAsia="仿宋" w:cs="仿宋"/>
          <w:kern w:val="0"/>
          <w:sz w:val="30"/>
          <w:szCs w:val="30"/>
        </w:rPr>
        <w:t>“三公”经费开支总额1.69万元，年初预算数1.7万元，预算执行率99.41%，与上年三公经费实际支出1.71万元相比，递减1.17%，略有减少。我部三公经费支出主要用于国内相关单位交流工作情况及接受相关部门检查指导工作与非公经济人士的工作交流活动开支，严格控制三公经费支出。</w:t>
      </w:r>
    </w:p>
    <w:p>
      <w:pPr>
        <w:autoSpaceDE w:val="0"/>
        <w:spacing w:line="640" w:lineRule="exact"/>
        <w:ind w:firstLine="709"/>
        <w:rPr>
          <w:rFonts w:ascii="仿宋" w:hAnsi="仿宋" w:eastAsia="仿宋" w:cs="仿宋"/>
          <w:kern w:val="0"/>
          <w:sz w:val="30"/>
          <w:szCs w:val="30"/>
        </w:rPr>
      </w:pPr>
      <w:r>
        <w:rPr>
          <w:rFonts w:hint="eastAsia" w:ascii="仿宋" w:hAnsi="仿宋" w:eastAsia="仿宋" w:cs="仿宋"/>
          <w:kern w:val="0"/>
          <w:sz w:val="30"/>
          <w:szCs w:val="30"/>
        </w:rPr>
        <w:t>因公出国（境）费年初预算数 0万元，决算数为0万元，完成预算度0%。</w:t>
      </w:r>
    </w:p>
    <w:p>
      <w:pPr>
        <w:autoSpaceDE w:val="0"/>
        <w:spacing w:line="640" w:lineRule="exact"/>
        <w:ind w:firstLine="709"/>
        <w:rPr>
          <w:rFonts w:ascii="仿宋" w:hAnsi="仿宋" w:eastAsia="仿宋" w:cs="仿宋"/>
          <w:sz w:val="30"/>
          <w:szCs w:val="30"/>
        </w:rPr>
      </w:pPr>
      <w:r>
        <w:rPr>
          <w:rFonts w:hint="eastAsia" w:ascii="仿宋" w:hAnsi="仿宋" w:eastAsia="仿宋" w:cs="仿宋"/>
          <w:sz w:val="30"/>
          <w:szCs w:val="30"/>
        </w:rPr>
        <w:t>公务接待费年初预算数为1.7万元，决算数为1.69万元，完成预算度99.41%。</w:t>
      </w:r>
    </w:p>
    <w:p>
      <w:pPr>
        <w:autoSpaceDE w:val="0"/>
        <w:spacing w:line="640" w:lineRule="exact"/>
        <w:ind w:firstLine="709"/>
        <w:rPr>
          <w:rFonts w:ascii="仿宋" w:hAnsi="仿宋" w:eastAsia="仿宋" w:cs="仿宋"/>
        </w:rPr>
      </w:pPr>
      <w:r>
        <w:rPr>
          <w:rFonts w:hint="eastAsia" w:ascii="仿宋" w:hAnsi="仿宋" w:eastAsia="仿宋" w:cs="仿宋"/>
          <w:sz w:val="30"/>
          <w:szCs w:val="30"/>
        </w:rPr>
        <w:t>公务用车购置及运行费年初预算数0万元，决算数为0万元，完成预算度0%。</w:t>
      </w:r>
    </w:p>
    <w:p>
      <w:pPr>
        <w:autoSpaceDE w:val="0"/>
        <w:spacing w:line="640" w:lineRule="exact"/>
        <w:ind w:firstLine="709"/>
        <w:rPr>
          <w:rFonts w:ascii="仿宋" w:hAnsi="仿宋" w:eastAsia="仿宋" w:cs="仿宋"/>
          <w:kern w:val="0"/>
          <w:sz w:val="30"/>
          <w:szCs w:val="30"/>
        </w:rPr>
      </w:pPr>
      <w:r>
        <w:rPr>
          <w:rFonts w:hint="eastAsia" w:ascii="仿宋" w:hAnsi="仿宋" w:eastAsia="仿宋" w:cs="仿宋"/>
          <w:b/>
          <w:kern w:val="0"/>
          <w:sz w:val="30"/>
          <w:szCs w:val="30"/>
        </w:rPr>
        <w:t>（二）“三公”经费财政拨款支出决算具体情况说明。</w:t>
      </w:r>
    </w:p>
    <w:p>
      <w:pPr>
        <w:spacing w:line="640" w:lineRule="exact"/>
        <w:ind w:firstLine="709"/>
        <w:rPr>
          <w:rFonts w:ascii="仿宋" w:hAnsi="仿宋" w:eastAsia="仿宋" w:cs="仿宋"/>
          <w:kern w:val="0"/>
          <w:sz w:val="30"/>
          <w:szCs w:val="30"/>
        </w:rPr>
      </w:pPr>
      <w:r>
        <w:rPr>
          <w:rFonts w:hint="eastAsia" w:ascii="仿宋" w:hAnsi="仿宋" w:eastAsia="仿宋" w:cs="仿宋"/>
          <w:kern w:val="0"/>
          <w:sz w:val="30"/>
          <w:szCs w:val="30"/>
        </w:rPr>
        <w:t>2020年度一般公共预算财政拨款“三公”经费决算支出1.69万元，公务接待费1.69万元，占比100%；公务用车购置及运行费0万元，占比0%；因公出国（境）费 0万元，占比为0%。具体情况如下：</w:t>
      </w:r>
    </w:p>
    <w:p>
      <w:pPr>
        <w:spacing w:line="640" w:lineRule="exact"/>
        <w:ind w:firstLine="709"/>
        <w:rPr>
          <w:rFonts w:ascii="仿宋" w:hAnsi="仿宋" w:eastAsia="仿宋" w:cs="仿宋"/>
          <w:kern w:val="0"/>
          <w:sz w:val="30"/>
          <w:szCs w:val="30"/>
        </w:rPr>
      </w:pPr>
      <w:r>
        <w:rPr>
          <w:rFonts w:hint="eastAsia" w:ascii="仿宋" w:hAnsi="仿宋" w:eastAsia="仿宋" w:cs="仿宋"/>
          <w:sz w:val="30"/>
          <w:szCs w:val="30"/>
        </w:rPr>
        <w:t>1.公务接待费1.69万元。</w:t>
      </w:r>
      <w:r>
        <w:rPr>
          <w:rFonts w:hint="eastAsia" w:ascii="仿宋" w:hAnsi="仿宋" w:eastAsia="仿宋" w:cs="仿宋"/>
          <w:kern w:val="0"/>
          <w:sz w:val="30"/>
          <w:szCs w:val="30"/>
        </w:rPr>
        <w:t>主要用于用于国内相关单位交流工作情况及接受相关部门检查指导工作与非公经济人士的工作交流活动开支。2020年共接待国内来访团组32批次、来宾120人次（不包括陪同人员）。</w:t>
      </w:r>
    </w:p>
    <w:p>
      <w:pPr>
        <w:spacing w:line="640" w:lineRule="exact"/>
        <w:ind w:firstLine="600"/>
        <w:rPr>
          <w:rFonts w:ascii="仿宋" w:hAnsi="仿宋" w:eastAsia="仿宋" w:cs="仿宋"/>
          <w:kern w:val="0"/>
          <w:sz w:val="30"/>
          <w:szCs w:val="30"/>
        </w:rPr>
      </w:pPr>
      <w:r>
        <w:rPr>
          <w:rFonts w:hint="eastAsia" w:ascii="仿宋" w:hAnsi="仿宋" w:eastAsia="仿宋" w:cs="仿宋"/>
          <w:sz w:val="30"/>
          <w:szCs w:val="30"/>
        </w:rPr>
        <w:t>2.公务用车购置及运行费0万元，其中公务用车购置费0万元，公务用车运行维护费0万元。截至2020年12月31日，本单位保有车辆0辆，新增车辆0辆。</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sz w:val="30"/>
          <w:szCs w:val="30"/>
        </w:rPr>
        <w:t>3.因公出国（境）费0万元。</w:t>
      </w:r>
      <w:r>
        <w:rPr>
          <w:rFonts w:hint="eastAsia" w:ascii="仿宋" w:hAnsi="仿宋" w:eastAsia="仿宋" w:cs="仿宋"/>
          <w:kern w:val="0"/>
          <w:sz w:val="30"/>
          <w:szCs w:val="30"/>
        </w:rPr>
        <w:t>年初无预算数，本年度没有发生因公出国（境）费用。</w:t>
      </w:r>
    </w:p>
    <w:p>
      <w:pPr>
        <w:spacing w:line="640" w:lineRule="exact"/>
        <w:ind w:firstLine="643" w:firstLineChars="2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八、政府性基金预算收入支出决算情况</w:t>
      </w:r>
    </w:p>
    <w:p>
      <w:pPr>
        <w:pStyle w:val="10"/>
        <w:spacing w:line="640" w:lineRule="exact"/>
        <w:ind w:firstLine="600" w:firstLineChars="200"/>
        <w:jc w:val="both"/>
        <w:rPr>
          <w:rFonts w:ascii="仿宋" w:hAnsi="仿宋" w:eastAsia="仿宋" w:cs="仿宋"/>
          <w:color w:val="auto"/>
          <w:sz w:val="30"/>
          <w:szCs w:val="30"/>
        </w:rPr>
      </w:pPr>
      <w:r>
        <w:rPr>
          <w:rFonts w:hint="eastAsia" w:ascii="仿宋" w:hAnsi="仿宋" w:eastAsia="仿宋" w:cs="仿宋"/>
          <w:color w:val="auto"/>
          <w:sz w:val="30"/>
          <w:szCs w:val="30"/>
        </w:rPr>
        <w:t>2020年度未发生政府性基金预算财政拨款收支。</w:t>
      </w:r>
    </w:p>
    <w:p>
      <w:pPr>
        <w:spacing w:line="640" w:lineRule="exact"/>
        <w:ind w:firstLine="643" w:firstLineChars="2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九、国有资本经营预算财政拨款支出决算情况</w:t>
      </w:r>
    </w:p>
    <w:p>
      <w:pPr>
        <w:pStyle w:val="10"/>
        <w:spacing w:line="640" w:lineRule="exact"/>
        <w:ind w:firstLine="600" w:firstLineChars="200"/>
        <w:jc w:val="both"/>
        <w:rPr>
          <w:rFonts w:ascii="仿宋" w:hAnsi="仿宋" w:eastAsia="仿宋" w:cs="仿宋"/>
          <w:color w:val="auto"/>
          <w:sz w:val="30"/>
          <w:szCs w:val="30"/>
        </w:rPr>
      </w:pPr>
      <w:r>
        <w:rPr>
          <w:rFonts w:hint="eastAsia" w:ascii="仿宋" w:hAnsi="仿宋" w:eastAsia="仿宋" w:cs="仿宋"/>
          <w:color w:val="auto"/>
          <w:sz w:val="30"/>
          <w:szCs w:val="30"/>
        </w:rPr>
        <w:t>本单位2020年没有国有资本经营预算财政拨款支出。</w:t>
      </w:r>
    </w:p>
    <w:p>
      <w:pPr>
        <w:spacing w:line="640" w:lineRule="exact"/>
        <w:ind w:firstLine="643" w:firstLineChars="20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十、机关运行经费执行情况</w:t>
      </w:r>
    </w:p>
    <w:p>
      <w:pPr>
        <w:spacing w:line="640" w:lineRule="exact"/>
        <w:ind w:firstLine="560" w:firstLineChars="200"/>
        <w:rPr>
          <w:rFonts w:ascii="仿宋" w:hAnsi="仿宋" w:eastAsia="仿宋" w:cs="仿宋"/>
          <w:sz w:val="28"/>
          <w:szCs w:val="28"/>
        </w:rPr>
      </w:pPr>
      <w:r>
        <w:rPr>
          <w:rFonts w:hint="eastAsia" w:ascii="仿宋" w:hAnsi="仿宋" w:eastAsia="仿宋" w:cs="仿宋"/>
          <w:sz w:val="28"/>
          <w:szCs w:val="28"/>
        </w:rPr>
        <w:t>机关运行经费执行为6.12万元，比上年6.4万元减少0.38万元，递减4.37%。主要内容是用于政府日常支出，严格控制日常开支费用。</w:t>
      </w:r>
    </w:p>
    <w:p>
      <w:pPr>
        <w:widowControl/>
        <w:shd w:val="clear" w:color="auto" w:fill="FFFFFF"/>
        <w:spacing w:line="640" w:lineRule="exact"/>
        <w:ind w:left="640"/>
        <w:rPr>
          <w:rFonts w:ascii="仿宋" w:hAnsi="仿宋" w:eastAsia="仿宋" w:cs="仿宋"/>
          <w:b/>
          <w:bCs/>
          <w:color w:val="000000"/>
          <w:kern w:val="0"/>
          <w:sz w:val="32"/>
          <w:szCs w:val="32"/>
        </w:rPr>
      </w:pPr>
      <w:r>
        <w:rPr>
          <w:rFonts w:hint="eastAsia" w:ascii="仿宋" w:hAnsi="仿宋" w:eastAsia="仿宋" w:cs="仿宋"/>
          <w:b/>
          <w:bCs/>
          <w:color w:val="000000"/>
          <w:kern w:val="0"/>
          <w:sz w:val="32"/>
          <w:szCs w:val="32"/>
        </w:rPr>
        <w:t>十一、一般性支出情况</w:t>
      </w:r>
    </w:p>
    <w:p>
      <w:pPr>
        <w:widowControl/>
        <w:shd w:val="clear" w:color="auto" w:fill="FFFFFF"/>
        <w:spacing w:line="640" w:lineRule="exact"/>
        <w:ind w:firstLine="640"/>
        <w:rPr>
          <w:rFonts w:ascii="仿宋" w:hAnsi="仿宋" w:eastAsia="仿宋" w:cs="仿宋"/>
          <w:sz w:val="30"/>
          <w:szCs w:val="30"/>
        </w:rPr>
      </w:pPr>
      <w:r>
        <w:rPr>
          <w:rFonts w:hint="eastAsia" w:ascii="仿宋" w:hAnsi="仿宋" w:eastAsia="仿宋" w:cs="仿宋"/>
          <w:color w:val="000000"/>
          <w:kern w:val="0"/>
          <w:sz w:val="32"/>
          <w:szCs w:val="32"/>
        </w:rPr>
        <w:t>2020年本部门发生人员经费130.54万元，发生商品和服务支出6.12万元。其中大部分经费用于日常人员经费开支，由于单位严控支出，其它支出金额较少。</w:t>
      </w:r>
      <w:r>
        <w:rPr>
          <w:rFonts w:ascii="仿宋" w:hAnsi="仿宋" w:eastAsia="仿宋" w:cs="仿宋"/>
          <w:sz w:val="30"/>
          <w:szCs w:val="30"/>
        </w:rPr>
        <w:tab/>
      </w:r>
    </w:p>
    <w:p>
      <w:pPr>
        <w:spacing w:line="640" w:lineRule="exact"/>
        <w:ind w:firstLine="602" w:firstLineChars="200"/>
        <w:rPr>
          <w:rFonts w:ascii="仿宋" w:hAnsi="仿宋" w:eastAsia="仿宋" w:cs="仿宋"/>
          <w:b/>
          <w:kern w:val="0"/>
          <w:sz w:val="30"/>
          <w:szCs w:val="30"/>
        </w:rPr>
      </w:pPr>
      <w:r>
        <w:rPr>
          <w:rFonts w:hint="eastAsia" w:ascii="仿宋" w:hAnsi="仿宋" w:eastAsia="仿宋" w:cs="仿宋"/>
          <w:b/>
          <w:kern w:val="0"/>
          <w:sz w:val="30"/>
          <w:szCs w:val="30"/>
        </w:rPr>
        <w:t>十二、政府采购支出情况。</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本单位2020年度政府采购总支出1.65万元，均为政府采购货物支出。</w:t>
      </w:r>
    </w:p>
    <w:p>
      <w:pPr>
        <w:spacing w:line="640" w:lineRule="exact"/>
        <w:ind w:firstLine="602" w:firstLineChars="200"/>
        <w:rPr>
          <w:rFonts w:ascii="仿宋" w:hAnsi="仿宋" w:eastAsia="仿宋" w:cs="仿宋"/>
          <w:b/>
          <w:kern w:val="0"/>
          <w:sz w:val="30"/>
          <w:szCs w:val="30"/>
        </w:rPr>
      </w:pPr>
      <w:r>
        <w:rPr>
          <w:rFonts w:hint="eastAsia" w:ascii="仿宋" w:hAnsi="仿宋" w:eastAsia="仿宋" w:cs="仿宋"/>
          <w:b/>
          <w:kern w:val="0"/>
          <w:sz w:val="30"/>
          <w:szCs w:val="30"/>
        </w:rPr>
        <w:t>十三、国有资产占用情况。</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截至2020年12 月31 日，本单位固定资产账面价值46.44万元，全部为办公用通用设备及办公家俱等 ，单位价值50万元以上通用设备0台（套）；单位价值100万元以上专用设备0台（套）。</w:t>
      </w:r>
    </w:p>
    <w:p>
      <w:pPr>
        <w:spacing w:line="640" w:lineRule="exact"/>
        <w:ind w:firstLine="602" w:firstLineChars="200"/>
        <w:rPr>
          <w:rFonts w:ascii="仿宋" w:hAnsi="仿宋" w:eastAsia="仿宋" w:cs="仿宋"/>
          <w:b/>
          <w:kern w:val="0"/>
          <w:sz w:val="30"/>
          <w:szCs w:val="30"/>
        </w:rPr>
      </w:pPr>
      <w:r>
        <w:rPr>
          <w:rFonts w:hint="eastAsia" w:ascii="仿宋" w:hAnsi="仿宋" w:eastAsia="仿宋" w:cs="仿宋"/>
          <w:b/>
          <w:kern w:val="0"/>
          <w:sz w:val="30"/>
          <w:szCs w:val="30"/>
        </w:rPr>
        <w:t>十四、关于2020年度预算绩效情况说明</w:t>
      </w:r>
    </w:p>
    <w:p>
      <w:pPr>
        <w:spacing w:line="640" w:lineRule="exact"/>
        <w:ind w:firstLine="600" w:firstLineChars="200"/>
        <w:rPr>
          <w:rFonts w:ascii="仿宋" w:hAnsi="仿宋" w:eastAsia="仿宋" w:cs="仿宋"/>
          <w:kern w:val="0"/>
          <w:sz w:val="30"/>
          <w:szCs w:val="30"/>
        </w:rPr>
      </w:pPr>
      <w:r>
        <w:rPr>
          <w:rFonts w:hint="eastAsia" w:ascii="仿宋" w:hAnsi="仿宋" w:eastAsia="仿宋" w:cs="仿宋"/>
          <w:kern w:val="0"/>
          <w:sz w:val="30"/>
          <w:szCs w:val="30"/>
        </w:rPr>
        <w:t>为进一步规范财政资金管理、强化绩效和责任意识，切实提高财政资金使用效益，根据财政预算管理要求及县财政局的统一部署，我部对2020年度部门整体支出认真开展绩效自评，按财政要求及时报送了《县委统战部2020年度部门整体支出绩效评价报告》、《部门整体支出绩效自评考核评分表》等表格及佐证资料，并在县政府门户网站上进行了公开。</w:t>
      </w:r>
    </w:p>
    <w:p>
      <w:pPr>
        <w:spacing w:line="640" w:lineRule="exact"/>
        <w:ind w:firstLine="640"/>
        <w:rPr>
          <w:rFonts w:ascii="仿宋" w:hAnsi="仿宋" w:eastAsia="仿宋" w:cs="仿宋"/>
          <w:kern w:val="0"/>
          <w:sz w:val="30"/>
          <w:szCs w:val="30"/>
        </w:rPr>
      </w:pPr>
      <w:r>
        <w:rPr>
          <w:rFonts w:hint="eastAsia" w:ascii="仿宋" w:hAnsi="仿宋" w:eastAsia="仿宋" w:cs="仿宋"/>
          <w:kern w:val="0"/>
          <w:sz w:val="30"/>
          <w:szCs w:val="30"/>
        </w:rPr>
        <w:t>2020年，我部严格贯彻落实县委、县政府关于党政机关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得到了县委、县政府的充分肯定以及社会各界的普遍好评。</w:t>
      </w:r>
    </w:p>
    <w:p>
      <w:pPr>
        <w:spacing w:line="640" w:lineRule="exact"/>
        <w:ind w:firstLine="640"/>
        <w:rPr>
          <w:rFonts w:ascii="仿宋" w:hAnsi="仿宋" w:eastAsia="仿宋" w:cs="仿宋"/>
          <w:kern w:val="0"/>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sz w:val="66"/>
          <w:szCs w:val="66"/>
        </w:rPr>
      </w:pPr>
    </w:p>
    <w:p>
      <w:pPr>
        <w:jc w:val="center"/>
        <w:rPr>
          <w:rFonts w:ascii="仿宋" w:hAnsi="仿宋" w:eastAsia="仿宋" w:cs="仿宋"/>
          <w:b/>
          <w:sz w:val="66"/>
          <w:szCs w:val="66"/>
        </w:rPr>
      </w:pPr>
    </w:p>
    <w:p>
      <w:pPr>
        <w:jc w:val="center"/>
        <w:rPr>
          <w:rFonts w:ascii="仿宋" w:hAnsi="仿宋" w:eastAsia="仿宋" w:cs="仿宋"/>
          <w:b/>
          <w:sz w:val="66"/>
          <w:szCs w:val="66"/>
        </w:rPr>
      </w:pPr>
      <w:r>
        <w:rPr>
          <w:rFonts w:hint="eastAsia" w:ascii="仿宋" w:hAnsi="仿宋" w:eastAsia="仿宋" w:cs="仿宋"/>
          <w:b/>
          <w:sz w:val="66"/>
          <w:szCs w:val="66"/>
        </w:rPr>
        <w:t>第四部分</w:t>
      </w:r>
    </w:p>
    <w:p>
      <w:pPr>
        <w:jc w:val="center"/>
        <w:rPr>
          <w:rFonts w:ascii="仿宋" w:hAnsi="仿宋" w:eastAsia="仿宋" w:cs="仿宋"/>
          <w:b/>
          <w:sz w:val="66"/>
          <w:szCs w:val="66"/>
        </w:rPr>
      </w:pPr>
    </w:p>
    <w:p>
      <w:pPr>
        <w:jc w:val="center"/>
        <w:rPr>
          <w:rFonts w:ascii="仿宋" w:hAnsi="仿宋" w:eastAsia="仿宋" w:cs="仿宋"/>
          <w:b/>
          <w:sz w:val="66"/>
          <w:szCs w:val="66"/>
        </w:rPr>
      </w:pPr>
      <w:r>
        <w:rPr>
          <w:rFonts w:hint="eastAsia" w:ascii="仿宋" w:hAnsi="仿宋" w:eastAsia="仿宋" w:cs="仿宋"/>
          <w:b/>
          <w:sz w:val="66"/>
          <w:szCs w:val="66"/>
        </w:rPr>
        <w:t>名词解释</w:t>
      </w:r>
    </w:p>
    <w:p>
      <w:pPr>
        <w:spacing w:line="640" w:lineRule="exact"/>
        <w:jc w:val="center"/>
        <w:rPr>
          <w:rFonts w:ascii="仿宋" w:hAnsi="仿宋" w:eastAsia="仿宋" w:cs="仿宋"/>
          <w:sz w:val="36"/>
          <w:szCs w:val="36"/>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ind w:firstLine="600" w:firstLineChars="200"/>
        <w:rPr>
          <w:rFonts w:ascii="仿宋" w:hAnsi="仿宋" w:eastAsia="仿宋" w:cs="仿宋"/>
          <w:sz w:val="30"/>
          <w:szCs w:val="30"/>
        </w:rPr>
      </w:pPr>
    </w:p>
    <w:p>
      <w:pPr>
        <w:spacing w:line="640" w:lineRule="exact"/>
        <w:rPr>
          <w:rFonts w:ascii="仿宋" w:hAnsi="仿宋" w:eastAsia="仿宋" w:cs="仿宋"/>
          <w:sz w:val="30"/>
          <w:szCs w:val="30"/>
        </w:rPr>
      </w:pPr>
    </w:p>
    <w:p>
      <w:pPr>
        <w:widowControl/>
        <w:jc w:val="left"/>
        <w:rPr>
          <w:rFonts w:ascii="仿宋" w:hAnsi="仿宋" w:eastAsia="仿宋" w:cs="仿宋"/>
          <w:kern w:val="0"/>
          <w:sz w:val="30"/>
          <w:szCs w:val="30"/>
        </w:rPr>
      </w:pPr>
      <w:r>
        <w:rPr>
          <w:rFonts w:hint="eastAsia" w:ascii="仿宋" w:hAnsi="仿宋" w:eastAsia="仿宋" w:cs="仿宋"/>
          <w:kern w:val="0"/>
          <w:sz w:val="30"/>
          <w:szCs w:val="30"/>
        </w:rPr>
        <w:t>一、财政拨款收入：指财政部门核拨给单位的财政预算资金。</w:t>
      </w:r>
    </w:p>
    <w:p>
      <w:pPr>
        <w:widowControl/>
        <w:jc w:val="left"/>
        <w:rPr>
          <w:rFonts w:ascii="仿宋" w:hAnsi="仿宋" w:eastAsia="仿宋" w:cs="仿宋"/>
          <w:kern w:val="0"/>
          <w:sz w:val="30"/>
          <w:szCs w:val="30"/>
        </w:rPr>
      </w:pPr>
      <w:r>
        <w:rPr>
          <w:rFonts w:hint="eastAsia" w:ascii="仿宋" w:hAnsi="仿宋" w:eastAsia="仿宋" w:cs="仿宋"/>
          <w:kern w:val="0"/>
          <w:sz w:val="30"/>
          <w:szCs w:val="30"/>
        </w:rPr>
        <w:t>二、事业收入：指事业单位开展专业业务活动及辅助活动所取得的收入。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三、附属单位上缴收入：指事业单位附属独立核算单位按有关规定上缴的收入。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四、其他收入：指单位取得的除上述“财政拨款收入”、“事业收入”、“附属单位上缴收入”等以外的收入。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五、年初结转和结余：指以前年度尚未完成、结转到本年仍按有关规定继续使用的资金。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七、结余分配：指事业单位按规定提取的职工福利基金、事业基金和缴纳的所得税，以及建设单位按规定应交回的基本建设竣工项目结余资金。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八、年末结转和结余：指本年度或以前年度预算安排、因客观条件发生变化无法按原计划实施，需延迟到以后年度按有关规定继续使用的资金。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九、基本支出：指为保障机构正常运转、完成日常工作任务而发生的人员支出和公用支出。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十、项目支出：指在基本支出之外，为完成特定行政任务和事业发展目标所发生的支出。 </w:t>
      </w:r>
    </w:p>
    <w:p>
      <w:pPr>
        <w:pStyle w:val="5"/>
        <w:shd w:val="clear" w:color="auto" w:fill="FFFFFF"/>
        <w:spacing w:before="0" w:beforeAutospacing="0" w:after="0" w:afterAutospacing="0"/>
        <w:rPr>
          <w:rFonts w:hint="default" w:ascii="仿宋" w:hAnsi="仿宋" w:eastAsia="仿宋" w:cs="仿宋"/>
          <w:sz w:val="30"/>
          <w:szCs w:val="30"/>
        </w:rPr>
      </w:pPr>
      <w:r>
        <w:rPr>
          <w:rFonts w:ascii="仿宋" w:hAnsi="仿宋" w:eastAsia="仿宋" w:cs="仿宋"/>
          <w:sz w:val="30"/>
          <w:szCs w:val="30"/>
        </w:rPr>
        <w:t>十一、“三公”经费：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spacing w:line="640" w:lineRule="exact"/>
        <w:rPr>
          <w:rFonts w:ascii="仿宋" w:hAnsi="仿宋" w:eastAsia="仿宋" w:cs="仿宋"/>
          <w:kern w:val="0"/>
          <w:sz w:val="30"/>
          <w:szCs w:val="30"/>
        </w:rPr>
      </w:pPr>
      <w:r>
        <w:rPr>
          <w:rFonts w:hint="eastAsia" w:ascii="仿宋" w:hAnsi="仿宋" w:eastAsia="仿宋" w:cs="仿宋"/>
          <w:kern w:val="0"/>
          <w:sz w:val="30"/>
          <w:szCs w:val="30"/>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40" w:lineRule="exact"/>
        <w:rPr>
          <w:rFonts w:ascii="仿宋" w:hAnsi="仿宋" w:eastAsia="仿宋" w:cs="仿宋"/>
          <w:kern w:val="0"/>
          <w:sz w:val="30"/>
          <w:szCs w:val="30"/>
        </w:rPr>
      </w:pPr>
    </w:p>
    <w:p>
      <w:pPr>
        <w:spacing w:line="640" w:lineRule="exact"/>
        <w:rPr>
          <w:rFonts w:ascii="仿宋" w:hAnsi="仿宋" w:eastAsia="仿宋" w:cs="仿宋"/>
          <w:kern w:val="0"/>
          <w:sz w:val="30"/>
          <w:szCs w:val="30"/>
        </w:rPr>
      </w:pPr>
    </w:p>
    <w:p>
      <w:pPr>
        <w:spacing w:line="640" w:lineRule="exact"/>
        <w:rPr>
          <w:rFonts w:ascii="仿宋" w:hAnsi="仿宋" w:eastAsia="仿宋" w:cs="仿宋"/>
          <w:kern w:val="0"/>
          <w:sz w:val="30"/>
          <w:szCs w:val="30"/>
        </w:rPr>
      </w:pPr>
    </w:p>
    <w:p>
      <w:pPr>
        <w:spacing w:line="640" w:lineRule="exact"/>
        <w:rPr>
          <w:rFonts w:ascii="仿宋" w:hAnsi="仿宋" w:eastAsia="仿宋" w:cs="仿宋"/>
          <w:kern w:val="0"/>
          <w:sz w:val="30"/>
          <w:szCs w:val="30"/>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pStyle w:val="8"/>
        <w:spacing w:before="0" w:beforeAutospacing="0" w:line="640" w:lineRule="exact"/>
        <w:jc w:val="center"/>
        <w:rPr>
          <w:rFonts w:hint="default" w:ascii="仿宋" w:hAnsi="仿宋" w:eastAsia="仿宋" w:cs="仿宋"/>
          <w:b/>
          <w:bCs/>
          <w:sz w:val="36"/>
          <w:szCs w:val="36"/>
          <w:shd w:val="clear" w:color="auto" w:fill="FFFFFF"/>
        </w:rPr>
      </w:pPr>
    </w:p>
    <w:p>
      <w:pPr>
        <w:jc w:val="center"/>
        <w:rPr>
          <w:rFonts w:ascii="仿宋" w:hAnsi="仿宋" w:eastAsia="仿宋" w:cs="仿宋"/>
          <w:b/>
          <w:sz w:val="66"/>
          <w:szCs w:val="66"/>
        </w:rPr>
      </w:pPr>
      <w:r>
        <w:rPr>
          <w:rFonts w:hint="eastAsia" w:ascii="仿宋" w:hAnsi="仿宋" w:eastAsia="仿宋" w:cs="仿宋"/>
          <w:b/>
          <w:sz w:val="66"/>
          <w:szCs w:val="66"/>
        </w:rPr>
        <w:t>第五部分</w:t>
      </w:r>
    </w:p>
    <w:p>
      <w:pPr>
        <w:jc w:val="center"/>
        <w:rPr>
          <w:rFonts w:ascii="仿宋" w:hAnsi="仿宋" w:eastAsia="仿宋" w:cs="仿宋"/>
          <w:b/>
          <w:sz w:val="66"/>
          <w:szCs w:val="66"/>
        </w:rPr>
      </w:pPr>
    </w:p>
    <w:p>
      <w:pPr>
        <w:jc w:val="center"/>
        <w:rPr>
          <w:rFonts w:ascii="仿宋" w:hAnsi="仿宋" w:eastAsia="仿宋" w:cs="仿宋"/>
          <w:b/>
          <w:sz w:val="66"/>
          <w:szCs w:val="66"/>
        </w:rPr>
      </w:pPr>
      <w:r>
        <w:rPr>
          <w:rFonts w:hint="eastAsia" w:ascii="仿宋" w:hAnsi="仿宋" w:eastAsia="仿宋" w:cs="仿宋"/>
          <w:b/>
          <w:sz w:val="66"/>
          <w:szCs w:val="66"/>
        </w:rPr>
        <w:t>附件</w:t>
      </w:r>
    </w:p>
    <w:p>
      <w:pPr>
        <w:spacing w:line="640" w:lineRule="exact"/>
        <w:jc w:val="center"/>
        <w:rPr>
          <w:rFonts w:ascii="仿宋" w:hAnsi="仿宋" w:eastAsia="仿宋" w:cs="仿宋"/>
          <w:b/>
          <w:bCs/>
          <w:sz w:val="34"/>
          <w:szCs w:val="34"/>
        </w:rPr>
      </w:pPr>
    </w:p>
    <w:p>
      <w:pPr>
        <w:spacing w:line="640" w:lineRule="exact"/>
        <w:jc w:val="center"/>
        <w:rPr>
          <w:rFonts w:ascii="仿宋" w:hAnsi="仿宋" w:eastAsia="仿宋" w:cs="仿宋"/>
          <w:b/>
          <w:bCs/>
          <w:sz w:val="38"/>
          <w:szCs w:val="38"/>
        </w:rPr>
      </w:pPr>
    </w:p>
    <w:p>
      <w:pPr>
        <w:widowControl/>
        <w:spacing w:line="640" w:lineRule="exact"/>
        <w:rPr>
          <w:rFonts w:ascii="仿宋" w:hAnsi="仿宋" w:eastAsia="仿宋" w:cs="仿宋"/>
          <w:b/>
          <w:bCs/>
          <w:sz w:val="30"/>
          <w:szCs w:val="30"/>
        </w:rPr>
      </w:pPr>
      <w:r>
        <w:rPr>
          <w:rFonts w:hint="eastAsia" w:ascii="仿宋" w:hAnsi="仿宋" w:eastAsia="仿宋" w:cs="仿宋"/>
          <w:b/>
          <w:bCs/>
          <w:sz w:val="30"/>
          <w:szCs w:val="30"/>
        </w:rPr>
        <w:br w:type="page"/>
      </w:r>
    </w:p>
    <w:p>
      <w:pPr>
        <w:spacing w:line="640" w:lineRule="exact"/>
        <w:ind w:firstLine="440" w:firstLineChars="100"/>
        <w:rPr>
          <w:rFonts w:ascii="仿宋" w:hAnsi="仿宋" w:eastAsia="仿宋" w:cs="仿宋"/>
          <w:sz w:val="44"/>
          <w:szCs w:val="44"/>
        </w:rPr>
      </w:pPr>
    </w:p>
    <w:p>
      <w:pPr>
        <w:spacing w:line="620" w:lineRule="exact"/>
        <w:ind w:firstLine="440" w:firstLineChars="100"/>
        <w:jc w:val="center"/>
        <w:rPr>
          <w:rFonts w:ascii="仿宋" w:hAnsi="仿宋" w:eastAsia="仿宋" w:cs="仿宋"/>
          <w:sz w:val="44"/>
          <w:szCs w:val="44"/>
        </w:rPr>
      </w:pPr>
      <w:r>
        <w:rPr>
          <w:rFonts w:hint="eastAsia" w:ascii="仿宋" w:hAnsi="仿宋" w:eastAsia="仿宋" w:cs="仿宋"/>
          <w:sz w:val="44"/>
          <w:szCs w:val="44"/>
        </w:rPr>
        <w:t>衡南县委统战部2020年整体支出绩效评价报告</w:t>
      </w:r>
    </w:p>
    <w:p>
      <w:pPr>
        <w:adjustRightInd w:val="0"/>
        <w:spacing w:line="620" w:lineRule="exact"/>
        <w:ind w:left="420" w:leftChars="200" w:firstLine="632" w:firstLineChars="200"/>
        <w:rPr>
          <w:rFonts w:ascii="仿宋" w:hAnsi="仿宋" w:eastAsia="仿宋" w:cs="仿宋"/>
          <w:spacing w:val="-2"/>
          <w:sz w:val="32"/>
          <w:szCs w:val="32"/>
        </w:rPr>
      </w:pPr>
      <w:r>
        <w:rPr>
          <w:rFonts w:hint="eastAsia" w:ascii="仿宋" w:hAnsi="仿宋" w:eastAsia="仿宋" w:cs="仿宋"/>
          <w:spacing w:val="-2"/>
          <w:sz w:val="32"/>
          <w:szCs w:val="32"/>
        </w:rPr>
        <w:t>为加强财政预算资金管理，进一步规范预算资金使用，提高财政资金使用效益，根据《衡南县财政局关于开展2020年度县级财政资金绩效自评工作的通知》要求，我部对2020年度本单位整体支出进行了绩效自评，现将具体绩效评价情况报告如下：</w:t>
      </w:r>
    </w:p>
    <w:p>
      <w:pPr>
        <w:adjustRightInd w:val="0"/>
        <w:spacing w:line="620" w:lineRule="exact"/>
        <w:ind w:left="420" w:leftChars="200" w:firstLine="715" w:firstLineChars="200"/>
        <w:rPr>
          <w:rFonts w:ascii="仿宋" w:hAnsi="仿宋" w:eastAsia="仿宋" w:cs="仿宋"/>
          <w:b/>
          <w:bCs/>
          <w:sz w:val="36"/>
          <w:szCs w:val="36"/>
        </w:rPr>
      </w:pPr>
      <w:r>
        <w:rPr>
          <w:rFonts w:hint="eastAsia" w:ascii="仿宋" w:hAnsi="仿宋" w:eastAsia="仿宋" w:cs="仿宋"/>
          <w:b/>
          <w:bCs/>
          <w:spacing w:val="-2"/>
          <w:sz w:val="36"/>
          <w:szCs w:val="36"/>
        </w:rPr>
        <w:t>一、</w:t>
      </w:r>
      <w:r>
        <w:rPr>
          <w:rFonts w:hint="eastAsia" w:ascii="仿宋" w:hAnsi="仿宋" w:eastAsia="仿宋" w:cs="仿宋"/>
          <w:b/>
          <w:bCs/>
          <w:sz w:val="36"/>
          <w:szCs w:val="36"/>
        </w:rPr>
        <w:t>基本情况</w:t>
      </w:r>
    </w:p>
    <w:p>
      <w:pPr>
        <w:adjustRightInd w:val="0"/>
        <w:spacing w:line="620" w:lineRule="exact"/>
        <w:ind w:left="420" w:leftChars="200"/>
        <w:rPr>
          <w:rFonts w:ascii="仿宋" w:hAnsi="仿宋" w:eastAsia="仿宋" w:cs="仿宋"/>
          <w:sz w:val="32"/>
          <w:szCs w:val="32"/>
        </w:rPr>
      </w:pPr>
      <w:r>
        <w:rPr>
          <w:rFonts w:hint="eastAsia" w:ascii="仿宋" w:hAnsi="仿宋" w:eastAsia="仿宋" w:cs="仿宋"/>
          <w:sz w:val="32"/>
          <w:szCs w:val="32"/>
        </w:rPr>
        <w:t>衡南县委统战部为全额财政拨款单位，纳入国库集中支付体系，财务制度执行《政府会计制度》。</w:t>
      </w:r>
    </w:p>
    <w:p>
      <w:pPr>
        <w:adjustRightInd w:val="0"/>
        <w:spacing w:line="620" w:lineRule="exact"/>
        <w:ind w:left="420" w:leftChars="200" w:firstLine="643" w:firstLineChars="200"/>
        <w:rPr>
          <w:rFonts w:ascii="仿宋" w:hAnsi="仿宋" w:eastAsia="仿宋" w:cs="仿宋"/>
          <w:b/>
          <w:bCs/>
          <w:sz w:val="32"/>
          <w:szCs w:val="32"/>
        </w:rPr>
      </w:pPr>
      <w:r>
        <w:rPr>
          <w:rFonts w:hint="eastAsia" w:ascii="仿宋" w:hAnsi="仿宋" w:eastAsia="仿宋" w:cs="仿宋"/>
          <w:b/>
          <w:bCs/>
          <w:sz w:val="32"/>
          <w:szCs w:val="32"/>
        </w:rPr>
        <w:t>（一）机构设置情况</w:t>
      </w:r>
    </w:p>
    <w:p>
      <w:pPr>
        <w:adjustRightInd w:val="0"/>
        <w:spacing w:line="620" w:lineRule="exact"/>
        <w:ind w:left="420" w:leftChars="200"/>
        <w:rPr>
          <w:rFonts w:ascii="仿宋" w:hAnsi="仿宋" w:eastAsia="仿宋" w:cs="仿宋"/>
          <w:sz w:val="32"/>
          <w:szCs w:val="32"/>
        </w:rPr>
      </w:pPr>
      <w:r>
        <w:rPr>
          <w:rFonts w:hint="eastAsia" w:ascii="仿宋" w:hAnsi="仿宋" w:eastAsia="仿宋" w:cs="仿宋"/>
          <w:sz w:val="32"/>
          <w:szCs w:val="32"/>
        </w:rPr>
        <w:t>我部设办公室、非公经济工作室、民族宗教事务局等三个相关组室及非独立核算二级事业机构一个：衡南县党外知识分子工作办公室。截止2020年底全部实有人员共计15人，其中在职行政编7人，全额事业编8人（含工勤编2人）。</w:t>
      </w:r>
    </w:p>
    <w:p>
      <w:pPr>
        <w:adjustRightInd w:val="0"/>
        <w:spacing w:line="620" w:lineRule="exact"/>
        <w:ind w:left="420" w:leftChars="200" w:firstLine="640" w:firstLineChars="200"/>
        <w:rPr>
          <w:rFonts w:ascii="仿宋" w:hAnsi="仿宋" w:eastAsia="仿宋" w:cs="仿宋"/>
          <w:sz w:val="32"/>
          <w:szCs w:val="32"/>
        </w:rPr>
      </w:pPr>
      <w:r>
        <w:rPr>
          <w:rFonts w:hint="eastAsia" w:ascii="仿宋" w:hAnsi="仿宋" w:eastAsia="仿宋" w:cs="仿宋"/>
          <w:sz w:val="32"/>
          <w:szCs w:val="32"/>
        </w:rPr>
        <w:t>（二）主要工作职责</w:t>
      </w:r>
    </w:p>
    <w:p>
      <w:pPr>
        <w:adjustRightInd w:val="0"/>
        <w:spacing w:line="620" w:lineRule="exact"/>
        <w:ind w:left="420" w:leftChars="200" w:firstLine="640" w:firstLineChars="200"/>
        <w:rPr>
          <w:rFonts w:ascii="仿宋" w:hAnsi="仿宋" w:eastAsia="仿宋" w:cs="仿宋"/>
          <w:sz w:val="32"/>
          <w:szCs w:val="32"/>
        </w:rPr>
      </w:pPr>
      <w:r>
        <w:rPr>
          <w:rFonts w:hint="eastAsia" w:ascii="仿宋" w:hAnsi="仿宋" w:eastAsia="仿宋" w:cs="仿宋"/>
          <w:sz w:val="32"/>
          <w:szCs w:val="32"/>
        </w:rPr>
        <w:t>1、贯彻执行中央和省委、市委、县委有关方针、政策；调查研究统一战线理论和方针、政策，向县委反映统一战线情况，提出统战工作的意见和建议；检查统战政策执行情况，协调统一战线各方面的关系；2、负责联系各民主党派和无党派代表人士，通报情况，反映意见和建议；研究、贯彻落实与完善多党合作和政治协商制度以及对民主党派工作的有关方针、政策；落实中央和省委、市委、县委关于发挥民主党派和无党派代表人士参政议政和民主监督作用的工作；为县委与县各民主党派进行政治协商做好组织联络工作；受县委委托，向民主党派、无党派人士通报县委精神；支持、帮助县各民主党派加强自身建设，选拔培养新一代代表人物；协助有关部门帮助县各民主党派改善工作条件。3、负责各民主党派组织、党外人士的政治安排；会同有关部门做好培养、考察、选拔、推荐、安排民主党派党外人士担任政府及其部门和司法机关领导职务的工作；协同做好民主党派、无党派人士代表的培训工作；协助民主党派、工商联管理干部工作。4、调查研究并反映非公有制经济代表人士的情况，协调关系，提出政策建议；团结、帮助、引导、教育非公有制经济人士，开展思想政治工作。5、负责开展以祖国统一为重点的海外统战工作；联系香港、澳门、台湾和海外有关社团及代表人士；协调港澳台统战工作。6、指导乡镇、系统、科局党委统战工作；协调政府各有关部门的统战工作；指导和协调县委台办、县外事局、县工商联、县侨联事务等各项统战工作。7、承办县委和省、市委统战部交办的其他事项、工作。</w:t>
      </w:r>
    </w:p>
    <w:p>
      <w:pPr>
        <w:adjustRightInd w:val="0"/>
        <w:spacing w:line="620" w:lineRule="exact"/>
        <w:ind w:left="420" w:leftChars="200" w:firstLine="640" w:firstLineChars="200"/>
        <w:rPr>
          <w:rFonts w:ascii="仿宋" w:hAnsi="仿宋" w:eastAsia="仿宋" w:cs="仿宋"/>
          <w:sz w:val="32"/>
          <w:szCs w:val="32"/>
        </w:rPr>
      </w:pPr>
      <w:r>
        <w:rPr>
          <w:rFonts w:hint="eastAsia" w:ascii="仿宋" w:hAnsi="仿宋" w:eastAsia="仿宋" w:cs="仿宋"/>
          <w:sz w:val="32"/>
          <w:szCs w:val="32"/>
        </w:rPr>
        <w:t>二、部门整体支出管理及使用情况</w:t>
      </w:r>
    </w:p>
    <w:p>
      <w:pPr>
        <w:adjustRightInd w:val="0"/>
        <w:spacing w:line="620" w:lineRule="exact"/>
        <w:ind w:left="420" w:leftChars="200" w:firstLine="643" w:firstLineChars="200"/>
        <w:rPr>
          <w:rFonts w:ascii="仿宋" w:hAnsi="仿宋" w:eastAsia="仿宋" w:cs="仿宋"/>
          <w:b/>
          <w:sz w:val="32"/>
          <w:szCs w:val="32"/>
        </w:rPr>
      </w:pPr>
      <w:r>
        <w:rPr>
          <w:rFonts w:hint="eastAsia" w:ascii="仿宋" w:hAnsi="仿宋" w:eastAsia="仿宋" w:cs="仿宋"/>
          <w:b/>
          <w:sz w:val="32"/>
          <w:szCs w:val="32"/>
        </w:rPr>
        <w:t>（一）2020年部门预算情况</w:t>
      </w:r>
    </w:p>
    <w:p>
      <w:pPr>
        <w:adjustRightInd w:val="0"/>
        <w:spacing w:line="620" w:lineRule="exact"/>
        <w:ind w:left="420" w:leftChars="200"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经本级部门预算批复，2020年单位预算总收入2</w:t>
      </w:r>
      <w:r>
        <w:rPr>
          <w:rFonts w:hint="eastAsia" w:ascii="仿宋" w:hAnsi="仿宋" w:eastAsia="仿宋" w:cs="仿宋"/>
          <w:sz w:val="32"/>
          <w:szCs w:val="32"/>
        </w:rPr>
        <w:t>85.88</w:t>
      </w:r>
      <w:r>
        <w:rPr>
          <w:rFonts w:hint="eastAsia" w:ascii="仿宋" w:hAnsi="仿宋" w:eastAsia="仿宋" w:cs="仿宋"/>
          <w:color w:val="333333"/>
          <w:sz w:val="32"/>
          <w:szCs w:val="32"/>
        </w:rPr>
        <w:t>万元，其中：财政拨款</w:t>
      </w:r>
      <w:r>
        <w:rPr>
          <w:rFonts w:hint="eastAsia" w:ascii="仿宋" w:hAnsi="仿宋" w:eastAsia="仿宋" w:cs="仿宋"/>
          <w:sz w:val="32"/>
          <w:szCs w:val="32"/>
        </w:rPr>
        <w:t>285.88</w:t>
      </w:r>
      <w:r>
        <w:rPr>
          <w:rFonts w:hint="eastAsia" w:ascii="仿宋" w:hAnsi="仿宋" w:eastAsia="仿宋" w:cs="仿宋"/>
          <w:color w:val="333333"/>
          <w:sz w:val="32"/>
          <w:szCs w:val="32"/>
        </w:rPr>
        <w:t>万元。</w:t>
      </w:r>
    </w:p>
    <w:p>
      <w:pPr>
        <w:adjustRightInd w:val="0"/>
        <w:spacing w:line="620" w:lineRule="exact"/>
        <w:ind w:left="420" w:leftChars="200"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2020年单位预算总支出</w:t>
      </w:r>
      <w:r>
        <w:rPr>
          <w:rFonts w:hint="eastAsia" w:ascii="仿宋" w:hAnsi="仿宋" w:eastAsia="仿宋" w:cs="仿宋"/>
          <w:sz w:val="32"/>
          <w:szCs w:val="32"/>
        </w:rPr>
        <w:t>286.02</w:t>
      </w:r>
      <w:r>
        <w:rPr>
          <w:rFonts w:hint="eastAsia" w:ascii="仿宋" w:hAnsi="仿宋" w:eastAsia="仿宋" w:cs="仿宋"/>
          <w:color w:val="333333"/>
          <w:sz w:val="32"/>
          <w:szCs w:val="32"/>
        </w:rPr>
        <w:t>万元，其中：工资福利支出</w:t>
      </w:r>
      <w:r>
        <w:rPr>
          <w:rFonts w:hint="eastAsia" w:ascii="仿宋" w:hAnsi="仿宋" w:eastAsia="仿宋" w:cs="仿宋"/>
          <w:sz w:val="32"/>
          <w:szCs w:val="32"/>
        </w:rPr>
        <w:t>131.21</w:t>
      </w:r>
      <w:r>
        <w:rPr>
          <w:rFonts w:hint="eastAsia" w:ascii="仿宋" w:hAnsi="仿宋" w:eastAsia="仿宋" w:cs="仿宋"/>
          <w:color w:val="333333"/>
          <w:sz w:val="32"/>
          <w:szCs w:val="32"/>
        </w:rPr>
        <w:t>万元，日常公用经费支出</w:t>
      </w:r>
      <w:r>
        <w:rPr>
          <w:rFonts w:hint="eastAsia" w:ascii="仿宋" w:hAnsi="仿宋" w:eastAsia="仿宋" w:cs="仿宋"/>
          <w:sz w:val="32"/>
          <w:szCs w:val="32"/>
        </w:rPr>
        <w:t>6.12</w:t>
      </w:r>
      <w:r>
        <w:rPr>
          <w:rFonts w:hint="eastAsia" w:ascii="仿宋" w:hAnsi="仿宋" w:eastAsia="仿宋" w:cs="仿宋"/>
          <w:color w:val="333333"/>
          <w:sz w:val="32"/>
          <w:szCs w:val="32"/>
        </w:rPr>
        <w:t>万元，项目支出</w:t>
      </w:r>
      <w:r>
        <w:rPr>
          <w:rFonts w:hint="eastAsia" w:ascii="仿宋" w:hAnsi="仿宋" w:eastAsia="仿宋" w:cs="仿宋"/>
          <w:sz w:val="32"/>
          <w:szCs w:val="32"/>
        </w:rPr>
        <w:t>148.69</w:t>
      </w:r>
      <w:r>
        <w:rPr>
          <w:rFonts w:hint="eastAsia" w:ascii="仿宋" w:hAnsi="仿宋" w:eastAsia="仿宋" w:cs="仿宋"/>
          <w:color w:val="333333"/>
          <w:sz w:val="32"/>
          <w:szCs w:val="32"/>
        </w:rPr>
        <w:t>万元。</w:t>
      </w:r>
    </w:p>
    <w:p>
      <w:pPr>
        <w:adjustRightInd w:val="0"/>
        <w:spacing w:line="620" w:lineRule="exact"/>
        <w:ind w:left="420" w:leftChars="200" w:firstLine="643" w:firstLineChars="200"/>
        <w:rPr>
          <w:rFonts w:ascii="仿宋" w:hAnsi="仿宋" w:eastAsia="仿宋" w:cs="仿宋"/>
          <w:b/>
          <w:sz w:val="32"/>
          <w:szCs w:val="32"/>
        </w:rPr>
      </w:pPr>
      <w:r>
        <w:rPr>
          <w:rFonts w:hint="eastAsia" w:ascii="仿宋" w:hAnsi="仿宋" w:eastAsia="仿宋" w:cs="仿宋"/>
          <w:b/>
          <w:sz w:val="32"/>
          <w:szCs w:val="32"/>
        </w:rPr>
        <w:t>（二）2020年部门决算情况</w:t>
      </w:r>
    </w:p>
    <w:p>
      <w:pPr>
        <w:adjustRightInd w:val="0"/>
        <w:spacing w:line="620" w:lineRule="exact"/>
        <w:ind w:left="1058" w:leftChars="504"/>
        <w:rPr>
          <w:rFonts w:ascii="仿宋" w:hAnsi="仿宋" w:eastAsia="仿宋" w:cs="仿宋"/>
          <w:color w:val="333333"/>
          <w:sz w:val="32"/>
          <w:szCs w:val="32"/>
        </w:rPr>
      </w:pPr>
      <w:r>
        <w:rPr>
          <w:rFonts w:hint="eastAsia" w:ascii="仿宋" w:hAnsi="仿宋" w:eastAsia="仿宋" w:cs="仿宋"/>
          <w:color w:val="333333"/>
          <w:sz w:val="32"/>
          <w:szCs w:val="32"/>
        </w:rPr>
        <w:t>本年总收入</w:t>
      </w:r>
      <w:r>
        <w:rPr>
          <w:rFonts w:hint="eastAsia" w:ascii="仿宋" w:hAnsi="仿宋" w:eastAsia="仿宋" w:cs="仿宋"/>
          <w:sz w:val="32"/>
          <w:szCs w:val="32"/>
        </w:rPr>
        <w:t>285.88</w:t>
      </w:r>
      <w:r>
        <w:rPr>
          <w:rFonts w:hint="eastAsia" w:ascii="仿宋" w:hAnsi="仿宋" w:eastAsia="仿宋" w:cs="仿宋"/>
          <w:color w:val="333333"/>
          <w:sz w:val="32"/>
          <w:szCs w:val="32"/>
        </w:rPr>
        <w:t>万元，其中：财政</w:t>
      </w:r>
      <w:r>
        <w:rPr>
          <w:rFonts w:hint="eastAsia" w:ascii="仿宋" w:hAnsi="仿宋" w:eastAsia="仿宋" w:cs="仿宋"/>
          <w:color w:val="333333"/>
          <w:sz w:val="32"/>
          <w:szCs w:val="32"/>
          <w:lang w:val="en-US" w:eastAsia="zh-CN"/>
        </w:rPr>
        <w:t>拨</w:t>
      </w:r>
      <w:r>
        <w:rPr>
          <w:rFonts w:hint="eastAsia" w:ascii="仿宋" w:hAnsi="仿宋" w:eastAsia="仿宋" w:cs="仿宋"/>
          <w:color w:val="333333"/>
          <w:sz w:val="32"/>
          <w:szCs w:val="32"/>
        </w:rPr>
        <w:t>款收入</w:t>
      </w:r>
      <w:r>
        <w:rPr>
          <w:rFonts w:hint="eastAsia" w:ascii="仿宋" w:hAnsi="仿宋" w:eastAsia="仿宋" w:cs="仿宋"/>
          <w:sz w:val="32"/>
          <w:szCs w:val="32"/>
        </w:rPr>
        <w:t>285.62</w:t>
      </w:r>
      <w:r>
        <w:rPr>
          <w:rFonts w:hint="eastAsia" w:ascii="仿宋" w:hAnsi="仿宋" w:eastAsia="仿宋" w:cs="仿宋"/>
          <w:color w:val="333333"/>
          <w:sz w:val="32"/>
          <w:szCs w:val="32"/>
        </w:rPr>
        <w:t>万元，年初结转和结余 0.26万元。</w:t>
      </w:r>
    </w:p>
    <w:p>
      <w:pPr>
        <w:adjustRightInd w:val="0"/>
        <w:spacing w:line="620" w:lineRule="exact"/>
        <w:ind w:left="420" w:leftChars="200"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 xml:space="preserve">本年总支出286.02万元，其中：工资福利支出131.21万元，占总支出45.87%，日常公用经费支出6.12万元，占总支出2.14%，项目支出148.69万元，占总支出51.99 </w:t>
      </w:r>
      <w:bookmarkStart w:id="0" w:name="_GoBack"/>
      <w:bookmarkEnd w:id="0"/>
      <w:r>
        <w:rPr>
          <w:rFonts w:hint="eastAsia" w:ascii="仿宋" w:hAnsi="仿宋" w:eastAsia="仿宋" w:cs="仿宋"/>
          <w:color w:val="333333"/>
          <w:sz w:val="32"/>
          <w:szCs w:val="32"/>
        </w:rPr>
        <w:t>%。</w:t>
      </w:r>
    </w:p>
    <w:p>
      <w:pPr>
        <w:adjustRightInd w:val="0"/>
        <w:spacing w:line="620" w:lineRule="exact"/>
        <w:ind w:left="420" w:leftChars="200" w:firstLine="643" w:firstLineChars="200"/>
        <w:rPr>
          <w:rFonts w:ascii="仿宋" w:hAnsi="仿宋" w:eastAsia="仿宋" w:cs="仿宋"/>
          <w:b/>
          <w:sz w:val="32"/>
          <w:szCs w:val="32"/>
        </w:rPr>
      </w:pPr>
      <w:r>
        <w:rPr>
          <w:rFonts w:hint="eastAsia" w:ascii="仿宋" w:hAnsi="仿宋" w:eastAsia="仿宋" w:cs="仿宋"/>
          <w:b/>
          <w:sz w:val="32"/>
          <w:szCs w:val="32"/>
        </w:rPr>
        <w:t>（三）2020年支出分类情况</w:t>
      </w:r>
    </w:p>
    <w:p>
      <w:pPr>
        <w:adjustRightInd w:val="0"/>
        <w:spacing w:line="620" w:lineRule="exact"/>
        <w:ind w:left="420" w:leftChars="200" w:firstLine="640" w:firstLineChars="200"/>
        <w:rPr>
          <w:rFonts w:ascii="仿宋" w:hAnsi="仿宋" w:eastAsia="仿宋" w:cs="仿宋"/>
          <w:sz w:val="32"/>
          <w:szCs w:val="32"/>
        </w:rPr>
      </w:pPr>
      <w:r>
        <w:rPr>
          <w:rFonts w:hint="eastAsia" w:ascii="仿宋" w:hAnsi="仿宋" w:eastAsia="仿宋" w:cs="仿宋"/>
          <w:sz w:val="32"/>
          <w:szCs w:val="32"/>
        </w:rPr>
        <w:t>基本保障我部正常运转，完成日常工作任务而发生的各项支出，包括用于在职和离退休人员的基本工资、津贴补贴等人员经费、办公费等日常公用经费。2020年基本支出137.33万元，其中人员经费131.21万元，公用经费6.12万元，项目支出148.69万元，系保障我部办公室、非公经济工作室、民族宗教事务局等三个相关组室及非独立核算二级事业机构：衡南县党外知识分子工作办公室等相关组室的项目支出。</w:t>
      </w:r>
    </w:p>
    <w:p>
      <w:pPr>
        <w:adjustRightInd w:val="0"/>
        <w:spacing w:line="620" w:lineRule="exact"/>
        <w:ind w:left="420" w:leftChars="200"/>
        <w:rPr>
          <w:rFonts w:ascii="仿宋" w:hAnsi="仿宋" w:eastAsia="仿宋" w:cs="仿宋"/>
          <w:b/>
          <w:sz w:val="32"/>
          <w:szCs w:val="32"/>
        </w:rPr>
      </w:pPr>
      <w:r>
        <w:rPr>
          <w:rFonts w:hint="eastAsia" w:ascii="仿宋" w:hAnsi="仿宋" w:eastAsia="仿宋" w:cs="仿宋"/>
          <w:b/>
          <w:sz w:val="32"/>
          <w:szCs w:val="32"/>
        </w:rPr>
        <w:t>（四）“三公”经费情况</w:t>
      </w:r>
    </w:p>
    <w:p>
      <w:pPr>
        <w:adjustRightInd w:val="0"/>
        <w:spacing w:line="620" w:lineRule="exact"/>
        <w:ind w:left="420" w:leftChars="200" w:firstLine="640" w:firstLineChars="200"/>
        <w:rPr>
          <w:rFonts w:ascii="仿宋" w:hAnsi="仿宋" w:eastAsia="仿宋" w:cs="仿宋"/>
          <w:sz w:val="32"/>
          <w:szCs w:val="32"/>
        </w:rPr>
      </w:pPr>
      <w:r>
        <w:rPr>
          <w:rFonts w:hint="eastAsia" w:ascii="仿宋" w:hAnsi="仿宋" w:eastAsia="仿宋" w:cs="仿宋"/>
          <w:sz w:val="32"/>
          <w:szCs w:val="32"/>
        </w:rPr>
        <w:t>2020年，我部“三公”经费均控制在预算范围内，“三公”经费实际支出1.7万元，其中公务接待1.7万元。</w:t>
      </w:r>
    </w:p>
    <w:p>
      <w:pPr>
        <w:adjustRightInd w:val="0"/>
        <w:spacing w:line="620" w:lineRule="exact"/>
        <w:ind w:left="420" w:leftChars="200" w:firstLine="643" w:firstLineChars="200"/>
        <w:rPr>
          <w:rFonts w:ascii="仿宋" w:hAnsi="仿宋" w:eastAsia="仿宋" w:cs="仿宋"/>
          <w:b/>
          <w:bCs/>
          <w:color w:val="333333"/>
          <w:kern w:val="0"/>
          <w:sz w:val="32"/>
          <w:szCs w:val="32"/>
        </w:rPr>
      </w:pPr>
      <w:r>
        <w:rPr>
          <w:rFonts w:hint="eastAsia" w:ascii="仿宋" w:hAnsi="仿宋" w:eastAsia="仿宋" w:cs="仿宋"/>
          <w:b/>
          <w:bCs/>
          <w:color w:val="333333"/>
          <w:kern w:val="0"/>
          <w:sz w:val="32"/>
          <w:szCs w:val="32"/>
        </w:rPr>
        <w:t>三、部门整体支出绩效指标评价情况</w:t>
      </w:r>
    </w:p>
    <w:p>
      <w:pPr>
        <w:spacing w:line="620" w:lineRule="exact"/>
        <w:ind w:left="319" w:leftChars="152" w:firstLine="960" w:firstLineChars="300"/>
        <w:rPr>
          <w:rFonts w:ascii="仿宋" w:hAnsi="仿宋" w:eastAsia="仿宋" w:cs="仿宋"/>
          <w:sz w:val="32"/>
          <w:szCs w:val="32"/>
        </w:rPr>
      </w:pPr>
      <w:r>
        <w:rPr>
          <w:rFonts w:hint="eastAsia" w:ascii="仿宋" w:hAnsi="仿宋" w:eastAsia="仿宋" w:cs="仿宋"/>
          <w:sz w:val="32"/>
          <w:szCs w:val="32"/>
        </w:rPr>
        <w:t>2020年，我部根据年初工作规划和重点性工作，围绕县委中心工作，积极履职，强化管理，较好地完成了年度工作目标。通过加强预算收支的管理，不断建立健全内部管理制度，理顺内部管理流程，部门整体支出管理情况得到了提升，较好地完成了各项目标任务。</w:t>
      </w:r>
    </w:p>
    <w:p>
      <w:pPr>
        <w:spacing w:line="620" w:lineRule="exact"/>
        <w:ind w:left="319" w:leftChars="152" w:firstLine="643" w:firstLineChars="200"/>
        <w:rPr>
          <w:rFonts w:ascii="仿宋" w:hAnsi="仿宋" w:eastAsia="仿宋" w:cs="仿宋"/>
          <w:sz w:val="32"/>
          <w:szCs w:val="32"/>
        </w:rPr>
      </w:pPr>
      <w:r>
        <w:rPr>
          <w:rFonts w:hint="eastAsia" w:ascii="仿宋" w:hAnsi="仿宋" w:eastAsia="仿宋" w:cs="仿宋"/>
          <w:b/>
          <w:sz w:val="32"/>
          <w:szCs w:val="32"/>
        </w:rPr>
        <w:t>运行成本方面，</w:t>
      </w:r>
      <w:r>
        <w:rPr>
          <w:rFonts w:hint="eastAsia" w:ascii="仿宋" w:hAnsi="仿宋" w:eastAsia="仿宋" w:cs="仿宋"/>
          <w:sz w:val="32"/>
          <w:szCs w:val="32"/>
        </w:rPr>
        <w:t>严格执行各项财经法规制度以及切实降低行政运行成本。坚持精打细算、勤俭节约，优化部门支出结构，大力压减一般性支出，持续严控“三公经费”，严格执行因公出国（境）管理规定，严格控制因公出国（境）经费支出；加强车辆定编和更新管理，严格控制公务用车购置和运行经费支出；加强公务接待管理，严格执行公务接待公函、清单、审批，严控公务接待费用支出。</w:t>
      </w:r>
    </w:p>
    <w:p>
      <w:pPr>
        <w:spacing w:line="620" w:lineRule="exact"/>
        <w:ind w:left="319" w:leftChars="152" w:firstLine="643" w:firstLineChars="200"/>
        <w:rPr>
          <w:rFonts w:ascii="仿宋" w:hAnsi="仿宋" w:eastAsia="仿宋" w:cs="仿宋"/>
          <w:sz w:val="32"/>
          <w:szCs w:val="32"/>
        </w:rPr>
      </w:pPr>
      <w:r>
        <w:rPr>
          <w:rFonts w:hint="eastAsia" w:ascii="仿宋" w:hAnsi="仿宋" w:eastAsia="仿宋" w:cs="仿宋"/>
          <w:b/>
          <w:sz w:val="32"/>
          <w:szCs w:val="32"/>
        </w:rPr>
        <w:t>管理效率方面，</w:t>
      </w:r>
      <w:r>
        <w:rPr>
          <w:rFonts w:hint="eastAsia" w:ascii="仿宋" w:hAnsi="仿宋" w:eastAsia="仿宋" w:cs="仿宋"/>
          <w:sz w:val="32"/>
          <w:szCs w:val="32"/>
        </w:rPr>
        <w:t>一是优化我部主要工作流程，切实提高行政效率，结合单位实际情况，落实资金计划的编制，合理安排预算收支，跟踪资金支付进度并进行实时调控，切实做到提效率、节支出、保重点；二是狠抓固定资产管理基础工作，加强政府采购的执行力度，确保政府采购工作健康有序进行，加强资产信息化建设，完成固定资产折旧，实现资产动态管理，加强闲置资产的整合管理，实行集中管理、合理调剂、及时调配、及时报废，提高资产使用效益。</w:t>
      </w:r>
    </w:p>
    <w:p>
      <w:pPr>
        <w:spacing w:line="620" w:lineRule="exact"/>
        <w:ind w:left="319" w:leftChars="152" w:firstLine="643" w:firstLineChars="200"/>
        <w:rPr>
          <w:rFonts w:ascii="仿宋" w:hAnsi="仿宋" w:eastAsia="仿宋" w:cs="仿宋"/>
          <w:sz w:val="32"/>
          <w:szCs w:val="32"/>
        </w:rPr>
      </w:pPr>
      <w:r>
        <w:rPr>
          <w:rFonts w:hint="eastAsia" w:ascii="仿宋" w:hAnsi="仿宋" w:eastAsia="仿宋" w:cs="仿宋"/>
          <w:b/>
          <w:sz w:val="32"/>
          <w:szCs w:val="32"/>
        </w:rPr>
        <w:t>履职效能方面，</w:t>
      </w:r>
      <w:r>
        <w:rPr>
          <w:rFonts w:hint="eastAsia" w:ascii="仿宋" w:hAnsi="仿宋" w:eastAsia="仿宋" w:cs="仿宋"/>
          <w:sz w:val="32"/>
          <w:szCs w:val="32"/>
        </w:rPr>
        <w:t>2020年，我部全面贯彻党的十九大和中央、省委、市委、县委经济工作会议精神，围绕县委、县政府中心工作，积极履职，强化管理，较好的完成了年度工作目标，各项工作均取得显著成效。</w:t>
      </w:r>
    </w:p>
    <w:p>
      <w:pPr>
        <w:spacing w:line="620" w:lineRule="exact"/>
        <w:ind w:firstLine="602" w:firstLineChars="200"/>
        <w:rPr>
          <w:rFonts w:ascii="仿宋" w:hAnsi="仿宋" w:eastAsia="仿宋" w:cs="仿宋"/>
          <w:b/>
          <w:sz w:val="30"/>
          <w:szCs w:val="30"/>
        </w:rPr>
      </w:pPr>
      <w:r>
        <w:rPr>
          <w:rFonts w:hint="eastAsia" w:ascii="仿宋" w:hAnsi="仿宋" w:eastAsia="仿宋" w:cs="仿宋"/>
          <w:b/>
          <w:bCs/>
          <w:kern w:val="0"/>
          <w:sz w:val="30"/>
          <w:szCs w:val="30"/>
        </w:rPr>
        <w:t>（一）强化保障支撑。加强同心美丽乡村创建，助力乡村振兴战略实施。</w:t>
      </w:r>
    </w:p>
    <w:p>
      <w:pPr>
        <w:pStyle w:val="5"/>
        <w:spacing w:before="0" w:beforeAutospacing="0" w:after="0" w:afterAutospacing="0" w:line="620" w:lineRule="exact"/>
        <w:ind w:firstLine="602" w:firstLineChars="200"/>
        <w:jc w:val="both"/>
        <w:rPr>
          <w:rFonts w:hint="default" w:ascii="仿宋" w:hAnsi="仿宋" w:eastAsia="仿宋" w:cs="仿宋"/>
          <w:b/>
          <w:bCs/>
          <w:sz w:val="30"/>
          <w:szCs w:val="30"/>
        </w:rPr>
      </w:pPr>
      <w:r>
        <w:rPr>
          <w:rFonts w:ascii="仿宋" w:hAnsi="仿宋" w:eastAsia="仿宋" w:cs="仿宋"/>
          <w:b/>
          <w:bCs/>
          <w:sz w:val="30"/>
          <w:szCs w:val="30"/>
        </w:rPr>
        <w:t>（二）发挥经济统战作用，服务全县发展大局。</w:t>
      </w:r>
    </w:p>
    <w:p>
      <w:pPr>
        <w:pStyle w:val="5"/>
        <w:spacing w:before="0" w:beforeAutospacing="0" w:after="0" w:afterAutospacing="0" w:line="620" w:lineRule="exact"/>
        <w:ind w:left="319" w:leftChars="152" w:firstLine="960" w:firstLineChars="300"/>
        <w:jc w:val="both"/>
        <w:rPr>
          <w:rStyle w:val="11"/>
          <w:rFonts w:hint="default" w:ascii="仿宋" w:hAnsi="仿宋" w:eastAsia="仿宋" w:cs="仿宋"/>
          <w:bCs/>
          <w:sz w:val="32"/>
          <w:szCs w:val="32"/>
        </w:rPr>
      </w:pPr>
      <w:r>
        <w:rPr>
          <w:rStyle w:val="11"/>
          <w:rFonts w:ascii="仿宋" w:hAnsi="仿宋" w:eastAsia="仿宋" w:cs="仿宋"/>
          <w:bCs/>
          <w:sz w:val="32"/>
          <w:szCs w:val="32"/>
        </w:rPr>
        <w:t>目前“总商会＋X”已拥有会员单位近1000个，会员2800余名。深入推进“新乡贤联盟”体制机制建设，开展“引老乡、回故乡、建家乡”、“助学助残助孤”等活动，积极发挥统战优势，鼓励和引导非公企业及非公经济济代表人士主动参与乡村振兴、脱贫攻坚和招商引资等中心工作，推动衡南统战工作不断走新走实。</w:t>
      </w:r>
    </w:p>
    <w:p>
      <w:pPr>
        <w:spacing w:line="620" w:lineRule="exact"/>
        <w:ind w:left="319" w:leftChars="152" w:firstLine="643" w:firstLineChars="200"/>
        <w:rPr>
          <w:rFonts w:ascii="仿宋" w:hAnsi="仿宋" w:eastAsia="仿宋" w:cs="仿宋"/>
          <w:sz w:val="32"/>
          <w:szCs w:val="32"/>
        </w:rPr>
      </w:pPr>
      <w:r>
        <w:rPr>
          <w:rFonts w:hint="eastAsia" w:ascii="仿宋" w:hAnsi="仿宋" w:eastAsia="仿宋" w:cs="仿宋"/>
          <w:b/>
          <w:sz w:val="32"/>
          <w:szCs w:val="32"/>
        </w:rPr>
        <w:t>（三）切实强化宗教管理，确保宗教大局稳定。</w:t>
      </w:r>
      <w:r>
        <w:rPr>
          <w:rFonts w:hint="eastAsia" w:ascii="仿宋" w:hAnsi="仿宋" w:eastAsia="仿宋" w:cs="仿宋"/>
          <w:bCs/>
          <w:sz w:val="32"/>
          <w:szCs w:val="32"/>
        </w:rPr>
        <w:t>深入</w:t>
      </w:r>
      <w:r>
        <w:rPr>
          <w:rFonts w:hint="eastAsia" w:ascii="仿宋" w:hAnsi="仿宋" w:eastAsia="仿宋" w:cs="仿宋"/>
          <w:sz w:val="32"/>
          <w:szCs w:val="32"/>
        </w:rPr>
        <w:t>开展宗教工作“大清查、大整治”活动，对宗教领域安全稳定隐患排查治理实行“一单四制”常态化管理，组织开展宗教整改工作“回头看”，全面摸排全县宗教活动场所，建立建全宗教财务管理制度，推动全县宗教活动场所的教职人员管理、财务管理、安全管理等全部纳入宗教信息化平台，并开设对公帐号，统一管理，全县宗教工作大局稳定。</w:t>
      </w:r>
    </w:p>
    <w:p>
      <w:pPr>
        <w:shd w:val="clear" w:color="auto" w:fill="FFFFFF"/>
        <w:spacing w:line="620" w:lineRule="exact"/>
        <w:ind w:left="319" w:leftChars="152" w:firstLine="643" w:firstLineChars="200"/>
        <w:rPr>
          <w:rFonts w:ascii="仿宋" w:hAnsi="仿宋" w:eastAsia="仿宋" w:cs="仿宋"/>
          <w:sz w:val="32"/>
          <w:szCs w:val="32"/>
        </w:rPr>
      </w:pPr>
      <w:r>
        <w:rPr>
          <w:rFonts w:hint="eastAsia" w:ascii="仿宋" w:hAnsi="仿宋" w:eastAsia="仿宋" w:cs="仿宋"/>
          <w:b/>
          <w:bCs/>
          <w:kern w:val="0"/>
          <w:sz w:val="32"/>
          <w:szCs w:val="32"/>
        </w:rPr>
        <w:t>（四）发挥主管主责作用，加强党外人士政治安排。</w:t>
      </w:r>
      <w:r>
        <w:rPr>
          <w:rFonts w:hint="eastAsia" w:ascii="仿宋" w:hAnsi="仿宋" w:eastAsia="仿宋" w:cs="仿宋"/>
          <w:bCs/>
          <w:sz w:val="32"/>
          <w:szCs w:val="32"/>
        </w:rPr>
        <w:t>扎实做好</w:t>
      </w:r>
      <w:r>
        <w:rPr>
          <w:rFonts w:hint="eastAsia" w:ascii="仿宋" w:hAnsi="仿宋" w:eastAsia="仿宋" w:cs="仿宋"/>
          <w:sz w:val="32"/>
          <w:szCs w:val="32"/>
        </w:rPr>
        <w:t>做好党外干部的酝酿协商、推荐提名工作，推荐了李文波、刘秀娟等三名党外副科级干部参加市委统战部组织的党外科级干部培训班，提拔重用邓汉洋、陈明明、谭曙光3名党外干部，推荐原岐山办事处副主任欧虎林交流到茅市镇任人大副主席。推荐补选11名政协委员，其中民主党派1人，100%完成市委统战部关于党外干部配备的指标任务，为发现、储备、培养党外干部打下坚实基础。</w:t>
      </w:r>
    </w:p>
    <w:p>
      <w:pPr>
        <w:adjustRightInd w:val="0"/>
        <w:spacing w:line="620" w:lineRule="exact"/>
        <w:ind w:left="420" w:leftChars="200" w:firstLine="643" w:firstLineChars="200"/>
        <w:rPr>
          <w:rFonts w:ascii="仿宋" w:hAnsi="仿宋" w:eastAsia="仿宋" w:cs="仿宋"/>
          <w:b/>
          <w:bCs/>
          <w:sz w:val="32"/>
          <w:szCs w:val="32"/>
        </w:rPr>
      </w:pPr>
      <w:r>
        <w:rPr>
          <w:rFonts w:hint="eastAsia" w:ascii="仿宋" w:hAnsi="仿宋" w:eastAsia="仿宋" w:cs="仿宋"/>
          <w:b/>
          <w:bCs/>
          <w:sz w:val="32"/>
          <w:szCs w:val="32"/>
        </w:rPr>
        <w:t>四、存在的主要问题</w:t>
      </w:r>
    </w:p>
    <w:p>
      <w:pPr>
        <w:spacing w:line="620" w:lineRule="exact"/>
        <w:ind w:left="319" w:leftChars="152" w:firstLine="960" w:firstLineChars="300"/>
        <w:rPr>
          <w:rFonts w:ascii="仿宋" w:hAnsi="仿宋" w:eastAsia="仿宋" w:cs="仿宋"/>
          <w:sz w:val="32"/>
          <w:szCs w:val="32"/>
        </w:rPr>
      </w:pPr>
      <w:r>
        <w:rPr>
          <w:rFonts w:hint="eastAsia" w:ascii="仿宋" w:hAnsi="仿宋" w:eastAsia="仿宋" w:cs="仿宋"/>
          <w:sz w:val="32"/>
          <w:szCs w:val="32"/>
        </w:rPr>
        <w:t>一是绩效目标设置不够科学合理，在实际工作过程中，绩效指标评价体系落实还不够到位；</w:t>
      </w:r>
    </w:p>
    <w:p>
      <w:pPr>
        <w:spacing w:line="620" w:lineRule="exact"/>
        <w:ind w:left="319" w:leftChars="152" w:firstLine="960" w:firstLineChars="300"/>
        <w:rPr>
          <w:rFonts w:ascii="仿宋" w:hAnsi="仿宋" w:eastAsia="仿宋" w:cs="仿宋"/>
          <w:sz w:val="32"/>
          <w:szCs w:val="32"/>
        </w:rPr>
      </w:pPr>
      <w:r>
        <w:rPr>
          <w:rFonts w:hint="eastAsia" w:ascii="仿宋" w:hAnsi="仿宋" w:eastAsia="仿宋" w:cs="仿宋"/>
          <w:sz w:val="32"/>
          <w:szCs w:val="32"/>
        </w:rPr>
        <w:t>二是全面绩效责任约束作用不强，绩效结果与预算安排和政策调整挂钩的硬约束机制需进一步强化。</w:t>
      </w:r>
    </w:p>
    <w:p>
      <w:pPr>
        <w:spacing w:line="620" w:lineRule="exact"/>
        <w:ind w:firstLine="643" w:firstLineChars="200"/>
        <w:rPr>
          <w:rFonts w:ascii="仿宋" w:hAnsi="仿宋" w:eastAsia="仿宋" w:cs="仿宋"/>
          <w:b/>
          <w:bCs/>
          <w:sz w:val="32"/>
          <w:szCs w:val="32"/>
        </w:rPr>
      </w:pPr>
      <w:r>
        <w:rPr>
          <w:rFonts w:hint="eastAsia" w:ascii="仿宋" w:hAnsi="仿宋" w:eastAsia="仿宋" w:cs="仿宋"/>
          <w:b/>
          <w:bCs/>
          <w:sz w:val="32"/>
          <w:szCs w:val="32"/>
        </w:rPr>
        <w:t>五、改进措施</w:t>
      </w:r>
    </w:p>
    <w:p>
      <w:pPr>
        <w:spacing w:line="620" w:lineRule="exact"/>
        <w:ind w:left="638" w:leftChars="304" w:firstLine="640" w:firstLineChars="200"/>
        <w:rPr>
          <w:rFonts w:ascii="仿宋" w:hAnsi="仿宋" w:eastAsia="仿宋" w:cs="仿宋"/>
          <w:sz w:val="32"/>
          <w:szCs w:val="32"/>
        </w:rPr>
      </w:pPr>
      <w:r>
        <w:rPr>
          <w:rFonts w:hint="eastAsia" w:ascii="仿宋" w:hAnsi="仿宋" w:eastAsia="仿宋" w:cs="仿宋"/>
          <w:sz w:val="32"/>
          <w:szCs w:val="32"/>
        </w:rPr>
        <w:t>进一步增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620" w:lineRule="exact"/>
        <w:ind w:firstLine="640" w:firstLineChars="200"/>
        <w:rPr>
          <w:rFonts w:ascii="仿宋" w:hAnsi="仿宋" w:eastAsia="仿宋" w:cs="仿宋"/>
          <w:sz w:val="32"/>
          <w:szCs w:val="32"/>
        </w:rPr>
      </w:pPr>
    </w:p>
    <w:p>
      <w:pPr>
        <w:spacing w:line="620" w:lineRule="exact"/>
        <w:ind w:firstLine="640" w:firstLineChars="200"/>
        <w:rPr>
          <w:rFonts w:ascii="仿宋" w:hAnsi="仿宋" w:eastAsia="仿宋" w:cs="仿宋"/>
          <w:sz w:val="32"/>
          <w:szCs w:val="32"/>
        </w:rPr>
      </w:pPr>
    </w:p>
    <w:p>
      <w:pPr>
        <w:spacing w:line="620" w:lineRule="exact"/>
        <w:ind w:firstLine="640" w:firstLineChars="200"/>
        <w:rPr>
          <w:rFonts w:ascii="仿宋" w:hAnsi="仿宋" w:eastAsia="仿宋" w:cs="仿宋"/>
          <w:sz w:val="32"/>
          <w:szCs w:val="32"/>
        </w:rPr>
      </w:pPr>
    </w:p>
    <w:p>
      <w:pPr>
        <w:jc w:val="right"/>
        <w:rPr>
          <w:rFonts w:ascii="仿宋" w:hAnsi="仿宋" w:eastAsia="仿宋" w:cs="仿宋"/>
        </w:rPr>
      </w:pPr>
    </w:p>
    <w:sectPr>
      <w:pgSz w:w="11906" w:h="16838"/>
      <w:pgMar w:top="794" w:right="794" w:bottom="794" w:left="850" w:header="851" w:footer="1134" w:gutter="0"/>
      <w:pgNumType w:start="1"/>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859462"/>
    </w:sdtPr>
    <w:sdtContent>
      <w:p>
        <w:pPr>
          <w:pStyle w:val="3"/>
          <w:jc w:val="center"/>
        </w:pPr>
        <w:r>
          <w:fldChar w:fldCharType="begin"/>
        </w:r>
        <w:r>
          <w:instrText xml:space="preserve"> PAGE   \* MERGEFORMAT </w:instrText>
        </w:r>
        <w:r>
          <w:fldChar w:fldCharType="separate"/>
        </w:r>
        <w:r>
          <w:rPr>
            <w:lang w:val="zh-CN"/>
          </w:rPr>
          <w:t>13</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6DD60D07"/>
    <w:rsid w:val="00373AEA"/>
    <w:rsid w:val="0039134A"/>
    <w:rsid w:val="004262B9"/>
    <w:rsid w:val="00820E55"/>
    <w:rsid w:val="009667DA"/>
    <w:rsid w:val="00AD5E2D"/>
    <w:rsid w:val="00EE4D63"/>
    <w:rsid w:val="11155A6F"/>
    <w:rsid w:val="534A3AB2"/>
    <w:rsid w:val="6DD60D0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3"/>
    <w:qFormat/>
    <w:uiPriority w:val="0"/>
    <w:rPr>
      <w:sz w:val="18"/>
      <w:szCs w:val="18"/>
    </w:rPr>
  </w:style>
  <w:style w:type="paragraph" w:styleId="3">
    <w:name w:val="footer"/>
    <w:basedOn w:val="1"/>
    <w:unhideWhenUsed/>
    <w:qFormat/>
    <w:uiPriority w:val="99"/>
    <w:pPr>
      <w:tabs>
        <w:tab w:val="center" w:pos="4153"/>
        <w:tab w:val="right" w:pos="8306"/>
      </w:tabs>
      <w:snapToGrid w:val="0"/>
      <w:jc w:val="left"/>
    </w:pPr>
    <w:rPr>
      <w:sz w:val="18"/>
      <w:szCs w:val="18"/>
    </w:rPr>
  </w:style>
  <w:style w:type="paragraph" w:styleId="4">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hint="eastAsia" w:ascii="宋体" w:hAnsi="宋体"/>
      <w:kern w:val="0"/>
      <w:sz w:val="24"/>
      <w:szCs w:val="24"/>
    </w:rPr>
  </w:style>
  <w:style w:type="paragraph" w:customStyle="1" w:styleId="8">
    <w:name w:val="普通(网站) Char"/>
    <w:basedOn w:val="1"/>
    <w:qFormat/>
    <w:uiPriority w:val="0"/>
    <w:pPr>
      <w:widowControl/>
      <w:spacing w:before="100" w:beforeAutospacing="1" w:after="100" w:afterAutospacing="1"/>
      <w:jc w:val="left"/>
    </w:pPr>
    <w:rPr>
      <w:rFonts w:hint="eastAsia" w:ascii="宋体" w:hAnsi="宋体"/>
      <w:kern w:val="0"/>
      <w:sz w:val="24"/>
      <w:szCs w:val="24"/>
    </w:rPr>
  </w:style>
  <w:style w:type="character" w:customStyle="1" w:styleId="9">
    <w:name w:val="18"/>
    <w:basedOn w:val="7"/>
    <w:qFormat/>
    <w:uiPriority w:val="0"/>
    <w:rPr>
      <w:rFonts w:hint="default" w:ascii="Times New Roman" w:hAnsi="Times New Roman" w:cs="Times New Roman"/>
      <w:b/>
    </w:rPr>
  </w:style>
  <w:style w:type="paragraph" w:customStyle="1" w:styleId="10">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character" w:customStyle="1" w:styleId="11">
    <w:name w:val="UserStyle_0"/>
    <w:semiHidden/>
    <w:qFormat/>
    <w:uiPriority w:val="0"/>
  </w:style>
  <w:style w:type="character" w:customStyle="1" w:styleId="12">
    <w:name w:val="页眉 Char"/>
    <w:basedOn w:val="7"/>
    <w:link w:val="4"/>
    <w:uiPriority w:val="0"/>
    <w:rPr>
      <w:rFonts w:ascii="Calibri" w:hAnsi="Calibri"/>
      <w:kern w:val="2"/>
      <w:sz w:val="18"/>
      <w:szCs w:val="18"/>
    </w:rPr>
  </w:style>
  <w:style w:type="character" w:customStyle="1" w:styleId="13">
    <w:name w:val="批注框文本 Char"/>
    <w:basedOn w:val="7"/>
    <w:link w:val="2"/>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22</Pages>
  <Words>7263</Words>
  <Characters>844</Characters>
  <Lines>7</Lines>
  <Paragraphs>16</Paragraphs>
  <TotalTime>30</TotalTime>
  <ScaleCrop>false</ScaleCrop>
  <LinksUpToDate>false</LinksUpToDate>
  <CharactersWithSpaces>8091</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2021-11-10T01:25:00Z</dcterms:created>
  <dc:creator>Administrator</dc:creator>
  <cp:lastModifiedBy>茜茜</cp:lastModifiedBy>
  <dcterms:modified xsi:type="dcterms:W3CDTF">2023-09-18T03:16:49Z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F52DD658D073460887287E3FE608B2CC</vt:lpwstr>
  </property>
</Properties>
</file>