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
    <w:p/>
    <w:p/>
    <w:p/>
    <w:p/>
    <w:p/>
    <w:p/>
    <w:p/>
    <w:p/>
    <w:p/>
    <w:p/>
    <w:p/>
    <w:p/>
    <w:p/>
    <w:p/>
    <w:p/>
    <w:p/>
    <w:p>
      <w:pPr>
        <w:pStyle w:val="12"/>
        <w:jc w:val="center"/>
        <w:rPr>
          <w:sz w:val="84"/>
          <w:szCs w:val="84"/>
        </w:rPr>
      </w:pPr>
      <w:r>
        <w:rPr>
          <w:rFonts w:hint="eastAsia"/>
          <w:sz w:val="84"/>
          <w:szCs w:val="84"/>
        </w:rPr>
        <w:t>2020年度</w:t>
      </w:r>
    </w:p>
    <w:p>
      <w:pPr>
        <w:pStyle w:val="12"/>
        <w:jc w:val="center"/>
        <w:rPr>
          <w:sz w:val="84"/>
          <w:szCs w:val="84"/>
        </w:rPr>
      </w:pPr>
      <w:r>
        <w:rPr>
          <w:rFonts w:hint="eastAsia"/>
          <w:sz w:val="84"/>
          <w:szCs w:val="84"/>
        </w:rPr>
        <w:t>衡南县统计局部门</w:t>
      </w:r>
    </w:p>
    <w:p>
      <w:pPr>
        <w:pStyle w:val="12"/>
        <w:jc w:val="center"/>
        <w:rPr>
          <w:sz w:val="84"/>
          <w:szCs w:val="84"/>
        </w:rPr>
      </w:pPr>
      <w:r>
        <w:rPr>
          <w:rFonts w:hint="eastAsia"/>
          <w:sz w:val="84"/>
          <w:szCs w:val="84"/>
        </w:rPr>
        <w:t>决算</w:t>
      </w:r>
    </w:p>
    <w:p/>
    <w:p/>
    <w:p/>
    <w:p/>
    <w:p/>
    <w:p/>
    <w:p/>
    <w:p/>
    <w:p/>
    <w:p/>
    <w:p>
      <w:pPr>
        <w:rPr>
          <w:rFonts w:ascii="黑体" w:hAnsi="黑体" w:eastAsia="黑体"/>
          <w:sz w:val="44"/>
          <w:szCs w:val="44"/>
        </w:rPr>
      </w:pPr>
    </w:p>
    <w:p>
      <w:pPr>
        <w:pStyle w:val="12"/>
        <w:snapToGrid w:val="0"/>
        <w:spacing w:line="360" w:lineRule="auto"/>
        <w:ind w:firstLine="1074" w:firstLineChars="200"/>
        <w:jc w:val="center"/>
        <w:rPr>
          <w:rFonts w:ascii="宋体" w:hAnsi="宋体" w:eastAsia="宋体" w:cs="宋体"/>
          <w:w w:val="96"/>
          <w:sz w:val="32"/>
          <w:szCs w:val="32"/>
        </w:rPr>
      </w:pPr>
      <w:r>
        <w:rPr>
          <w:rFonts w:hint="eastAsia" w:hAnsi="黑体"/>
          <w:w w:val="96"/>
          <w:sz w:val="56"/>
          <w:szCs w:val="56"/>
        </w:rPr>
        <w:t>目录</w:t>
      </w:r>
    </w:p>
    <w:p>
      <w:pPr>
        <w:pStyle w:val="12"/>
        <w:snapToGrid w:val="0"/>
        <w:spacing w:line="360" w:lineRule="auto"/>
        <w:ind w:firstLine="536" w:firstLineChars="200"/>
        <w:rPr>
          <w:rFonts w:ascii="宋体" w:hAnsi="宋体" w:eastAsia="宋体" w:cs="宋体"/>
          <w:b/>
          <w:w w:val="96"/>
          <w:sz w:val="28"/>
          <w:szCs w:val="28"/>
        </w:rPr>
      </w:pPr>
      <w:r>
        <w:rPr>
          <w:rFonts w:hint="eastAsia" w:hAnsi="黑体"/>
          <w:bCs/>
          <w:w w:val="96"/>
          <w:sz w:val="28"/>
          <w:szCs w:val="28"/>
        </w:rPr>
        <w:t>第一部分衡南县统计局概况</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一、部门职责</w:t>
      </w:r>
    </w:p>
    <w:p>
      <w:pPr>
        <w:pStyle w:val="12"/>
        <w:snapToGrid w:val="0"/>
        <w:spacing w:line="360" w:lineRule="auto"/>
        <w:ind w:firstLine="536" w:firstLineChars="200"/>
        <w:rPr>
          <w:rFonts w:ascii="宋体" w:hAnsi="宋体" w:eastAsia="宋体" w:cs="宋体"/>
          <w:w w:val="96"/>
          <w:sz w:val="32"/>
          <w:szCs w:val="32"/>
        </w:rPr>
      </w:pPr>
      <w:r>
        <w:rPr>
          <w:rFonts w:hint="eastAsia" w:ascii="宋体" w:hAnsi="宋体" w:eastAsia="宋体" w:cs="宋体"/>
          <w:w w:val="96"/>
          <w:sz w:val="28"/>
          <w:szCs w:val="28"/>
        </w:rPr>
        <w:t>二、机构设置</w:t>
      </w:r>
    </w:p>
    <w:p>
      <w:pPr>
        <w:pStyle w:val="12"/>
        <w:snapToGrid w:val="0"/>
        <w:spacing w:line="360" w:lineRule="auto"/>
        <w:ind w:firstLine="536" w:firstLineChars="200"/>
        <w:rPr>
          <w:rFonts w:hAnsi="黑体"/>
          <w:bCs/>
          <w:w w:val="96"/>
          <w:sz w:val="28"/>
          <w:szCs w:val="28"/>
        </w:rPr>
      </w:pPr>
      <w:r>
        <w:rPr>
          <w:rFonts w:hint="eastAsia" w:hAnsi="黑体"/>
          <w:bCs/>
          <w:w w:val="96"/>
          <w:sz w:val="28"/>
          <w:szCs w:val="28"/>
        </w:rPr>
        <w:t>第二部分2020年度部门决算表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二、收入决算表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三、支出决算表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四、财政拨款收入支出决算总表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五、一般公共预算财政拨款支出决算表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六、一般公共预算财政拨款基本支出决算表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七、一般公共预算财政拨款“三公”经费支出决算表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八、政府性基金预算财政拨款收入支出决算表</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九、国有资本经营预算财政拨款支出决算表</w:t>
      </w:r>
    </w:p>
    <w:p>
      <w:pPr>
        <w:pStyle w:val="12"/>
        <w:snapToGrid w:val="0"/>
        <w:spacing w:line="360" w:lineRule="auto"/>
        <w:ind w:firstLine="536" w:firstLineChars="200"/>
        <w:rPr>
          <w:rFonts w:hAnsi="黑体"/>
          <w:bCs/>
          <w:w w:val="96"/>
          <w:sz w:val="28"/>
          <w:szCs w:val="28"/>
        </w:rPr>
      </w:pPr>
      <w:r>
        <w:rPr>
          <w:rFonts w:hint="eastAsia" w:hAnsi="黑体"/>
          <w:bCs/>
          <w:w w:val="96"/>
          <w:sz w:val="28"/>
          <w:szCs w:val="28"/>
        </w:rPr>
        <w:t>第三部分2020年度部门决算情况说明</w:t>
      </w:r>
    </w:p>
    <w:p>
      <w:pPr>
        <w:pStyle w:val="12"/>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一、收入支出决算总体情况说明</w:t>
      </w:r>
    </w:p>
    <w:p>
      <w:pPr>
        <w:adjustRightInd w:val="0"/>
        <w:snapToGrid w:val="0"/>
        <w:spacing w:line="360" w:lineRule="auto"/>
        <w:ind w:firstLine="536" w:firstLineChars="200"/>
        <w:jc w:val="left"/>
        <w:rPr>
          <w:rFonts w:ascii="宋体" w:hAnsi="宋体" w:eastAsia="宋体" w:cs="宋体"/>
          <w:w w:val="96"/>
          <w:sz w:val="28"/>
          <w:szCs w:val="28"/>
        </w:rPr>
      </w:pPr>
      <w:r>
        <w:rPr>
          <w:rFonts w:hint="eastAsia" w:ascii="宋体" w:hAnsi="宋体" w:eastAsia="宋体" w:cs="宋体"/>
          <w:w w:val="96"/>
          <w:sz w:val="28"/>
          <w:szCs w:val="28"/>
        </w:rPr>
        <w:t>二、收入决算情况说明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三、支出决算情况说明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四、财政拨款收入支出决算总体情况说明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五、一般公共预算财政拨款支出决算情况说明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六、一般公共预算财政拨款基本支出决算情况说明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七、一般公共预算财政拨款三公经费支出决算情况说明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八、政府性基金预算收入支出决算情况说明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九、国有资本经营预算财政拨款支出决算情况</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十、关于机关运行经费支出说明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十一、一般性支出情况说明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十二、关于政府采购支出说明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十三、关于国有资产占用情况说明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十四、关于2020年度预算绩效情况说明</w:t>
      </w:r>
    </w:p>
    <w:p>
      <w:pPr>
        <w:autoSpaceDE w:val="0"/>
        <w:autoSpaceDN w:val="0"/>
        <w:adjustRightInd w:val="0"/>
        <w:snapToGrid w:val="0"/>
        <w:spacing w:line="360" w:lineRule="auto"/>
        <w:ind w:firstLine="536" w:firstLineChars="200"/>
        <w:jc w:val="left"/>
        <w:rPr>
          <w:rFonts w:ascii="黑体" w:hAnsi="黑体" w:eastAsia="黑体" w:cs="黑体"/>
          <w:bCs/>
          <w:color w:val="000000"/>
          <w:w w:val="96"/>
          <w:kern w:val="0"/>
          <w:sz w:val="28"/>
          <w:szCs w:val="28"/>
        </w:rPr>
      </w:pPr>
      <w:r>
        <w:rPr>
          <w:rFonts w:hint="eastAsia" w:ascii="黑体" w:hAnsi="黑体" w:eastAsia="黑体" w:cs="黑体"/>
          <w:bCs/>
          <w:color w:val="000000"/>
          <w:w w:val="96"/>
          <w:kern w:val="0"/>
          <w:sz w:val="28"/>
          <w:szCs w:val="28"/>
        </w:rPr>
        <w:t>第四部分名词解释</w:t>
      </w:r>
    </w:p>
    <w:p>
      <w:pPr>
        <w:adjustRightInd w:val="0"/>
        <w:snapToGrid w:val="0"/>
        <w:spacing w:line="360" w:lineRule="auto"/>
        <w:ind w:firstLine="536" w:firstLineChars="200"/>
        <w:jc w:val="left"/>
        <w:rPr>
          <w:rFonts w:ascii="黑体" w:hAnsi="黑体" w:eastAsia="黑体" w:cs="黑体"/>
          <w:bCs/>
          <w:color w:val="000000"/>
          <w:w w:val="96"/>
          <w:kern w:val="0"/>
          <w:sz w:val="28"/>
          <w:szCs w:val="28"/>
        </w:rPr>
      </w:pPr>
      <w:r>
        <w:rPr>
          <w:rFonts w:hint="eastAsia" w:ascii="黑体" w:hAnsi="黑体" w:eastAsia="黑体" w:cs="黑体"/>
          <w:bCs/>
          <w:color w:val="000000"/>
          <w:w w:val="96"/>
          <w:kern w:val="0"/>
          <w:sz w:val="28"/>
          <w:szCs w:val="28"/>
        </w:rPr>
        <w:t>第五部分附件</w:t>
      </w:r>
    </w:p>
    <w:p>
      <w:pPr>
        <w:rPr>
          <w:sz w:val="32"/>
          <w:szCs w:val="32"/>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rPr>
          <w:sz w:val="84"/>
          <w:szCs w:val="84"/>
        </w:rPr>
      </w:pPr>
    </w:p>
    <w:p>
      <w:pPr>
        <w:ind w:firstLine="2520" w:firstLineChars="300"/>
      </w:pPr>
      <w:r>
        <w:rPr>
          <w:rFonts w:hint="eastAsia"/>
          <w:sz w:val="84"/>
          <w:szCs w:val="84"/>
        </w:rPr>
        <w:t>第一部分</w:t>
      </w:r>
    </w:p>
    <w:p/>
    <w:p>
      <w:pPr>
        <w:ind w:firstLine="840" w:firstLineChars="100"/>
        <w:rPr>
          <w:sz w:val="84"/>
          <w:szCs w:val="84"/>
        </w:rPr>
      </w:pPr>
      <w:r>
        <w:rPr>
          <w:rFonts w:hint="eastAsia"/>
          <w:sz w:val="84"/>
          <w:szCs w:val="84"/>
        </w:rPr>
        <w:t>衡南县统计局概况</w:t>
      </w:r>
    </w:p>
    <w:p>
      <w:pPr>
        <w:rPr>
          <w:sz w:val="32"/>
          <w:szCs w:val="32"/>
        </w:rPr>
      </w:pPr>
    </w:p>
    <w:p>
      <w:r>
        <w:t> </w:t>
      </w:r>
    </w:p>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numPr>
          <w:ilvl w:val="0"/>
          <w:numId w:val="1"/>
        </w:numPr>
        <w:rPr>
          <w:rFonts w:ascii="黑体" w:hAnsi="黑体" w:eastAsia="黑体" w:cs="黑体"/>
          <w:sz w:val="32"/>
          <w:szCs w:val="32"/>
        </w:rPr>
      </w:pPr>
      <w:r>
        <w:rPr>
          <w:rFonts w:hint="eastAsia" w:ascii="黑体" w:hAnsi="黑体" w:eastAsia="黑体" w:cs="黑体"/>
          <w:sz w:val="32"/>
          <w:szCs w:val="32"/>
        </w:rPr>
        <w:t>部门职责</w:t>
      </w:r>
    </w:p>
    <w:p>
      <w:pPr>
        <w:ind w:firstLine="640" w:firstLineChars="200"/>
        <w:rPr>
          <w:rFonts w:ascii="仿宋" w:hAnsi="仿宋" w:eastAsia="仿宋"/>
          <w:sz w:val="32"/>
          <w:szCs w:val="32"/>
        </w:rPr>
      </w:pPr>
      <w:r>
        <w:rPr>
          <w:rFonts w:hint="eastAsia" w:ascii="仿宋" w:hAnsi="仿宋" w:eastAsia="仿宋"/>
          <w:sz w:val="32"/>
          <w:szCs w:val="32"/>
        </w:rPr>
        <w:t>衡南县统计局是主管全县统计和国民经济核算工作的县人民政府直属机构。</w:t>
      </w:r>
    </w:p>
    <w:p>
      <w:pPr>
        <w:rPr>
          <w:rFonts w:ascii="仿宋" w:hAnsi="仿宋" w:eastAsia="仿宋"/>
          <w:sz w:val="32"/>
          <w:szCs w:val="32"/>
        </w:rPr>
      </w:pPr>
      <w:r>
        <w:rPr>
          <w:rFonts w:hint="eastAsia" w:ascii="仿宋" w:hAnsi="仿宋" w:eastAsia="仿宋"/>
          <w:sz w:val="32"/>
          <w:szCs w:val="32"/>
        </w:rPr>
        <w:t>主要职责是：</w:t>
      </w:r>
    </w:p>
    <w:p>
      <w:pPr>
        <w:ind w:firstLine="640" w:firstLineChars="200"/>
        <w:rPr>
          <w:rFonts w:ascii="仿宋" w:hAnsi="仿宋" w:eastAsia="仿宋" w:cstheme="majorEastAsia"/>
          <w:sz w:val="32"/>
          <w:szCs w:val="32"/>
        </w:rPr>
      </w:pPr>
      <w:r>
        <w:rPr>
          <w:rFonts w:hint="eastAsia" w:ascii="仿宋" w:hAnsi="仿宋" w:eastAsia="仿宋" w:cstheme="majorEastAsia"/>
          <w:sz w:val="32"/>
          <w:szCs w:val="32"/>
        </w:rPr>
        <w:t>（一）贯彻执行国家统计工作方针、政策和统计法律法规，完成国家、省、市统计调查任务；监督统计法规的实施情况，查处各类统计违法行为。</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（二）制定并组织实施全县统计改革和统计现代化建设规划及统计调查规划；建立健全国民经济核算体系和统计指标体系。</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（三）指导和协调全县各部门、各乡镇统计业务工作，组织开展全县性的普查及有关专项调查，审批县直有关部门的统计报表制度、统计调查计划及其调查方案。</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四）为县委、县人民政府制订政策、编制国民经济和社会发展规划提供统计资料，并对全县国民经济、科技进步和社会发展等情况进行统计分析、统计预测、统计检查和监督，向县委、县人民政府及其有关部门提供统计信息和咨询建议。</w:t>
      </w:r>
    </w:p>
    <w:p>
      <w:pPr>
        <w:ind w:firstLine="800" w:firstLineChars="250"/>
        <w:rPr>
          <w:rFonts w:ascii="仿宋" w:hAnsi="仿宋" w:eastAsia="仿宋" w:cstheme="majorEastAsia"/>
          <w:sz w:val="32"/>
          <w:szCs w:val="32"/>
        </w:rPr>
      </w:pPr>
      <w:r>
        <w:rPr>
          <w:rFonts w:hint="eastAsia" w:ascii="仿宋" w:hAnsi="仿宋" w:eastAsia="仿宋" w:cstheme="majorEastAsia"/>
          <w:sz w:val="32"/>
          <w:szCs w:val="32"/>
        </w:rPr>
        <w:t>（五）统一核实、管理、公布全县经济、社会、科技的基本统计资料，定期发布全县国民经济和社会发展情况统计公报及有关普查、专项调查公报；发布社会经济统计信息；审批涉外社会调查项目、跨县涉外社会调查活动以及向境外组织、个人和涉外机构提供统计资料；审核工业企业划型。</w:t>
      </w:r>
    </w:p>
    <w:p>
      <w:pPr>
        <w:rPr>
          <w:rFonts w:ascii="仿宋" w:hAnsi="仿宋" w:eastAsia="仿宋" w:cstheme="majorEastAsia"/>
          <w:sz w:val="32"/>
          <w:szCs w:val="32"/>
        </w:rPr>
      </w:pPr>
      <w:r>
        <w:rPr>
          <w:rFonts w:hint="eastAsia" w:ascii="仿宋" w:hAnsi="仿宋" w:eastAsia="仿宋" w:cstheme="majorEastAsia"/>
          <w:sz w:val="32"/>
          <w:szCs w:val="32"/>
        </w:rPr>
        <w:t>　　（六）建立健全和管理全县统计信息自行化系统及统计数据库体系；指导各基层单位加强统计基础建设和网络建设。</w:t>
      </w:r>
    </w:p>
    <w:p>
      <w:pPr>
        <w:rPr>
          <w:rFonts w:ascii="仿宋" w:hAnsi="仿宋" w:eastAsia="仿宋" w:cstheme="majorEastAsia"/>
          <w:sz w:val="32"/>
          <w:szCs w:val="32"/>
        </w:rPr>
      </w:pPr>
      <w:r>
        <w:rPr>
          <w:rFonts w:hint="eastAsia" w:ascii="仿宋" w:hAnsi="仿宋" w:eastAsia="仿宋" w:cstheme="majorEastAsia"/>
          <w:sz w:val="32"/>
          <w:szCs w:val="32"/>
        </w:rPr>
        <w:t>　　（七）会同有关部门承办全县统计专业资格考试和职务评审有关工作；组织指导全县统计科研、统计教育、统计宣传、统计学会工作。</w:t>
      </w:r>
    </w:p>
    <w:p>
      <w:pPr>
        <w:ind w:firstLine="630"/>
        <w:rPr>
          <w:rFonts w:ascii="仿宋" w:hAnsi="仿宋" w:eastAsia="仿宋" w:cstheme="majorEastAsia"/>
          <w:sz w:val="32"/>
          <w:szCs w:val="32"/>
        </w:rPr>
      </w:pPr>
      <w:r>
        <w:rPr>
          <w:rFonts w:hint="eastAsia" w:ascii="仿宋" w:hAnsi="仿宋" w:eastAsia="仿宋" w:cstheme="majorEastAsia"/>
          <w:sz w:val="32"/>
          <w:szCs w:val="32"/>
        </w:rPr>
        <w:t>（八）制订全县统计工作现代化规划，组织和推进现代计算技术和数据传输技术在统计工作中的应用，组织和指导各级基层单位加强统计基础建设，实现统计工作标准化、规范化、科学化。</w:t>
      </w:r>
    </w:p>
    <w:p>
      <w:pPr>
        <w:ind w:firstLine="630"/>
        <w:rPr>
          <w:rFonts w:ascii="仿宋" w:hAnsi="仿宋" w:eastAsia="仿宋" w:cstheme="majorEastAsia"/>
          <w:sz w:val="32"/>
          <w:szCs w:val="32"/>
        </w:rPr>
      </w:pPr>
      <w:r>
        <w:rPr>
          <w:rFonts w:hint="eastAsia" w:ascii="仿宋" w:hAnsi="仿宋" w:eastAsia="仿宋" w:cstheme="majorEastAsia"/>
          <w:sz w:val="32"/>
          <w:szCs w:val="32"/>
        </w:rPr>
        <w:t>（九）承办县委、县人民政府交办的其他事项。</w:t>
      </w:r>
    </w:p>
    <w:p>
      <w:pPr>
        <w:rPr>
          <w:rFonts w:ascii="仿宋" w:hAnsi="仿宋" w:eastAsia="仿宋" w:cstheme="majorEastAsia"/>
          <w:sz w:val="32"/>
          <w:szCs w:val="32"/>
        </w:rPr>
      </w:pPr>
      <w:r>
        <w:rPr>
          <w:rFonts w:hint="eastAsia" w:ascii="黑体" w:hAnsi="黑体" w:eastAsia="黑体" w:cs="黑体"/>
          <w:sz w:val="32"/>
          <w:szCs w:val="32"/>
        </w:rPr>
        <w:t>二、机构设置及决算单位构成 </w:t>
      </w:r>
    </w:p>
    <w:p>
      <w:pPr>
        <w:rPr>
          <w:rFonts w:ascii="仿宋" w:hAnsi="仿宋" w:eastAsia="仿宋" w:cstheme="majorEastAsia"/>
          <w:sz w:val="32"/>
          <w:szCs w:val="32"/>
        </w:rPr>
      </w:pPr>
      <w:r>
        <w:rPr>
          <w:rFonts w:hint="eastAsia" w:ascii="仿宋" w:hAnsi="仿宋" w:eastAsia="仿宋" w:cstheme="majorEastAsia"/>
          <w:sz w:val="32"/>
          <w:szCs w:val="32"/>
        </w:rPr>
        <w:t>　　</w:t>
      </w:r>
      <w:r>
        <w:rPr>
          <w:rFonts w:ascii="仿宋" w:hAnsi="仿宋" w:eastAsia="仿宋" w:cstheme="majorEastAsia"/>
          <w:sz w:val="32"/>
          <w:szCs w:val="32"/>
        </w:rPr>
        <w:t>机构设置</w:t>
      </w:r>
      <w:r>
        <w:rPr>
          <w:rFonts w:hint="eastAsia" w:ascii="仿宋" w:hAnsi="仿宋" w:eastAsia="仿宋" w:cstheme="majorEastAsia"/>
          <w:sz w:val="32"/>
          <w:szCs w:val="32"/>
        </w:rPr>
        <w:t>。根据编委核定，局内设行政股室3个，办公室、业务股、法规股。行政编制7人，年末实有在职人数18人，离退休11人。2017年增设了2个二级机构：地方经济调查队、数据处理中心。</w:t>
      </w:r>
    </w:p>
    <w:p>
      <w:pPr>
        <w:pStyle w:val="5"/>
        <w:widowControl/>
        <w:spacing w:beforeAutospacing="0" w:afterAutospacing="0"/>
        <w:ind w:firstLine="640" w:firstLineChars="200"/>
        <w:jc w:val="both"/>
        <w:rPr>
          <w:rFonts w:ascii="仿宋" w:hAnsi="仿宋" w:eastAsia="仿宋" w:cstheme="majorEastAsia"/>
          <w:kern w:val="2"/>
          <w:sz w:val="32"/>
          <w:szCs w:val="32"/>
        </w:rPr>
      </w:pPr>
      <w:r>
        <w:rPr>
          <w:rFonts w:ascii="仿宋" w:hAnsi="仿宋" w:eastAsia="仿宋" w:cstheme="majorEastAsia"/>
          <w:kern w:val="2"/>
          <w:sz w:val="32"/>
          <w:szCs w:val="32"/>
        </w:rPr>
        <w:t>决算单位构成</w:t>
      </w:r>
      <w:r>
        <w:rPr>
          <w:rFonts w:hint="eastAsia" w:ascii="仿宋" w:hAnsi="仿宋" w:eastAsia="仿宋" w:cstheme="majorEastAsia"/>
          <w:kern w:val="2"/>
          <w:sz w:val="32"/>
          <w:szCs w:val="32"/>
        </w:rPr>
        <w:t>。纳入2020年</w:t>
      </w:r>
      <w:r>
        <w:rPr>
          <w:rFonts w:ascii="仿宋" w:hAnsi="仿宋" w:eastAsia="仿宋" w:cstheme="majorEastAsia"/>
          <w:kern w:val="2"/>
          <w:sz w:val="32"/>
          <w:szCs w:val="32"/>
        </w:rPr>
        <w:t>部门决算编报范围的单位</w:t>
      </w:r>
      <w:r>
        <w:rPr>
          <w:rFonts w:hint="eastAsia" w:ascii="仿宋" w:hAnsi="仿宋" w:eastAsia="仿宋" w:cstheme="majorEastAsia"/>
          <w:kern w:val="2"/>
          <w:sz w:val="32"/>
          <w:szCs w:val="32"/>
        </w:rPr>
        <w:t>有局本级和二级预算单位数据管理中心，数据管理中心</w:t>
      </w:r>
      <w:r>
        <w:rPr>
          <w:rFonts w:ascii="仿宋" w:hAnsi="仿宋" w:eastAsia="仿宋" w:cstheme="majorEastAsia"/>
          <w:kern w:val="2"/>
          <w:sz w:val="32"/>
          <w:szCs w:val="32"/>
        </w:rPr>
        <w:t>机构未设独立账户，所以20</w:t>
      </w:r>
      <w:r>
        <w:rPr>
          <w:rFonts w:hint="eastAsia" w:ascii="仿宋" w:hAnsi="仿宋" w:eastAsia="仿宋" w:cstheme="majorEastAsia"/>
          <w:kern w:val="2"/>
          <w:sz w:val="32"/>
          <w:szCs w:val="32"/>
        </w:rPr>
        <w:t>20</w:t>
      </w:r>
      <w:r>
        <w:rPr>
          <w:rFonts w:ascii="仿宋" w:hAnsi="仿宋" w:eastAsia="仿宋" w:cstheme="majorEastAsia"/>
          <w:kern w:val="2"/>
          <w:sz w:val="32"/>
          <w:szCs w:val="32"/>
        </w:rPr>
        <w:t>年部门决算公开单位为</w:t>
      </w:r>
      <w:r>
        <w:rPr>
          <w:rFonts w:hint="eastAsia" w:ascii="仿宋" w:hAnsi="仿宋" w:eastAsia="仿宋" w:cstheme="majorEastAsia"/>
          <w:kern w:val="2"/>
          <w:sz w:val="32"/>
          <w:szCs w:val="32"/>
        </w:rPr>
        <w:t>衡南县</w:t>
      </w:r>
      <w:r>
        <w:rPr>
          <w:rFonts w:ascii="仿宋" w:hAnsi="仿宋" w:eastAsia="仿宋" w:cstheme="majorEastAsia"/>
          <w:kern w:val="2"/>
          <w:sz w:val="32"/>
          <w:szCs w:val="32"/>
        </w:rPr>
        <w:t>统计局。</w:t>
      </w:r>
      <w:r>
        <w:rPr>
          <w:rFonts w:hint="eastAsia" w:ascii="仿宋" w:hAnsi="仿宋" w:eastAsia="仿宋" w:cstheme="majorEastAsia"/>
          <w:kern w:val="2"/>
          <w:sz w:val="32"/>
          <w:szCs w:val="32"/>
        </w:rPr>
        <w:t>没有政府性基金预算拨款、国有资本经营预算收入和纳入专户管理的非税收入拨款收入，也没有使用政府性基金预算拨款、国有资本经营预算收入和纳入专户管理的非税收入拨款安排的支出，收入均为经费拨款；支出包括单位基本运行的经费。 </w:t>
      </w:r>
    </w:p>
    <w:p>
      <w:pPr>
        <w:pStyle w:val="5"/>
        <w:widowControl/>
        <w:spacing w:beforeAutospacing="0" w:afterAutospacing="0"/>
        <w:jc w:val="both"/>
        <w:rPr>
          <w:rFonts w:ascii="仿宋" w:hAnsi="仿宋" w:eastAsia="仿宋" w:cstheme="majorEastAsia"/>
          <w:kern w:val="2"/>
          <w:sz w:val="32"/>
          <w:szCs w:val="32"/>
        </w:rPr>
      </w:pPr>
      <w:r>
        <w:rPr>
          <w:rFonts w:hint="eastAsia" w:ascii="仿宋" w:hAnsi="仿宋" w:eastAsia="仿宋" w:cstheme="majorEastAsia"/>
          <w:kern w:val="2"/>
          <w:sz w:val="32"/>
          <w:szCs w:val="32"/>
        </w:rPr>
        <w:t>　　</w:t>
      </w: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44"/>
          <w:szCs w:val="44"/>
        </w:rPr>
      </w:pPr>
      <w:r>
        <w:rPr>
          <w:rFonts w:hint="eastAsia"/>
          <w:sz w:val="44"/>
          <w:szCs w:val="44"/>
        </w:rPr>
        <w:t>(部门决算公示表附后)</w:t>
      </w:r>
    </w:p>
    <w:p>
      <w:pPr>
        <w:pStyle w:val="5"/>
        <w:widowControl/>
        <w:spacing w:beforeAutospacing="0" w:afterAutospacing="0"/>
        <w:jc w:val="both"/>
        <w:rPr>
          <w:rFonts w:asciiTheme="majorEastAsia" w:hAnsiTheme="majorEastAsia" w:eastAsiaTheme="majorEastAsia" w:cstheme="majorEastAsia"/>
          <w:sz w:val="32"/>
          <w:szCs w:val="32"/>
          <w:shd w:val="clear" w:color="auto" w:fill="F6F6F6"/>
        </w:rPr>
      </w:pPr>
    </w:p>
    <w:p/>
    <w:p/>
    <w:p/>
    <w:p/>
    <w:p/>
    <w:p/>
    <w:p/>
    <w:p/>
    <w:p/>
    <w:p/>
    <w:p/>
    <w:p/>
    <w:p/>
    <w:p/>
    <w:p/>
    <w:p/>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r>
        <w:rPr>
          <w:rFonts w:hint="eastAsia"/>
          <w:sz w:val="72"/>
          <w:szCs w:val="72"/>
        </w:rPr>
        <w:t>第三部分</w:t>
      </w:r>
    </w:p>
    <w:p>
      <w:pPr>
        <w:pStyle w:val="12"/>
        <w:jc w:val="center"/>
        <w:rPr>
          <w:w w:val="95"/>
          <w:sz w:val="72"/>
          <w:szCs w:val="72"/>
        </w:rPr>
      </w:pPr>
      <w:r>
        <w:rPr>
          <w:w w:val="95"/>
          <w:sz w:val="72"/>
          <w:szCs w:val="72"/>
        </w:rPr>
        <w:t>20</w:t>
      </w:r>
      <w:r>
        <w:rPr>
          <w:rFonts w:hint="eastAsia"/>
          <w:w w:val="95"/>
          <w:sz w:val="72"/>
          <w:szCs w:val="72"/>
        </w:rPr>
        <w:t>20年度部门决算情况说明</w:t>
      </w:r>
    </w:p>
    <w:p>
      <w:r>
        <w:t> </w:t>
      </w:r>
    </w:p>
    <w:p/>
    <w:p/>
    <w:p/>
    <w:p/>
    <w:p/>
    <w:p/>
    <w:p/>
    <w:p/>
    <w:p/>
    <w:p/>
    <w:p/>
    <w:p/>
    <w:p/>
    <w:p/>
    <w:p/>
    <w:p/>
    <w:p/>
    <w:p/>
    <w:p/>
    <w:p/>
    <w:p/>
    <w:p>
      <w:pPr>
        <w:widowControl/>
        <w:jc w:val="left"/>
        <w:rPr>
          <w:rFonts w:ascii="仿宋" w:hAnsi="仿宋" w:eastAsia="仿宋"/>
          <w:b/>
          <w:sz w:val="32"/>
          <w:szCs w:val="32"/>
        </w:rPr>
      </w:pPr>
      <w:r>
        <w:rPr>
          <w:rFonts w:hint="eastAsia" w:ascii="仿宋" w:hAnsi="仿宋" w:eastAsia="仿宋"/>
          <w:b/>
          <w:sz w:val="32"/>
          <w:szCs w:val="32"/>
        </w:rPr>
        <w:t>一、收入支出决算总体情况说明</w:t>
      </w:r>
    </w:p>
    <w:p>
      <w:pPr>
        <w:ind w:firstLine="570"/>
        <w:jc w:val="left"/>
        <w:rPr>
          <w:rFonts w:ascii="仿宋" w:hAnsi="仿宋" w:eastAsia="仿宋" w:cstheme="majorEastAsia"/>
          <w:color w:val="333333"/>
          <w:kern w:val="0"/>
          <w:sz w:val="32"/>
          <w:szCs w:val="32"/>
        </w:rPr>
      </w:pPr>
      <w:r>
        <w:rPr>
          <w:rFonts w:hint="eastAsia" w:ascii="仿宋" w:hAnsi="仿宋" w:eastAsia="仿宋" w:cstheme="majorEastAsia"/>
          <w:color w:val="333333"/>
          <w:kern w:val="0"/>
          <w:sz w:val="32"/>
          <w:szCs w:val="32"/>
        </w:rPr>
        <w:t>本局2020年度收入总计679.12万元，财政拨款661.91万元，其他收入17.2万元，较上年决算数增加334万元，增加49%;支出总计679.12万元，较上年决算数增加334万元，增加49%。</w:t>
      </w:r>
      <w:r>
        <w:rPr>
          <w:rFonts w:hint="eastAsia" w:ascii="仿宋" w:hAnsi="仿宋" w:eastAsia="仿宋"/>
          <w:sz w:val="32"/>
          <w:szCs w:val="32"/>
        </w:rPr>
        <w:t>主要是因为人员工资调资相应增加,统计调查专项经费增加。</w:t>
      </w:r>
    </w:p>
    <w:p>
      <w:pPr>
        <w:pStyle w:val="12"/>
        <w:rPr>
          <w:rFonts w:ascii="仿宋" w:hAnsi="仿宋" w:eastAsia="仿宋"/>
          <w:b/>
          <w:sz w:val="32"/>
          <w:szCs w:val="32"/>
        </w:rPr>
      </w:pPr>
      <w:r>
        <w:rPr>
          <w:rFonts w:hint="eastAsia" w:ascii="仿宋" w:hAnsi="仿宋" w:eastAsia="仿宋"/>
          <w:b/>
          <w:sz w:val="32"/>
          <w:szCs w:val="32"/>
        </w:rPr>
        <w:t>二、收入决算情况说明</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本年收入合计679.12万元，其中：财政拨款收入661.91万元，</w:t>
      </w:r>
      <w:r>
        <w:rPr>
          <w:rFonts w:hint="eastAsia" w:ascii="仿宋" w:hAnsi="仿宋" w:eastAsia="仿宋" w:cstheme="majorEastAsia"/>
          <w:color w:val="333333"/>
          <w:kern w:val="0"/>
          <w:sz w:val="32"/>
          <w:szCs w:val="32"/>
        </w:rPr>
        <w:t>其他收入17.2万元。</w:t>
      </w:r>
    </w:p>
    <w:p>
      <w:pPr>
        <w:pStyle w:val="12"/>
        <w:rPr>
          <w:rFonts w:ascii="仿宋" w:hAnsi="仿宋" w:eastAsia="仿宋"/>
          <w:b/>
          <w:sz w:val="32"/>
          <w:szCs w:val="32"/>
        </w:rPr>
      </w:pPr>
      <w:r>
        <w:rPr>
          <w:rFonts w:hint="eastAsia" w:ascii="仿宋" w:hAnsi="仿宋" w:eastAsia="仿宋"/>
          <w:b/>
          <w:sz w:val="32"/>
          <w:szCs w:val="32"/>
        </w:rPr>
        <w:t>三、支出决算情况说明</w:t>
      </w:r>
    </w:p>
    <w:p>
      <w:pPr>
        <w:pStyle w:val="5"/>
        <w:widowControl/>
        <w:spacing w:beforeAutospacing="0" w:afterAutospacing="0"/>
        <w:ind w:firstLine="640" w:firstLineChars="200"/>
        <w:jc w:val="both"/>
        <w:rPr>
          <w:rFonts w:ascii="仿宋" w:hAnsi="仿宋" w:eastAsia="仿宋" w:cstheme="majorEastAsia"/>
          <w:color w:val="333333"/>
          <w:sz w:val="32"/>
          <w:szCs w:val="32"/>
        </w:rPr>
      </w:pPr>
      <w:r>
        <w:rPr>
          <w:rFonts w:hint="eastAsia" w:ascii="仿宋" w:hAnsi="仿宋" w:eastAsia="仿宋" w:cstheme="majorEastAsia"/>
          <w:color w:val="333333"/>
          <w:sz w:val="32"/>
          <w:szCs w:val="32"/>
        </w:rPr>
        <w:t>2020年决算数679.12万元，其中，一般公共服务633.75万元，社会保障和就业支出20.31万元，住房保障支出5.97万元,健康卫生保障支出6.87万元，资源勘探工业信息等支出5.4万元。</w:t>
      </w:r>
    </w:p>
    <w:p>
      <w:pPr>
        <w:pStyle w:val="5"/>
        <w:widowControl/>
        <w:spacing w:beforeAutospacing="0" w:afterAutospacing="0"/>
        <w:jc w:val="both"/>
        <w:rPr>
          <w:rFonts w:ascii="仿宋" w:hAnsi="仿宋" w:eastAsia="仿宋" w:cstheme="majorEastAsia"/>
          <w:color w:val="333333"/>
          <w:sz w:val="32"/>
          <w:szCs w:val="32"/>
        </w:rPr>
      </w:pPr>
      <w:r>
        <w:rPr>
          <w:rFonts w:hint="eastAsia" w:ascii="仿宋" w:hAnsi="仿宋" w:eastAsia="仿宋" w:cstheme="majorEastAsia"/>
          <w:color w:val="333333"/>
          <w:sz w:val="32"/>
          <w:szCs w:val="32"/>
        </w:rPr>
        <w:t>　　1、基本支出：是指为保障单位机构正常运转、完成日常工作任务而发生的各项支出，包括用于基本工资、津贴补贴等人员经费以及办公费、印刷费、水电费、办公设备购置等日常公用经费。 </w:t>
      </w:r>
    </w:p>
    <w:p>
      <w:pPr>
        <w:pStyle w:val="5"/>
        <w:widowControl/>
        <w:spacing w:beforeAutospacing="0" w:afterAutospacing="0"/>
        <w:ind w:firstLine="640" w:firstLineChars="200"/>
        <w:jc w:val="both"/>
        <w:rPr>
          <w:rFonts w:ascii="仿宋" w:hAnsi="仿宋" w:eastAsia="仿宋" w:cstheme="majorEastAsia"/>
          <w:color w:val="333333"/>
          <w:sz w:val="32"/>
          <w:szCs w:val="32"/>
        </w:rPr>
      </w:pPr>
      <w:r>
        <w:rPr>
          <w:rFonts w:hint="eastAsia" w:ascii="仿宋" w:hAnsi="仿宋" w:eastAsia="仿宋" w:cstheme="majorEastAsia"/>
          <w:color w:val="333333"/>
          <w:sz w:val="32"/>
          <w:szCs w:val="32"/>
        </w:rPr>
        <w:t>2、项目支出：是指单位为完成特定行政工作任务或事业发展目标而发生的支出，包括有关业务工作经费和运行维护经费。</w:t>
      </w:r>
    </w:p>
    <w:p>
      <w:pPr>
        <w:pStyle w:val="12"/>
        <w:rPr>
          <w:rFonts w:ascii="仿宋" w:hAnsi="仿宋" w:eastAsia="仿宋"/>
          <w:b/>
          <w:sz w:val="32"/>
          <w:szCs w:val="32"/>
        </w:rPr>
      </w:pPr>
      <w:r>
        <w:rPr>
          <w:rFonts w:hint="eastAsia" w:ascii="仿宋" w:hAnsi="仿宋" w:eastAsia="仿宋"/>
          <w:b/>
          <w:sz w:val="32"/>
          <w:szCs w:val="32"/>
        </w:rPr>
        <w:t>四、一般公共预算财政拨款支出决算情况说明</w:t>
      </w:r>
    </w:p>
    <w:p>
      <w:pPr>
        <w:pStyle w:val="12"/>
        <w:ind w:firstLine="643" w:firstLineChars="200"/>
        <w:rPr>
          <w:rFonts w:ascii="仿宋" w:hAnsi="仿宋" w:eastAsia="仿宋"/>
          <w:b/>
          <w:sz w:val="32"/>
          <w:szCs w:val="32"/>
        </w:rPr>
      </w:pPr>
      <w:r>
        <w:rPr>
          <w:rFonts w:hint="eastAsia" w:ascii="仿宋" w:hAnsi="仿宋" w:eastAsia="仿宋"/>
          <w:b/>
          <w:sz w:val="32"/>
          <w:szCs w:val="32"/>
        </w:rPr>
        <w:t>（一）财政拨款支出决算总体情况</w:t>
      </w:r>
    </w:p>
    <w:p>
      <w:pPr>
        <w:pStyle w:val="12"/>
        <w:ind w:firstLine="800" w:firstLineChars="250"/>
        <w:rPr>
          <w:rFonts w:ascii="仿宋" w:hAnsi="仿宋" w:eastAsia="仿宋"/>
          <w:sz w:val="32"/>
          <w:szCs w:val="32"/>
        </w:rPr>
      </w:pPr>
      <w:r>
        <w:rPr>
          <w:rFonts w:hint="eastAsia" w:ascii="仿宋" w:hAnsi="仿宋" w:eastAsia="仿宋"/>
          <w:sz w:val="32"/>
          <w:szCs w:val="32"/>
        </w:rPr>
        <w:t>2020年度财政拨款支出661.91万元，占本年支出合计的97%，与2019年相比，财政拨款支出增加316.8万元，增长47%，主要是因为人员工资调资相应增加,统计调查专项经费增加。</w:t>
      </w:r>
    </w:p>
    <w:p>
      <w:pPr>
        <w:pStyle w:val="12"/>
        <w:ind w:firstLine="482" w:firstLineChars="150"/>
        <w:rPr>
          <w:rFonts w:ascii="仿宋" w:hAnsi="仿宋" w:eastAsia="仿宋"/>
          <w:b/>
          <w:sz w:val="32"/>
          <w:szCs w:val="32"/>
        </w:rPr>
      </w:pPr>
      <w:r>
        <w:rPr>
          <w:rFonts w:hint="eastAsia" w:ascii="仿宋" w:hAnsi="仿宋" w:eastAsia="仿宋"/>
          <w:b/>
          <w:sz w:val="32"/>
          <w:szCs w:val="32"/>
        </w:rPr>
        <w:t>（二）财政拨款支出决算结构情况</w:t>
      </w:r>
    </w:p>
    <w:p>
      <w:pPr>
        <w:pStyle w:val="12"/>
        <w:ind w:firstLine="640" w:firstLineChars="200"/>
        <w:rPr>
          <w:rFonts w:ascii="仿宋" w:hAnsi="仿宋" w:eastAsia="仿宋"/>
          <w:sz w:val="32"/>
          <w:szCs w:val="32"/>
        </w:rPr>
      </w:pPr>
      <w:r>
        <w:rPr>
          <w:rFonts w:hint="eastAsia" w:ascii="仿宋" w:hAnsi="仿宋" w:eastAsia="仿宋"/>
          <w:sz w:val="32"/>
          <w:szCs w:val="32"/>
        </w:rPr>
        <w:t>2020年度财政拨款支出661.91万元，主要用于以下方面：一般公共服务（类）支出633.75万元，占95%；社会保障和就业支出20.31万元，占3%；卫生健康支出6.87万元，占1%；住房保障支出5.97万元，占1%。</w:t>
      </w:r>
    </w:p>
    <w:p>
      <w:pPr>
        <w:pStyle w:val="12"/>
        <w:ind w:firstLine="803" w:firstLineChars="250"/>
        <w:rPr>
          <w:rFonts w:ascii="仿宋" w:hAnsi="仿宋" w:eastAsia="仿宋"/>
          <w:b/>
          <w:sz w:val="32"/>
          <w:szCs w:val="32"/>
        </w:rPr>
      </w:pPr>
      <w:r>
        <w:rPr>
          <w:rFonts w:hint="eastAsia" w:ascii="仿宋" w:hAnsi="仿宋" w:eastAsia="仿宋"/>
          <w:b/>
          <w:sz w:val="32"/>
          <w:szCs w:val="32"/>
        </w:rPr>
        <w:t>（三）财政拨款支出决算具体情况</w:t>
      </w:r>
    </w:p>
    <w:p>
      <w:pPr>
        <w:pStyle w:val="12"/>
        <w:ind w:firstLine="800" w:firstLineChars="250"/>
        <w:rPr>
          <w:rFonts w:ascii="仿宋" w:hAnsi="仿宋" w:eastAsia="仿宋"/>
          <w:sz w:val="32"/>
          <w:szCs w:val="32"/>
        </w:rPr>
      </w:pPr>
      <w:r>
        <w:rPr>
          <w:rFonts w:hint="eastAsia" w:ascii="仿宋" w:hAnsi="仿宋" w:eastAsia="仿宋"/>
          <w:sz w:val="32"/>
          <w:szCs w:val="32"/>
        </w:rPr>
        <w:t>2020年度财政拨款支出年初预算数为177.34万元，支出决算数为661.91万元，完成年初预算的373%，其中：</w:t>
      </w:r>
    </w:p>
    <w:p>
      <w:pPr>
        <w:widowControl/>
        <w:shd w:val="clear" w:color="auto" w:fill="FFFFFF"/>
        <w:spacing w:before="100" w:beforeAutospacing="1" w:after="100" w:afterAutospacing="1" w:line="450" w:lineRule="atLeast"/>
        <w:ind w:firstLine="640"/>
        <w:jc w:val="left"/>
        <w:rPr>
          <w:rFonts w:ascii="仿宋" w:hAnsi="仿宋" w:eastAsia="仿宋" w:cs="宋体"/>
          <w:color w:val="333333"/>
          <w:kern w:val="0"/>
          <w:sz w:val="24"/>
          <w:szCs w:val="24"/>
        </w:rPr>
      </w:pPr>
      <w:r>
        <w:rPr>
          <w:rFonts w:hint="eastAsia" w:ascii="仿宋" w:hAnsi="仿宋" w:eastAsia="仿宋"/>
          <w:sz w:val="32"/>
          <w:szCs w:val="32"/>
        </w:rPr>
        <w:t>1、</w:t>
      </w:r>
      <w:r>
        <w:rPr>
          <w:rFonts w:hint="eastAsia" w:ascii="仿宋" w:hAnsi="仿宋" w:eastAsia="仿宋" w:cs="黑体"/>
          <w:color w:val="000000"/>
          <w:kern w:val="0"/>
          <w:sz w:val="32"/>
          <w:szCs w:val="32"/>
        </w:rPr>
        <w:t>一般公共服务（类）人力资源事务（款）一般行政管理事务（项）。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年初预算为177.34万元，支出决算为661.91万元，决算数大于年初预算数的主要原因是：决算数包含了年中追加数。</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2、一般公共服务（类）人力资源事务（款）社会保障和就业（项）。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年初预算为32.89万元，支出决算为20.31万元，完成年初预算的62%。决算数小于年初预算数的主要原因是：第4季度养老保险于2020年1月支出。</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3、一般公共服务（类）人力资源事务（款）卫生健康（项）。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年初预算为5.58万元，支出决算为6.87万元，完成年初预算的123%。</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4、一般公共服务（类）人力资源事务（款）住房保障（项）。</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年初预算为6.28万元，支出决算为5.4万元，完成年初预算的86%。</w:t>
      </w:r>
    </w:p>
    <w:p>
      <w:pPr>
        <w:pStyle w:val="12"/>
        <w:rPr>
          <w:rFonts w:ascii="仿宋" w:hAnsi="仿宋" w:eastAsia="仿宋"/>
          <w:b/>
          <w:sz w:val="32"/>
          <w:szCs w:val="32"/>
        </w:rPr>
      </w:pPr>
      <w:r>
        <w:rPr>
          <w:rFonts w:hint="eastAsia" w:ascii="仿宋" w:hAnsi="仿宋" w:eastAsia="仿宋"/>
          <w:b/>
          <w:sz w:val="32"/>
          <w:szCs w:val="32"/>
        </w:rPr>
        <w:t>六、一般公共预算财政拨款基本支出决算情况说明</w:t>
      </w:r>
    </w:p>
    <w:p>
      <w:pPr>
        <w:pStyle w:val="12"/>
        <w:ind w:firstLine="640" w:firstLineChars="200"/>
        <w:rPr>
          <w:rFonts w:ascii="仿宋" w:hAnsi="仿宋" w:eastAsia="仿宋"/>
          <w:sz w:val="32"/>
          <w:szCs w:val="32"/>
        </w:rPr>
      </w:pPr>
      <w:r>
        <w:rPr>
          <w:rFonts w:hint="eastAsia" w:ascii="仿宋" w:hAnsi="仿宋" w:eastAsia="仿宋"/>
          <w:sz w:val="32"/>
          <w:szCs w:val="32"/>
        </w:rPr>
        <w:t>2020年度财政拨款基本支出318.73万元，其中：人员经费279.87万元，占基本支出的87.8%,主要包括基本工资、津贴补贴、奖金、伙食补助费、绩效工资等；公用经费38.86万元，占基本支出的12.2%，主要包括办公费、印刷费、咨询费、手续费、水费、电费、邮电费、物业管理费、差旅费、维修（护）费、会议费、公务接待费、劳务费、工会经费、公务用车运行维护费、其他交通费、其他商品和服务支出费。</w:t>
      </w:r>
    </w:p>
    <w:p>
      <w:pPr>
        <w:pStyle w:val="12"/>
        <w:rPr>
          <w:rFonts w:ascii="仿宋" w:hAnsi="仿宋" w:eastAsia="仿宋"/>
          <w:b/>
          <w:sz w:val="32"/>
          <w:szCs w:val="32"/>
        </w:rPr>
      </w:pPr>
      <w:r>
        <w:rPr>
          <w:rFonts w:hint="eastAsia" w:ascii="仿宋" w:hAnsi="仿宋" w:eastAsia="仿宋"/>
          <w:b/>
          <w:sz w:val="32"/>
          <w:szCs w:val="32"/>
        </w:rPr>
        <w:t>七、一般公共预算财政拨款三公经费支出决算情况说明</w:t>
      </w:r>
    </w:p>
    <w:p>
      <w:pPr>
        <w:pStyle w:val="12"/>
        <w:ind w:firstLine="643" w:firstLineChars="200"/>
        <w:rPr>
          <w:rFonts w:ascii="仿宋" w:hAnsi="仿宋" w:eastAsia="仿宋"/>
          <w:b/>
          <w:sz w:val="32"/>
          <w:szCs w:val="32"/>
        </w:rPr>
      </w:pPr>
      <w:r>
        <w:rPr>
          <w:rFonts w:hint="eastAsia" w:ascii="仿宋" w:hAnsi="仿宋" w:eastAsia="仿宋"/>
          <w:b/>
          <w:sz w:val="32"/>
          <w:szCs w:val="32"/>
        </w:rPr>
        <w:t>（一）“三公”经费财政拨款支出决算总体情况说明</w:t>
      </w:r>
    </w:p>
    <w:p>
      <w:pPr>
        <w:pStyle w:val="12"/>
        <w:ind w:firstLine="800" w:firstLineChars="250"/>
        <w:rPr>
          <w:rFonts w:ascii="仿宋" w:hAnsi="仿宋" w:eastAsia="仿宋"/>
          <w:sz w:val="32"/>
          <w:szCs w:val="32"/>
        </w:rPr>
      </w:pPr>
      <w:r>
        <w:rPr>
          <w:rFonts w:hint="eastAsia" w:ascii="仿宋" w:hAnsi="仿宋" w:eastAsia="仿宋"/>
          <w:sz w:val="32"/>
          <w:szCs w:val="32"/>
        </w:rPr>
        <w:t>“三公”经费财政拨款支出预算为10万元，支出决算为0.68万元，完成预算的68%,决算数小于预算数主要原因是</w:t>
      </w:r>
      <w:r>
        <w:rPr>
          <w:rFonts w:hint="eastAsia" w:asciiTheme="minorEastAsia" w:hAnsiTheme="minorEastAsia" w:eastAsiaTheme="minorEastAsia"/>
          <w:sz w:val="32"/>
          <w:szCs w:val="32"/>
        </w:rPr>
        <w:t>是</w:t>
      </w:r>
      <w:r>
        <w:rPr>
          <w:rFonts w:hint="eastAsia" w:ascii="仿宋" w:hAnsi="仿宋" w:eastAsia="仿宋"/>
          <w:sz w:val="32"/>
          <w:szCs w:val="32"/>
        </w:rPr>
        <w:t>厉行节约，压缩一般性行政经费，严格三公经费支出的审核把关和规范三公经费支出程序。严格执行中央八项规定</w:t>
      </w:r>
      <w:bookmarkStart w:id="0" w:name="_GoBack"/>
      <w:bookmarkEnd w:id="0"/>
      <w:r>
        <w:rPr>
          <w:rFonts w:hint="eastAsia" w:ascii="仿宋" w:hAnsi="仿宋" w:eastAsia="仿宋"/>
          <w:sz w:val="32"/>
          <w:szCs w:val="32"/>
        </w:rPr>
        <w:t>，公务接待严禁奢侈浪费。其中：</w:t>
      </w:r>
    </w:p>
    <w:p>
      <w:pPr>
        <w:pStyle w:val="12"/>
        <w:ind w:firstLine="800" w:firstLineChars="250"/>
        <w:rPr>
          <w:rFonts w:ascii="仿宋" w:hAnsi="仿宋" w:eastAsia="仿宋"/>
          <w:sz w:val="32"/>
          <w:szCs w:val="32"/>
        </w:rPr>
      </w:pPr>
      <w:r>
        <w:rPr>
          <w:rFonts w:hint="eastAsia" w:ascii="仿宋" w:hAnsi="仿宋" w:eastAsia="仿宋"/>
          <w:sz w:val="32"/>
          <w:szCs w:val="32"/>
        </w:rPr>
        <w:t>公务接待费支出预算为1万元，支出决算为0.68万元，完成预算的68%，决算数小于年初预算数的主要原因是杜绝铺张浪费，厉行节约，减少的主要原因是我局认真贯彻落实中央八项规定、省委九项规定和厉行节约的各项要求，进一步从严控制公务接待费开支。</w:t>
      </w:r>
    </w:p>
    <w:p>
      <w:pPr>
        <w:pStyle w:val="12"/>
        <w:ind w:firstLine="800" w:firstLineChars="250"/>
        <w:rPr>
          <w:rFonts w:ascii="仿宋" w:hAnsi="仿宋" w:eastAsia="仿宋"/>
          <w:sz w:val="32"/>
          <w:szCs w:val="32"/>
        </w:rPr>
      </w:pPr>
      <w:r>
        <w:rPr>
          <w:rFonts w:hint="eastAsia" w:ascii="仿宋" w:hAnsi="仿宋" w:eastAsia="仿宋"/>
          <w:sz w:val="32"/>
          <w:szCs w:val="32"/>
        </w:rPr>
        <w:t>因公出国（境）费支出决算0万元，完成预算度0%；</w:t>
      </w:r>
    </w:p>
    <w:p>
      <w:pPr>
        <w:pStyle w:val="12"/>
        <w:ind w:firstLine="800" w:firstLineChars="250"/>
        <w:rPr>
          <w:rFonts w:ascii="仿宋" w:hAnsi="仿宋" w:eastAsia="仿宋"/>
          <w:sz w:val="32"/>
          <w:szCs w:val="32"/>
        </w:rPr>
      </w:pPr>
      <w:r>
        <w:rPr>
          <w:rFonts w:hint="eastAsia" w:ascii="仿宋" w:hAnsi="仿宋" w:eastAsia="仿宋"/>
          <w:sz w:val="32"/>
          <w:szCs w:val="32"/>
        </w:rPr>
        <w:t>公务用车购置费及运行维护费支出决算0万元，完成预算度0%。</w:t>
      </w:r>
    </w:p>
    <w:p>
      <w:pPr>
        <w:pStyle w:val="12"/>
        <w:ind w:firstLine="482" w:firstLineChars="150"/>
        <w:rPr>
          <w:rFonts w:ascii="仿宋" w:hAnsi="仿宋" w:eastAsia="仿宋"/>
          <w:b/>
          <w:sz w:val="32"/>
          <w:szCs w:val="32"/>
        </w:rPr>
      </w:pPr>
      <w:r>
        <w:rPr>
          <w:rFonts w:hint="eastAsia" w:ascii="仿宋" w:hAnsi="仿宋" w:eastAsia="仿宋"/>
          <w:b/>
          <w:sz w:val="32"/>
          <w:szCs w:val="32"/>
        </w:rPr>
        <w:t>（二）“三公”经费财政拨款支出决算具体情况说明</w:t>
      </w:r>
    </w:p>
    <w:p>
      <w:pPr>
        <w:pStyle w:val="12"/>
        <w:ind w:firstLine="640" w:firstLineChars="200"/>
        <w:rPr>
          <w:rFonts w:ascii="仿宋" w:hAnsi="仿宋" w:eastAsia="仿宋"/>
          <w:sz w:val="32"/>
          <w:szCs w:val="32"/>
        </w:rPr>
      </w:pPr>
      <w:r>
        <w:rPr>
          <w:rFonts w:hint="eastAsia" w:ascii="仿宋" w:hAnsi="仿宋" w:eastAsia="仿宋"/>
          <w:sz w:val="32"/>
          <w:szCs w:val="32"/>
        </w:rPr>
        <w:t>2020年度“三公”经费财政拨款支出决算0.68万元，公务接待费支出决算0.68万元，占100%；因公出国（境）费支出决算0万元，占0%,公务用车购置费及运行维护费支出决算0万元，占0%。</w:t>
      </w:r>
    </w:p>
    <w:p>
      <w:pPr>
        <w:pStyle w:val="12"/>
        <w:ind w:firstLine="640" w:firstLineChars="200"/>
        <w:rPr>
          <w:rFonts w:ascii="仿宋" w:hAnsi="仿宋" w:eastAsia="仿宋"/>
          <w:sz w:val="32"/>
          <w:szCs w:val="32"/>
        </w:rPr>
      </w:pPr>
      <w:r>
        <w:rPr>
          <w:rFonts w:hint="eastAsia" w:ascii="仿宋" w:hAnsi="仿宋" w:eastAsia="仿宋"/>
          <w:sz w:val="32"/>
          <w:szCs w:val="32"/>
        </w:rPr>
        <w:t>其中：</w:t>
      </w:r>
    </w:p>
    <w:p>
      <w:pPr>
        <w:pStyle w:val="12"/>
        <w:ind w:firstLine="640" w:firstLineChars="200"/>
        <w:rPr>
          <w:rFonts w:ascii="仿宋" w:hAnsi="仿宋" w:eastAsia="仿宋"/>
          <w:b/>
          <w:sz w:val="32"/>
          <w:szCs w:val="32"/>
        </w:rPr>
      </w:pPr>
      <w:r>
        <w:rPr>
          <w:rFonts w:hint="eastAsia" w:ascii="仿宋" w:hAnsi="仿宋" w:eastAsia="仿宋"/>
          <w:sz w:val="32"/>
          <w:szCs w:val="32"/>
        </w:rPr>
        <w:t>1、因公出国（境）费支出决算为0万元，全年安排因公出国（境）团组0个，累计0人次。</w:t>
      </w:r>
      <w:r>
        <w:rPr>
          <w:rFonts w:ascii="仿宋" w:hAnsi="仿宋" w:eastAsia="仿宋"/>
          <w:b/>
          <w:sz w:val="32"/>
          <w:szCs w:val="32"/>
        </w:rPr>
        <w:t xml:space="preserve"> </w:t>
      </w:r>
    </w:p>
    <w:p>
      <w:pPr>
        <w:pStyle w:val="12"/>
        <w:ind w:firstLine="640" w:firstLineChars="200"/>
        <w:rPr>
          <w:rFonts w:ascii="仿宋" w:hAnsi="仿宋" w:eastAsia="仿宋"/>
          <w:sz w:val="32"/>
          <w:szCs w:val="32"/>
        </w:rPr>
      </w:pPr>
      <w:r>
        <w:rPr>
          <w:rFonts w:hint="eastAsia" w:ascii="仿宋" w:hAnsi="仿宋" w:eastAsia="仿宋"/>
          <w:sz w:val="32"/>
          <w:szCs w:val="32"/>
        </w:rPr>
        <w:t>2、公务接待费支出决算为0.68万元，全年共接待来访团组15个、来宾103人次，主要是开劳动工作会、上级单位检查、兄弟单位相互学习等发生的接待支出。</w:t>
      </w:r>
    </w:p>
    <w:p>
      <w:pPr>
        <w:pStyle w:val="12"/>
        <w:ind w:firstLine="640" w:firstLineChars="200"/>
        <w:rPr>
          <w:rFonts w:ascii="仿宋" w:hAnsi="仿宋" w:eastAsia="仿宋"/>
          <w:sz w:val="32"/>
          <w:szCs w:val="32"/>
        </w:rPr>
      </w:pPr>
      <w:r>
        <w:rPr>
          <w:rFonts w:hint="eastAsia" w:ascii="仿宋" w:hAnsi="仿宋" w:eastAsia="仿宋"/>
          <w:sz w:val="32"/>
          <w:szCs w:val="32"/>
        </w:rPr>
        <w:t>3、我单位没有公务车都已上交，公务用车购置费及运行维护费支出决算为0万元。本年公务用车购置数及保有量均为0辆，没有新增车辆。</w:t>
      </w:r>
    </w:p>
    <w:p>
      <w:pPr>
        <w:pStyle w:val="12"/>
        <w:snapToGrid w:val="0"/>
        <w:spacing w:line="360" w:lineRule="auto"/>
        <w:ind w:firstLine="643" w:firstLineChars="200"/>
        <w:rPr>
          <w:rFonts w:ascii="仿宋" w:hAnsi="仿宋" w:eastAsia="仿宋"/>
          <w:b/>
          <w:sz w:val="32"/>
          <w:szCs w:val="32"/>
        </w:rPr>
      </w:pPr>
      <w:r>
        <w:rPr>
          <w:rFonts w:hint="eastAsia" w:ascii="仿宋" w:hAnsi="仿宋" w:eastAsia="仿宋"/>
          <w:b/>
          <w:sz w:val="32"/>
          <w:szCs w:val="32"/>
        </w:rPr>
        <w:t>八、政府性基金预算收入支出决算情况</w:t>
      </w:r>
    </w:p>
    <w:p>
      <w:pPr>
        <w:pStyle w:val="12"/>
        <w:ind w:firstLine="630"/>
        <w:rPr>
          <w:rFonts w:ascii="仿宋" w:hAnsi="仿宋" w:eastAsia="仿宋"/>
          <w:sz w:val="32"/>
          <w:szCs w:val="32"/>
        </w:rPr>
      </w:pPr>
      <w:r>
        <w:rPr>
          <w:rFonts w:hint="eastAsia" w:ascii="仿宋" w:hAnsi="仿宋" w:eastAsia="仿宋"/>
          <w:sz w:val="32"/>
          <w:szCs w:val="32"/>
        </w:rPr>
        <w:t>2020年度我局无政府性基金支出。</w:t>
      </w:r>
    </w:p>
    <w:p>
      <w:pPr>
        <w:pStyle w:val="12"/>
        <w:snapToGrid w:val="0"/>
        <w:spacing w:line="360" w:lineRule="auto"/>
        <w:ind w:firstLine="643" w:firstLineChars="200"/>
        <w:rPr>
          <w:rFonts w:ascii="仿宋" w:hAnsi="仿宋" w:eastAsia="仿宋"/>
          <w:b/>
          <w:sz w:val="32"/>
          <w:szCs w:val="32"/>
        </w:rPr>
      </w:pPr>
      <w:r>
        <w:rPr>
          <w:rFonts w:hint="eastAsia" w:ascii="仿宋" w:hAnsi="仿宋" w:eastAsia="仿宋"/>
          <w:b/>
          <w:sz w:val="32"/>
          <w:szCs w:val="32"/>
        </w:rPr>
        <w:t>九、国有资本经营预算财政拨款支出决算情况</w:t>
      </w:r>
    </w:p>
    <w:p>
      <w:pPr>
        <w:pStyle w:val="12"/>
        <w:ind w:firstLine="640" w:firstLineChars="200"/>
        <w:rPr>
          <w:rFonts w:ascii="仿宋" w:hAnsi="仿宋" w:eastAsia="仿宋"/>
          <w:sz w:val="32"/>
          <w:szCs w:val="32"/>
        </w:rPr>
      </w:pPr>
      <w:r>
        <w:rPr>
          <w:rFonts w:hint="eastAsia" w:ascii="仿宋" w:hAnsi="仿宋" w:eastAsia="仿宋"/>
          <w:sz w:val="32"/>
          <w:szCs w:val="32"/>
        </w:rPr>
        <w:t>本单位2020年没有国有资本经营预算财政拨款支出。</w:t>
      </w:r>
    </w:p>
    <w:p>
      <w:pPr>
        <w:pStyle w:val="12"/>
        <w:snapToGrid w:val="0"/>
        <w:spacing w:line="360" w:lineRule="auto"/>
        <w:ind w:firstLine="643" w:firstLineChars="200"/>
        <w:rPr>
          <w:rFonts w:ascii="仿宋" w:hAnsi="仿宋" w:eastAsia="仿宋"/>
          <w:b/>
          <w:sz w:val="32"/>
          <w:szCs w:val="32"/>
        </w:rPr>
      </w:pPr>
      <w:r>
        <w:rPr>
          <w:rFonts w:hint="eastAsia" w:ascii="仿宋" w:hAnsi="仿宋" w:eastAsia="仿宋"/>
          <w:b/>
          <w:sz w:val="32"/>
          <w:szCs w:val="32"/>
        </w:rPr>
        <w:t>十、机关运行经费支出情况</w:t>
      </w:r>
    </w:p>
    <w:p>
      <w:pPr>
        <w:pStyle w:val="12"/>
        <w:ind w:firstLine="630"/>
        <w:rPr>
          <w:rFonts w:ascii="仿宋" w:hAnsi="仿宋" w:eastAsia="仿宋"/>
          <w:b/>
          <w:sz w:val="32"/>
          <w:szCs w:val="32"/>
        </w:rPr>
      </w:pPr>
      <w:r>
        <w:rPr>
          <w:rFonts w:hint="eastAsia" w:ascii="仿宋" w:hAnsi="仿宋" w:eastAsia="仿宋"/>
          <w:sz w:val="32"/>
          <w:szCs w:val="32"/>
        </w:rPr>
        <w:t>本部门2020 年度机关运行经费支出为38.86万元。主要用于机关日常办公支出</w:t>
      </w:r>
    </w:p>
    <w:p>
      <w:pPr>
        <w:ind w:firstLine="643" w:firstLineChars="200"/>
        <w:rPr>
          <w:rFonts w:ascii="仿宋" w:hAnsi="仿宋" w:eastAsia="仿宋" w:cs="黑体"/>
          <w:b/>
          <w:color w:val="000000"/>
          <w:kern w:val="0"/>
          <w:sz w:val="32"/>
          <w:szCs w:val="32"/>
        </w:rPr>
      </w:pPr>
      <w:r>
        <w:rPr>
          <w:rFonts w:hint="eastAsia" w:ascii="仿宋" w:hAnsi="仿宋" w:eastAsia="仿宋" w:cs="黑体"/>
          <w:b/>
          <w:color w:val="000000"/>
          <w:kern w:val="0"/>
          <w:sz w:val="32"/>
          <w:szCs w:val="32"/>
        </w:rPr>
        <w:t>十一、一般性支出情况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2020年本部门发生人员经费279.87万元，发生商品和服务支出38.86万元。其中大部分经费用于日常人员经费开支，由于单位严控支出，其它支出金额较少。</w:t>
      </w:r>
    </w:p>
    <w:p>
      <w:pPr>
        <w:ind w:firstLine="643" w:firstLineChars="200"/>
        <w:rPr>
          <w:rFonts w:ascii="仿宋" w:hAnsi="仿宋" w:eastAsia="仿宋" w:cs="黑体"/>
          <w:b/>
          <w:color w:val="000000"/>
          <w:kern w:val="0"/>
          <w:sz w:val="32"/>
          <w:szCs w:val="32"/>
        </w:rPr>
      </w:pPr>
      <w:r>
        <w:rPr>
          <w:rFonts w:hint="eastAsia" w:ascii="仿宋" w:hAnsi="仿宋" w:eastAsia="仿宋" w:cs="黑体"/>
          <w:b/>
          <w:color w:val="000000"/>
          <w:kern w:val="0"/>
          <w:sz w:val="32"/>
          <w:szCs w:val="32"/>
        </w:rPr>
        <w:t>十二、政府采购支出情况</w:t>
      </w:r>
    </w:p>
    <w:p>
      <w:pPr>
        <w:ind w:firstLine="640" w:firstLineChars="200"/>
        <w:rPr>
          <w:rFonts w:ascii="仿宋" w:hAnsi="仿宋" w:eastAsia="仿宋" w:cs="黑体"/>
          <w:i/>
          <w:color w:val="FF0000"/>
          <w:kern w:val="0"/>
          <w:sz w:val="32"/>
          <w:szCs w:val="32"/>
        </w:rPr>
      </w:pPr>
      <w:r>
        <w:rPr>
          <w:rFonts w:hint="eastAsia" w:ascii="仿宋" w:hAnsi="仿宋" w:eastAsia="仿宋" w:cs="黑体"/>
          <w:color w:val="000000"/>
          <w:kern w:val="0"/>
          <w:sz w:val="32"/>
          <w:szCs w:val="32"/>
        </w:rPr>
        <w:t>本部门2020年度政府采购支出总额2.73万元，其中：政府采购货物支出2.73万元,主要是采购办公物资等.</w:t>
      </w:r>
    </w:p>
    <w:p>
      <w:pPr>
        <w:ind w:firstLine="482" w:firstLineChars="150"/>
        <w:rPr>
          <w:rFonts w:ascii="仿宋" w:hAnsi="仿宋" w:eastAsia="仿宋" w:cs="黑体"/>
          <w:b/>
          <w:color w:val="000000"/>
          <w:kern w:val="0"/>
          <w:sz w:val="32"/>
          <w:szCs w:val="32"/>
        </w:rPr>
      </w:pPr>
      <w:r>
        <w:rPr>
          <w:rFonts w:hint="eastAsia" w:ascii="仿宋" w:hAnsi="仿宋" w:eastAsia="仿宋" w:cs="黑体"/>
          <w:b/>
          <w:color w:val="000000"/>
          <w:kern w:val="0"/>
          <w:sz w:val="32"/>
          <w:szCs w:val="32"/>
        </w:rPr>
        <w:t>十三、国有资产占用情况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截至2020年12月31日，本单位车辆保有量为0，没有单位价值50万元以上通用设备及单位价值100万元以上专用设备。</w:t>
      </w:r>
    </w:p>
    <w:p>
      <w:pPr>
        <w:ind w:firstLine="482" w:firstLineChars="150"/>
        <w:rPr>
          <w:rFonts w:ascii="仿宋" w:hAnsi="仿宋" w:eastAsia="仿宋" w:cs="黑体"/>
          <w:b/>
          <w:color w:val="000000"/>
          <w:kern w:val="0"/>
          <w:sz w:val="32"/>
          <w:szCs w:val="32"/>
        </w:rPr>
      </w:pPr>
      <w:r>
        <w:rPr>
          <w:rFonts w:hint="eastAsia" w:ascii="仿宋" w:hAnsi="仿宋" w:eastAsia="仿宋" w:cs="黑体"/>
          <w:b/>
          <w:color w:val="000000"/>
          <w:kern w:val="0"/>
          <w:sz w:val="32"/>
          <w:szCs w:val="32"/>
        </w:rPr>
        <w:t>十四、关于2020年度预算绩效情况说明</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cs="黑体"/>
          <w:color w:val="000000"/>
          <w:kern w:val="0"/>
          <w:sz w:val="32"/>
          <w:szCs w:val="32"/>
        </w:rPr>
        <w:t>我局将所有预算支出全面纳入绩效管理，坚持花钱必问效，无效必问责；围绕稳就业、推改革、强人才、促和谐、抓扶贫、优行风等六个方面重点工作，制定了预算支出绩效目标；严格按照省财政厅的要求，组织开展了2020年度部门整体支出绩效自评，并将评价结果向社会公开。</w:t>
      </w:r>
    </w:p>
    <w:p>
      <w:pPr>
        <w:ind w:firstLine="640" w:firstLineChars="200"/>
        <w:rPr>
          <w:rFonts w:ascii="仿宋" w:hAnsi="仿宋" w:eastAsia="仿宋" w:cs="黑体"/>
          <w:color w:val="000000"/>
          <w:kern w:val="0"/>
          <w:sz w:val="32"/>
          <w:szCs w:val="32"/>
        </w:rPr>
      </w:pPr>
    </w:p>
    <w:p>
      <w:pPr>
        <w:rPr>
          <w:rFonts w:ascii="仿宋" w:hAnsi="仿宋" w:eastAsia="仿宋"/>
        </w:rPr>
      </w:pPr>
    </w:p>
    <w:p/>
    <w:p/>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44"/>
          <w:szCs w:val="44"/>
        </w:rPr>
      </w:pPr>
    </w:p>
    <w:p>
      <w:pPr>
        <w:pStyle w:val="12"/>
        <w:jc w:val="center"/>
        <w:rPr>
          <w:sz w:val="70"/>
          <w:szCs w:val="70"/>
        </w:rPr>
      </w:pPr>
      <w:r>
        <w:rPr>
          <w:rFonts w:hint="eastAsia"/>
          <w:sz w:val="70"/>
          <w:szCs w:val="70"/>
        </w:rPr>
        <w:t>第四部分</w:t>
      </w:r>
    </w:p>
    <w:p>
      <w:pPr>
        <w:pStyle w:val="12"/>
        <w:jc w:val="center"/>
        <w:rPr>
          <w:sz w:val="44"/>
          <w:szCs w:val="44"/>
        </w:rPr>
      </w:pPr>
      <w:r>
        <w:rPr>
          <w:rFonts w:hint="eastAsia"/>
          <w:sz w:val="70"/>
          <w:szCs w:val="70"/>
        </w:rPr>
        <w:t>名词解释</w:t>
      </w:r>
    </w:p>
    <w:p>
      <w:pPr>
        <w:widowControl/>
        <w:jc w:val="left"/>
        <w:rPr>
          <w:rFonts w:ascii="黑体" w:eastAsia="黑体" w:cs="黑体"/>
          <w:color w:val="000000"/>
          <w:kern w:val="0"/>
          <w:sz w:val="70"/>
          <w:szCs w:val="70"/>
        </w:rPr>
      </w:pPr>
    </w:p>
    <w:p>
      <w:pPr>
        <w:widowControl/>
        <w:jc w:val="left"/>
        <w:rPr>
          <w:rFonts w:ascii="黑体" w:eastAsia="黑体" w:cs="黑体"/>
          <w:color w:val="000000"/>
          <w:kern w:val="0"/>
          <w:sz w:val="70"/>
          <w:szCs w:val="70"/>
        </w:rPr>
      </w:pPr>
    </w:p>
    <w:p>
      <w:pPr>
        <w:widowControl/>
        <w:jc w:val="left"/>
        <w:rPr>
          <w:rFonts w:ascii="黑体" w:eastAsia="黑体" w:cs="黑体"/>
          <w:color w:val="000000"/>
          <w:kern w:val="0"/>
          <w:sz w:val="70"/>
          <w:szCs w:val="70"/>
        </w:rPr>
      </w:pPr>
    </w:p>
    <w:p>
      <w:pPr>
        <w:widowControl/>
        <w:jc w:val="left"/>
        <w:rPr>
          <w:rFonts w:ascii="黑体" w:eastAsia="黑体" w:cs="黑体"/>
          <w:color w:val="000000"/>
          <w:kern w:val="0"/>
          <w:sz w:val="70"/>
          <w:szCs w:val="70"/>
        </w:rPr>
      </w:pPr>
    </w:p>
    <w:p>
      <w:pPr>
        <w:widowControl/>
        <w:jc w:val="left"/>
        <w:rPr>
          <w:rFonts w:ascii="黑体" w:eastAsia="黑体" w:cs="黑体"/>
          <w:color w:val="000000"/>
          <w:kern w:val="0"/>
          <w:sz w:val="70"/>
          <w:szCs w:val="70"/>
        </w:rPr>
      </w:pP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一、财政拨款收入：</w:t>
      </w:r>
      <w:r>
        <w:rPr>
          <w:rFonts w:hint="eastAsia" w:ascii="宋体" w:hAnsi="宋体" w:eastAsia="宋体" w:cs="宋体"/>
          <w:w w:val="96"/>
          <w:kern w:val="0"/>
          <w:sz w:val="32"/>
          <w:szCs w:val="32"/>
        </w:rPr>
        <w:t>指财政部门核拨给单位的财政预算资金。</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二、事业收入：</w:t>
      </w:r>
      <w:r>
        <w:rPr>
          <w:rFonts w:hint="eastAsia" w:ascii="宋体" w:hAnsi="宋体" w:eastAsia="宋体" w:cs="宋体"/>
          <w:w w:val="96"/>
          <w:kern w:val="0"/>
          <w:sz w:val="32"/>
          <w:szCs w:val="32"/>
        </w:rPr>
        <w:t>指事业单位开展专业业务活动及辅助活动所取得的收入。</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三、附属单位上缴收入：</w:t>
      </w:r>
      <w:r>
        <w:rPr>
          <w:rFonts w:hint="eastAsia" w:ascii="宋体" w:hAnsi="宋体" w:eastAsia="宋体" w:cs="宋体"/>
          <w:w w:val="96"/>
          <w:kern w:val="0"/>
          <w:sz w:val="32"/>
          <w:szCs w:val="32"/>
        </w:rPr>
        <w:t>指事业单位附属独立核算单位按有关规定上缴的收入。</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四、其他收入：</w:t>
      </w:r>
      <w:r>
        <w:rPr>
          <w:rFonts w:hint="eastAsia" w:ascii="宋体" w:hAnsi="宋体" w:eastAsia="宋体" w:cs="宋体"/>
          <w:w w:val="96"/>
          <w:kern w:val="0"/>
          <w:sz w:val="32"/>
          <w:szCs w:val="32"/>
        </w:rPr>
        <w:t>指单位取得的除上述“财政拨款收入”、“事业收入”、“附属单位上缴收入”等以外的收入。</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五、年初结转和结余：</w:t>
      </w:r>
      <w:r>
        <w:rPr>
          <w:rFonts w:hint="eastAsia" w:ascii="宋体" w:hAnsi="宋体" w:eastAsia="宋体" w:cs="宋体"/>
          <w:w w:val="96"/>
          <w:kern w:val="0"/>
          <w:sz w:val="32"/>
          <w:szCs w:val="32"/>
        </w:rPr>
        <w:t>指以前年度尚未完成、结转到本年仍按有关规定继续使用的资金。</w:t>
      </w:r>
    </w:p>
    <w:p>
      <w:pPr>
        <w:widowControl/>
        <w:tabs>
          <w:tab w:val="left" w:pos="2635"/>
        </w:tabs>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六、用事业基金弥补收支差额：</w:t>
      </w:r>
      <w:r>
        <w:rPr>
          <w:rFonts w:hint="eastAsia" w:ascii="宋体" w:hAnsi="宋体" w:eastAsia="宋体" w:cs="宋体"/>
          <w:w w:val="96"/>
          <w:kern w:val="0"/>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pPr>
        <w:widowControl/>
        <w:adjustRightInd w:val="0"/>
        <w:snapToGrid w:val="0"/>
        <w:spacing w:line="360" w:lineRule="auto"/>
        <w:ind w:firstLine="617" w:firstLineChars="200"/>
        <w:rPr>
          <w:rFonts w:ascii="宋体" w:hAnsi="宋体" w:eastAsia="宋体" w:cs="宋体"/>
          <w:bCs/>
          <w:w w:val="96"/>
          <w:kern w:val="0"/>
          <w:sz w:val="32"/>
          <w:szCs w:val="32"/>
        </w:rPr>
      </w:pPr>
      <w:r>
        <w:rPr>
          <w:rFonts w:hint="eastAsia" w:ascii="宋体" w:hAnsi="宋体" w:eastAsia="宋体" w:cs="宋体"/>
          <w:b/>
          <w:w w:val="96"/>
          <w:kern w:val="0"/>
          <w:sz w:val="32"/>
          <w:szCs w:val="32"/>
        </w:rPr>
        <w:t>七、卫生健康支出（类）行政事业单位医疗（款）其他行政事业单位医疗支出（项）：</w:t>
      </w:r>
      <w:r>
        <w:rPr>
          <w:rFonts w:hint="eastAsia" w:ascii="宋体" w:hAnsi="宋体" w:eastAsia="宋体" w:cs="宋体"/>
          <w:bCs/>
          <w:w w:val="96"/>
          <w:kern w:val="0"/>
          <w:sz w:val="32"/>
          <w:szCs w:val="32"/>
        </w:rPr>
        <w:t>指单位医疗保障经费。</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八、住房保障支出（类）住房改革支出（款）住房公积金（项）：</w:t>
      </w:r>
      <w:r>
        <w:rPr>
          <w:rFonts w:hint="eastAsia" w:ascii="宋体" w:hAnsi="宋体" w:eastAsia="宋体" w:cs="宋体"/>
          <w:w w:val="96"/>
          <w:kern w:val="0"/>
          <w:sz w:val="32"/>
          <w:szCs w:val="32"/>
        </w:rPr>
        <w:t>指住房公积金。</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九、结余分配：</w:t>
      </w:r>
      <w:r>
        <w:rPr>
          <w:rFonts w:hint="eastAsia" w:ascii="宋体" w:hAnsi="宋体" w:eastAsia="宋体" w:cs="宋体"/>
          <w:w w:val="96"/>
          <w:kern w:val="0"/>
          <w:sz w:val="32"/>
          <w:szCs w:val="32"/>
        </w:rPr>
        <w:t>指事业单位按规定提取的职工福利基金、事业基金和缴纳的所得税，以及建设单位按规定应交回的基本建设竣工项目结余资金。</w:t>
      </w:r>
    </w:p>
    <w:p>
      <w:pPr>
        <w:widowControl/>
        <w:autoSpaceDE w:val="0"/>
        <w:autoSpaceDN w:val="0"/>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十、年末结转和结余：</w:t>
      </w:r>
      <w:r>
        <w:rPr>
          <w:rFonts w:hint="eastAsia" w:ascii="宋体" w:hAnsi="宋体" w:eastAsia="宋体" w:cs="宋体"/>
          <w:w w:val="96"/>
          <w:kern w:val="0"/>
          <w:sz w:val="32"/>
          <w:szCs w:val="32"/>
        </w:rPr>
        <w:t>指本年度或以前年度预算安排、因客观条件发生变化无法按原计划实施，需延迟到以后年度按有关规定继续使用的资金。</w:t>
      </w:r>
    </w:p>
    <w:p>
      <w:pPr>
        <w:widowControl/>
        <w:autoSpaceDE w:val="0"/>
        <w:autoSpaceDN w:val="0"/>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十一、基本支出：</w:t>
      </w:r>
      <w:r>
        <w:rPr>
          <w:rFonts w:hint="eastAsia" w:ascii="宋体" w:hAnsi="宋体" w:eastAsia="宋体" w:cs="宋体"/>
          <w:w w:val="96"/>
          <w:kern w:val="0"/>
          <w:sz w:val="32"/>
          <w:szCs w:val="32"/>
        </w:rPr>
        <w:t>指为保障机构正常运转、完成日常工作任务而发生的人员支出和公用支出。</w:t>
      </w:r>
    </w:p>
    <w:p>
      <w:pPr>
        <w:widowControl/>
        <w:autoSpaceDE w:val="0"/>
        <w:autoSpaceDN w:val="0"/>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十二、项目支出：</w:t>
      </w:r>
      <w:r>
        <w:rPr>
          <w:rFonts w:hint="eastAsia" w:ascii="宋体" w:hAnsi="宋体" w:eastAsia="宋体" w:cs="宋体"/>
          <w:w w:val="96"/>
          <w:kern w:val="0"/>
          <w:sz w:val="32"/>
          <w:szCs w:val="32"/>
        </w:rPr>
        <w:t>指在基本支出之外，为完成特定行政任务和事业发展目标所发生的支出。</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十三、“三公”经费：</w:t>
      </w:r>
      <w:r>
        <w:rPr>
          <w:rFonts w:hint="eastAsia" w:ascii="宋体" w:hAnsi="宋体" w:eastAsia="宋体" w:cs="宋体"/>
          <w:w w:val="96"/>
          <w:kern w:val="0"/>
          <w:sz w:val="32"/>
          <w:szCs w:val="32"/>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adjustRightInd w:val="0"/>
        <w:snapToGrid w:val="0"/>
        <w:spacing w:line="360" w:lineRule="auto"/>
        <w:ind w:firstLine="617"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十四、机关运行经费：</w:t>
      </w:r>
      <w:r>
        <w:rPr>
          <w:rFonts w:hint="eastAsia" w:ascii="宋体" w:hAnsi="宋体" w:eastAsia="宋体" w:cs="宋体"/>
          <w:w w:val="96"/>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r>
        <w:rPr>
          <w:rFonts w:hint="eastAsia"/>
          <w:sz w:val="72"/>
          <w:szCs w:val="72"/>
        </w:rPr>
        <w:t>第五部分</w:t>
      </w:r>
    </w:p>
    <w:p>
      <w:pPr>
        <w:pStyle w:val="12"/>
        <w:jc w:val="center"/>
        <w:rPr>
          <w:sz w:val="70"/>
          <w:szCs w:val="70"/>
        </w:rPr>
      </w:pPr>
      <w:r>
        <w:rPr>
          <w:rFonts w:hint="eastAsia"/>
          <w:sz w:val="70"/>
          <w:szCs w:val="70"/>
        </w:rPr>
        <w:t>附件</w:t>
      </w:r>
    </w:p>
    <w:p>
      <w:pPr>
        <w:pStyle w:val="12"/>
        <w:jc w:val="center"/>
        <w:rPr>
          <w:sz w:val="70"/>
          <w:szCs w:val="70"/>
        </w:rPr>
      </w:pPr>
    </w:p>
    <w:p>
      <w:pPr>
        <w:ind w:firstLine="723" w:firstLineChars="200"/>
        <w:jc w:val="center"/>
        <w:rPr>
          <w:rFonts w:cs="黑体" w:asciiTheme="minorEastAsia" w:hAnsiTheme="minorEastAsia"/>
          <w:b/>
          <w:color w:val="000000"/>
          <w:kern w:val="0"/>
          <w:sz w:val="36"/>
          <w:szCs w:val="36"/>
        </w:rPr>
      </w:pPr>
    </w:p>
    <w:p>
      <w:pPr>
        <w:ind w:firstLine="723" w:firstLineChars="200"/>
        <w:jc w:val="center"/>
        <w:rPr>
          <w:rFonts w:cs="黑体" w:asciiTheme="minorEastAsia" w:hAnsiTheme="minorEastAsia"/>
          <w:b/>
          <w:color w:val="000000"/>
          <w:kern w:val="0"/>
          <w:sz w:val="36"/>
          <w:szCs w:val="36"/>
        </w:rPr>
      </w:pPr>
    </w:p>
    <w:p>
      <w:pPr>
        <w:ind w:firstLine="723" w:firstLineChars="200"/>
        <w:jc w:val="center"/>
        <w:rPr>
          <w:rFonts w:cs="黑体" w:asciiTheme="minorEastAsia" w:hAnsiTheme="minorEastAsia"/>
          <w:b/>
          <w:color w:val="000000"/>
          <w:kern w:val="0"/>
          <w:sz w:val="36"/>
          <w:szCs w:val="36"/>
        </w:rPr>
      </w:pPr>
    </w:p>
    <w:p>
      <w:pPr>
        <w:ind w:firstLine="723" w:firstLineChars="200"/>
        <w:jc w:val="center"/>
        <w:rPr>
          <w:rFonts w:cs="黑体" w:asciiTheme="minorEastAsia" w:hAnsiTheme="minorEastAsia"/>
          <w:b/>
          <w:color w:val="000000"/>
          <w:kern w:val="0"/>
          <w:sz w:val="36"/>
          <w:szCs w:val="36"/>
        </w:rPr>
      </w:pPr>
    </w:p>
    <w:p>
      <w:pPr>
        <w:ind w:firstLine="723" w:firstLineChars="200"/>
        <w:jc w:val="center"/>
        <w:rPr>
          <w:rFonts w:cs="黑体" w:asciiTheme="minorEastAsia" w:hAnsiTheme="minorEastAsia"/>
          <w:b/>
          <w:color w:val="000000"/>
          <w:kern w:val="0"/>
          <w:sz w:val="36"/>
          <w:szCs w:val="36"/>
        </w:rPr>
      </w:pPr>
    </w:p>
    <w:p>
      <w:pPr>
        <w:ind w:firstLine="723" w:firstLineChars="200"/>
        <w:jc w:val="center"/>
        <w:rPr>
          <w:rFonts w:cs="黑体" w:asciiTheme="minorEastAsia" w:hAnsiTheme="minorEastAsia"/>
          <w:b/>
          <w:color w:val="000000"/>
          <w:kern w:val="0"/>
          <w:sz w:val="36"/>
          <w:szCs w:val="36"/>
        </w:rPr>
      </w:pPr>
    </w:p>
    <w:p>
      <w:pPr>
        <w:ind w:firstLine="723" w:firstLineChars="200"/>
        <w:jc w:val="center"/>
        <w:rPr>
          <w:rFonts w:cs="黑体" w:asciiTheme="minorEastAsia" w:hAnsiTheme="minorEastAsia"/>
          <w:b/>
          <w:color w:val="000000"/>
          <w:kern w:val="0"/>
          <w:sz w:val="36"/>
          <w:szCs w:val="36"/>
        </w:rPr>
      </w:pPr>
    </w:p>
    <w:p>
      <w:pPr>
        <w:ind w:firstLine="723" w:firstLineChars="200"/>
        <w:jc w:val="center"/>
        <w:rPr>
          <w:rFonts w:cs="黑体" w:asciiTheme="minorEastAsia" w:hAnsiTheme="minorEastAsia"/>
          <w:b/>
          <w:color w:val="000000"/>
          <w:kern w:val="0"/>
          <w:sz w:val="36"/>
          <w:szCs w:val="36"/>
        </w:rPr>
      </w:pPr>
      <w:r>
        <w:rPr>
          <w:rFonts w:hint="eastAsia" w:cs="黑体" w:asciiTheme="minorEastAsia" w:hAnsiTheme="minorEastAsia"/>
          <w:b/>
          <w:color w:val="000000"/>
          <w:kern w:val="0"/>
          <w:sz w:val="36"/>
          <w:szCs w:val="36"/>
        </w:rPr>
        <w:t>2020年度部门整体支出</w:t>
      </w:r>
    </w:p>
    <w:p>
      <w:pPr>
        <w:ind w:firstLine="723" w:firstLineChars="200"/>
        <w:jc w:val="center"/>
        <w:rPr>
          <w:rFonts w:cs="黑体" w:asciiTheme="minorEastAsia" w:hAnsiTheme="minorEastAsia"/>
          <w:b/>
          <w:color w:val="000000"/>
          <w:kern w:val="0"/>
          <w:sz w:val="36"/>
          <w:szCs w:val="36"/>
        </w:rPr>
      </w:pPr>
      <w:r>
        <w:rPr>
          <w:rFonts w:hint="eastAsia" w:cs="黑体" w:asciiTheme="minorEastAsia" w:hAnsiTheme="minorEastAsia"/>
          <w:b/>
          <w:color w:val="000000"/>
          <w:kern w:val="0"/>
          <w:sz w:val="36"/>
          <w:szCs w:val="36"/>
        </w:rPr>
        <w:t>绩效评价报告</w:t>
      </w:r>
    </w:p>
    <w:p>
      <w:pPr>
        <w:widowControl/>
        <w:shd w:val="clear" w:color="auto" w:fill="FFFFFF"/>
        <w:spacing w:before="100" w:beforeAutospacing="1" w:after="100" w:afterAutospacing="1" w:line="450" w:lineRule="atLeast"/>
        <w:ind w:firstLine="800" w:firstLineChars="250"/>
        <w:jc w:val="left"/>
        <w:rPr>
          <w:rFonts w:ascii="宋体" w:hAnsi="宋体" w:cs="宋体"/>
          <w:sz w:val="32"/>
          <w:szCs w:val="32"/>
        </w:rPr>
      </w:pPr>
      <w:r>
        <w:rPr>
          <w:rFonts w:hint="eastAsia" w:ascii="宋体" w:hAnsi="宋体" w:cs="宋体"/>
          <w:sz w:val="32"/>
          <w:szCs w:val="32"/>
        </w:rPr>
        <w:t xml:space="preserve">为加强财政预算资金管理，进一步规范预算资金使用，提高财政资金使用效益，根据《衡南县财政局关于开展2020年度县级财政资金绩效自评工作的通知》要求，衡南县统计局积极组织，对2020年度本单位整体支出进行了绩效自评，现将具体绩效评价情况报告如下：         </w:t>
      </w:r>
    </w:p>
    <w:p>
      <w:pPr>
        <w:numPr>
          <w:ilvl w:val="0"/>
          <w:numId w:val="2"/>
        </w:numPr>
        <w:spacing w:line="560" w:lineRule="exact"/>
        <w:ind w:firstLine="643" w:firstLineChars="200"/>
        <w:rPr>
          <w:rFonts w:ascii="宋体" w:hAnsi="宋体" w:cs="宋体"/>
          <w:b/>
          <w:sz w:val="32"/>
          <w:szCs w:val="32"/>
        </w:rPr>
      </w:pPr>
      <w:r>
        <w:rPr>
          <w:rFonts w:hint="eastAsia" w:ascii="宋体" w:hAnsi="宋体" w:cs="宋体"/>
          <w:b/>
          <w:sz w:val="32"/>
          <w:szCs w:val="32"/>
        </w:rPr>
        <w:t>基本情况</w:t>
      </w:r>
    </w:p>
    <w:p>
      <w:pPr>
        <w:spacing w:line="560" w:lineRule="exact"/>
        <w:rPr>
          <w:rFonts w:ascii="宋体" w:hAnsi="宋体" w:cs="宋体"/>
          <w:sz w:val="32"/>
          <w:szCs w:val="32"/>
        </w:rPr>
      </w:pPr>
      <w:r>
        <w:rPr>
          <w:rFonts w:hint="eastAsia" w:ascii="宋体" w:hAnsi="宋体" w:cs="宋体"/>
          <w:sz w:val="32"/>
          <w:szCs w:val="32"/>
        </w:rPr>
        <w:t xml:space="preserve">    衡南县统计局为全额财政拨款单位，纳入财政会计集中核算和国库集中支付体系，财务制度执行《行政单位会计制度》。 </w:t>
      </w:r>
    </w:p>
    <w:p>
      <w:pPr>
        <w:spacing w:line="560" w:lineRule="exact"/>
        <w:ind w:firstLine="640" w:firstLineChars="200"/>
        <w:rPr>
          <w:rFonts w:ascii="宋体" w:hAnsi="宋体" w:cs="宋体"/>
          <w:sz w:val="32"/>
          <w:szCs w:val="32"/>
        </w:rPr>
      </w:pPr>
      <w:r>
        <w:rPr>
          <w:rFonts w:hint="eastAsia" w:ascii="宋体" w:hAnsi="宋体" w:cs="宋体"/>
          <w:sz w:val="32"/>
          <w:szCs w:val="32"/>
        </w:rPr>
        <w:t>（一）机构设置情况</w:t>
      </w:r>
    </w:p>
    <w:p>
      <w:pPr>
        <w:spacing w:line="560" w:lineRule="exact"/>
        <w:rPr>
          <w:rFonts w:ascii="宋体" w:hAnsi="宋体" w:cs="宋体"/>
          <w:sz w:val="32"/>
          <w:szCs w:val="32"/>
        </w:rPr>
      </w:pPr>
      <w:r>
        <w:rPr>
          <w:rFonts w:hint="eastAsia" w:ascii="宋体" w:hAnsi="宋体" w:cs="宋体"/>
          <w:sz w:val="32"/>
          <w:szCs w:val="32"/>
        </w:rPr>
        <w:t xml:space="preserve">  衡南县统计局</w:t>
      </w:r>
      <w:r>
        <w:rPr>
          <w:rFonts w:hint="eastAsia" w:ascii="宋体" w:hAnsi="宋体" w:cs="仿宋_GB2312"/>
          <w:sz w:val="32"/>
          <w:szCs w:val="32"/>
        </w:rPr>
        <w:t>内设行政股室3个，办公室、业务股、法规股。行政编制7人，年末实有在职人数17人，离退休13人。2017年增设了2个二级机构：地方经济调查队、数据处理中心，</w:t>
      </w:r>
    </w:p>
    <w:p>
      <w:pPr>
        <w:spacing w:line="560" w:lineRule="exact"/>
        <w:ind w:firstLine="640" w:firstLineChars="200"/>
        <w:rPr>
          <w:rFonts w:ascii="宋体" w:hAnsi="宋体" w:cs="宋体"/>
          <w:sz w:val="32"/>
          <w:szCs w:val="32"/>
        </w:rPr>
      </w:pPr>
      <w:r>
        <w:rPr>
          <w:rFonts w:hint="eastAsia" w:ascii="宋体" w:hAnsi="宋体" w:cs="宋体"/>
          <w:sz w:val="32"/>
          <w:szCs w:val="32"/>
        </w:rPr>
        <w:t>（二）主要工作职责</w:t>
      </w:r>
    </w:p>
    <w:p>
      <w:pPr>
        <w:widowControl/>
        <w:ind w:firstLine="640" w:firstLineChars="200"/>
        <w:rPr>
          <w:rFonts w:ascii="宋体" w:hAnsi="宋体" w:cs="仿宋_GB2312"/>
          <w:sz w:val="32"/>
          <w:szCs w:val="32"/>
        </w:rPr>
      </w:pPr>
      <w:r>
        <w:rPr>
          <w:rFonts w:hint="eastAsia" w:ascii="宋体" w:hAnsi="宋体" w:cs="宋体"/>
          <w:color w:val="000000"/>
          <w:kern w:val="0"/>
          <w:sz w:val="32"/>
          <w:szCs w:val="32"/>
        </w:rPr>
        <w:t>（1）</w:t>
      </w:r>
      <w:r>
        <w:rPr>
          <w:rFonts w:hint="eastAsia" w:ascii="宋体" w:hAnsi="宋体" w:cs="仿宋_GB2312"/>
          <w:sz w:val="32"/>
          <w:szCs w:val="32"/>
        </w:rPr>
        <w:t>负责全县的经济和社会发展情况进行统计调查，搜集、整理并提供统计基础资料，检查计划执行情况</w:t>
      </w:r>
      <w:r>
        <w:rPr>
          <w:rFonts w:hint="eastAsia" w:ascii="宋体" w:hAnsi="宋体" w:cs="宋体"/>
          <w:color w:val="000000"/>
          <w:kern w:val="0"/>
          <w:sz w:val="32"/>
          <w:szCs w:val="32"/>
        </w:rPr>
        <w:t>。</w:t>
      </w:r>
      <w:r>
        <w:rPr>
          <w:rFonts w:hint="eastAsia" w:ascii="宋体" w:hAnsi="宋体" w:cs="宋体"/>
          <w:color w:val="000000"/>
          <w:kern w:val="0"/>
          <w:sz w:val="32"/>
          <w:szCs w:val="32"/>
        </w:rPr>
        <w:br w:type="textWrapping"/>
      </w:r>
      <w:r>
        <w:rPr>
          <w:rFonts w:hint="eastAsia" w:ascii="宋体" w:hAnsi="宋体" w:cs="宋体"/>
          <w:color w:val="000000"/>
          <w:kern w:val="0"/>
          <w:sz w:val="32"/>
          <w:szCs w:val="32"/>
        </w:rPr>
        <w:t xml:space="preserve">   （2）</w:t>
      </w:r>
      <w:r>
        <w:rPr>
          <w:rFonts w:hint="eastAsia" w:ascii="宋体" w:hAnsi="宋体" w:cs="仿宋_GB2312"/>
          <w:sz w:val="32"/>
          <w:szCs w:val="32"/>
        </w:rPr>
        <w:t>对国民经济社会发展情况进行统计分析、统计预测和统计监督</w:t>
      </w:r>
      <w:r>
        <w:rPr>
          <w:rFonts w:hint="eastAsia" w:ascii="宋体" w:hAnsi="宋体" w:cs="宋体"/>
          <w:color w:val="000000"/>
          <w:kern w:val="0"/>
          <w:sz w:val="32"/>
          <w:szCs w:val="32"/>
        </w:rPr>
        <w:t>。</w:t>
      </w:r>
      <w:r>
        <w:rPr>
          <w:rFonts w:hint="eastAsia" w:ascii="宋体" w:hAnsi="宋体" w:cs="宋体"/>
          <w:color w:val="000000"/>
          <w:kern w:val="0"/>
          <w:sz w:val="32"/>
          <w:szCs w:val="32"/>
        </w:rPr>
        <w:br w:type="textWrapping"/>
      </w:r>
      <w:r>
        <w:rPr>
          <w:rFonts w:hint="eastAsia" w:ascii="宋体" w:hAnsi="宋体" w:cs="宋体"/>
          <w:color w:val="000000"/>
          <w:kern w:val="0"/>
          <w:sz w:val="32"/>
          <w:szCs w:val="32"/>
        </w:rPr>
        <w:t xml:space="preserve">   （3）</w:t>
      </w:r>
      <w:r>
        <w:rPr>
          <w:rFonts w:hint="eastAsia" w:ascii="宋体" w:hAnsi="宋体" w:cs="仿宋_GB2312"/>
          <w:sz w:val="32"/>
          <w:szCs w:val="32"/>
        </w:rPr>
        <w:t>组织领导和监督检查本辖区内的统计和国民经济核算工作，监督检查统计法律、法规、规章的实施及组织实施各项大型国情国力调查及临时调查、抽样调查等工作。</w:t>
      </w:r>
    </w:p>
    <w:p>
      <w:pPr>
        <w:widowControl/>
        <w:ind w:firstLine="320" w:firstLineChars="100"/>
        <w:rPr>
          <w:rFonts w:ascii="宋体" w:hAnsi="宋体" w:cs="宋体"/>
          <w:color w:val="000000"/>
          <w:kern w:val="0"/>
          <w:sz w:val="32"/>
          <w:szCs w:val="32"/>
        </w:rPr>
      </w:pPr>
      <w:r>
        <w:rPr>
          <w:rFonts w:hint="eastAsia" w:ascii="宋体" w:hAnsi="宋体" w:cs="宋体"/>
          <w:color w:val="000000"/>
          <w:kern w:val="0"/>
          <w:sz w:val="32"/>
          <w:szCs w:val="32"/>
        </w:rPr>
        <w:t>（4）抓好精神文明建设，丰富群众文化生活，提倡移风易俗，反对封建迷信，破除陈规陋习，树立社会主义新风尚。</w:t>
      </w:r>
      <w:r>
        <w:rPr>
          <w:rFonts w:hint="eastAsia" w:ascii="宋体" w:hAnsi="宋体" w:cs="宋体"/>
          <w:color w:val="000000"/>
          <w:kern w:val="0"/>
          <w:sz w:val="32"/>
          <w:szCs w:val="32"/>
        </w:rPr>
        <w:br w:type="textWrapping"/>
      </w:r>
      <w:r>
        <w:rPr>
          <w:rFonts w:hint="eastAsia" w:ascii="宋体" w:hAnsi="宋体" w:cs="宋体"/>
          <w:color w:val="000000"/>
          <w:kern w:val="0"/>
          <w:sz w:val="32"/>
          <w:szCs w:val="32"/>
        </w:rPr>
        <w:t xml:space="preserve">  （5）完成上级政府交办的其它事项。</w:t>
      </w:r>
    </w:p>
    <w:p>
      <w:pPr>
        <w:spacing w:line="580" w:lineRule="exact"/>
        <w:rPr>
          <w:rFonts w:ascii="宋体" w:hAnsi="宋体" w:cs="宋体"/>
          <w:b/>
          <w:bCs/>
          <w:sz w:val="32"/>
          <w:szCs w:val="32"/>
        </w:rPr>
      </w:pPr>
      <w:r>
        <w:rPr>
          <w:rFonts w:hint="eastAsia" w:ascii="宋体" w:hAnsi="宋体" w:cs="宋体"/>
          <w:b/>
          <w:bCs/>
          <w:sz w:val="32"/>
          <w:szCs w:val="32"/>
        </w:rPr>
        <w:t xml:space="preserve">    二、部门整体支出管理及使用情况</w:t>
      </w:r>
    </w:p>
    <w:p>
      <w:pPr>
        <w:pStyle w:val="5"/>
        <w:widowControl/>
        <w:spacing w:beforeAutospacing="0" w:afterAutospacing="0"/>
        <w:ind w:firstLine="640" w:firstLineChars="200"/>
        <w:jc w:val="both"/>
        <w:rPr>
          <w:rFonts w:ascii="宋体" w:hAnsi="宋体" w:cs="宋体"/>
          <w:sz w:val="32"/>
          <w:szCs w:val="32"/>
        </w:rPr>
      </w:pPr>
      <w:r>
        <w:rPr>
          <w:rFonts w:hint="eastAsia" w:ascii="宋体" w:hAnsi="宋体" w:cs="宋体"/>
          <w:sz w:val="32"/>
          <w:szCs w:val="32"/>
        </w:rPr>
        <w:t>1、2020年支出预算总额661.91万元。按支出功能分类，其中：一般公共服务616.54万元、社会保障和就业20.31万元、医疗卫生6.87万元,住房与保险5.97万元，资源勘探工业信息等支出5.4万元。</w:t>
      </w:r>
    </w:p>
    <w:p>
      <w:pPr>
        <w:spacing w:line="560" w:lineRule="exact"/>
        <w:ind w:firstLine="640" w:firstLineChars="200"/>
        <w:rPr>
          <w:rFonts w:ascii="宋体" w:hAnsi="宋体" w:cs="宋体"/>
          <w:sz w:val="32"/>
          <w:szCs w:val="32"/>
        </w:rPr>
      </w:pPr>
      <w:r>
        <w:rPr>
          <w:rFonts w:hint="eastAsia" w:ascii="宋体" w:hAnsi="宋体" w:cs="宋体"/>
          <w:sz w:val="32"/>
          <w:szCs w:val="32"/>
        </w:rPr>
        <w:t>按支出经济分类,基本支出318.73万元，其中:工资福利支出279.87万元、日常商品和服务支出38.86万元。专项商品和服务支出336.37万元（含村级转移支付243.87万元)。</w:t>
      </w:r>
    </w:p>
    <w:p>
      <w:pPr>
        <w:spacing w:line="560" w:lineRule="exact"/>
        <w:ind w:firstLine="643" w:firstLineChars="200"/>
        <w:rPr>
          <w:rFonts w:ascii="宋体" w:hAnsi="宋体" w:cs="宋体"/>
          <w:b/>
          <w:sz w:val="32"/>
          <w:szCs w:val="32"/>
        </w:rPr>
      </w:pPr>
      <w:r>
        <w:rPr>
          <w:rFonts w:hint="eastAsia" w:ascii="宋体" w:hAnsi="宋体" w:cs="宋体"/>
          <w:b/>
          <w:sz w:val="32"/>
          <w:szCs w:val="32"/>
        </w:rPr>
        <w:t>三、存在的主要问题</w:t>
      </w:r>
    </w:p>
    <w:p>
      <w:pPr>
        <w:spacing w:line="560" w:lineRule="exact"/>
        <w:ind w:firstLine="640" w:firstLineChars="200"/>
        <w:rPr>
          <w:rFonts w:ascii="宋体" w:hAnsi="宋体" w:cs="宋体"/>
          <w:sz w:val="32"/>
          <w:szCs w:val="32"/>
        </w:rPr>
      </w:pPr>
      <w:r>
        <w:rPr>
          <w:rFonts w:hint="eastAsia" w:ascii="宋体" w:hAnsi="宋体" w:cs="宋体"/>
          <w:sz w:val="32"/>
          <w:szCs w:val="32"/>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560" w:lineRule="exact"/>
        <w:ind w:firstLine="643" w:firstLineChars="200"/>
        <w:rPr>
          <w:rFonts w:ascii="宋体" w:hAnsi="宋体" w:cs="宋体"/>
          <w:b/>
          <w:sz w:val="32"/>
          <w:szCs w:val="32"/>
        </w:rPr>
      </w:pPr>
      <w:r>
        <w:rPr>
          <w:rFonts w:hint="eastAsia" w:ascii="宋体" w:hAnsi="宋体" w:cs="宋体"/>
          <w:b/>
          <w:sz w:val="32"/>
          <w:szCs w:val="32"/>
        </w:rPr>
        <w:t>四、改进措施和建议</w:t>
      </w:r>
    </w:p>
    <w:p>
      <w:pPr>
        <w:spacing w:line="560" w:lineRule="exact"/>
        <w:ind w:firstLine="640" w:firstLineChars="200"/>
        <w:rPr>
          <w:rFonts w:ascii="宋体" w:hAnsi="宋体" w:cs="宋体"/>
          <w:sz w:val="32"/>
          <w:szCs w:val="32"/>
        </w:rPr>
      </w:pPr>
      <w:r>
        <w:rPr>
          <w:rFonts w:hint="eastAsia" w:ascii="宋体" w:hAnsi="宋体" w:cs="宋体"/>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right="480" w:firstLine="640" w:firstLineChars="200"/>
        <w:jc w:val="center"/>
        <w:rPr>
          <w:rFonts w:ascii="宋体" w:hAnsi="宋体" w:cs="宋体"/>
          <w:sz w:val="32"/>
          <w:szCs w:val="32"/>
        </w:rPr>
      </w:pP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57928D"/>
    <w:multiLevelType w:val="singleLevel"/>
    <w:tmpl w:val="5857928D"/>
    <w:lvl w:ilvl="0" w:tentative="0">
      <w:start w:val="1"/>
      <w:numFmt w:val="chineseCounting"/>
      <w:suff w:val="nothing"/>
      <w:lvlText w:val="%1、"/>
      <w:lvlJc w:val="left"/>
    </w:lvl>
  </w:abstractNum>
  <w:abstractNum w:abstractNumId="1">
    <w:nsid w:val="6C132479"/>
    <w:multiLevelType w:val="singleLevel"/>
    <w:tmpl w:val="6C132479"/>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24B3C"/>
    <w:rsid w:val="000C059E"/>
    <w:rsid w:val="0031163F"/>
    <w:rsid w:val="003937C1"/>
    <w:rsid w:val="00524B3C"/>
    <w:rsid w:val="005E27B4"/>
    <w:rsid w:val="00612EE5"/>
    <w:rsid w:val="006211DE"/>
    <w:rsid w:val="00627527"/>
    <w:rsid w:val="007266E5"/>
    <w:rsid w:val="007B23B1"/>
    <w:rsid w:val="007B5D2C"/>
    <w:rsid w:val="0083169D"/>
    <w:rsid w:val="00847B33"/>
    <w:rsid w:val="008B131A"/>
    <w:rsid w:val="008C58B4"/>
    <w:rsid w:val="0098684C"/>
    <w:rsid w:val="009A5CC0"/>
    <w:rsid w:val="00A62543"/>
    <w:rsid w:val="00AC1905"/>
    <w:rsid w:val="00B42E87"/>
    <w:rsid w:val="00BB0F77"/>
    <w:rsid w:val="00BE529D"/>
    <w:rsid w:val="00C146AF"/>
    <w:rsid w:val="00C20D15"/>
    <w:rsid w:val="00C51119"/>
    <w:rsid w:val="00DE7BF9"/>
    <w:rsid w:val="00E8780F"/>
    <w:rsid w:val="0EB27D6E"/>
    <w:rsid w:val="1D6A0C0A"/>
    <w:rsid w:val="22BC3FB3"/>
    <w:rsid w:val="29F3605E"/>
    <w:rsid w:val="2F9A030D"/>
    <w:rsid w:val="31A176A2"/>
    <w:rsid w:val="3A7B6833"/>
    <w:rsid w:val="3BF024F9"/>
    <w:rsid w:val="52E361B6"/>
    <w:rsid w:val="5BCA3ABE"/>
    <w:rsid w:val="5D312560"/>
    <w:rsid w:val="6DF27C3D"/>
    <w:rsid w:val="718413A6"/>
    <w:rsid w:val="72392CE5"/>
    <w:rsid w:val="7A2D2110"/>
    <w:rsid w:val="7BFF5B2F"/>
    <w:rsid w:val="7D4D0D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semiHidden="0"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qFormat="1"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14"/>
    <w:semiHidden/>
    <w:unhideWhenUsed/>
    <w:uiPriority w:val="99"/>
    <w:pPr>
      <w:tabs>
        <w:tab w:val="center" w:pos="4153"/>
        <w:tab w:val="right" w:pos="8306"/>
      </w:tabs>
      <w:snapToGrid w:val="0"/>
      <w:jc w:val="left"/>
    </w:pPr>
    <w:rPr>
      <w:sz w:val="18"/>
      <w:szCs w:val="18"/>
    </w:rPr>
  </w:style>
  <w:style w:type="paragraph" w:styleId="3">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footnote text"/>
    <w:basedOn w:val="1"/>
    <w:link w:val="10"/>
    <w:unhideWhenUsed/>
    <w:qFormat/>
    <w:uiPriority w:val="99"/>
    <w:pPr>
      <w:widowControl/>
      <w:jc w:val="left"/>
    </w:pPr>
    <w:rPr>
      <w:kern w:val="0"/>
      <w:sz w:val="20"/>
      <w:szCs w:val="20"/>
    </w:rPr>
  </w:style>
  <w:style w:type="paragraph" w:styleId="5">
    <w:name w:val="Normal (Web)"/>
    <w:basedOn w:val="1"/>
    <w:qFormat/>
    <w:uiPriority w:val="99"/>
    <w:pPr>
      <w:spacing w:beforeAutospacing="1" w:afterAutospacing="1"/>
      <w:jc w:val="left"/>
    </w:pPr>
    <w:rPr>
      <w:rFonts w:cs="Times New Roman"/>
      <w:kern w:val="0"/>
      <w:sz w:val="24"/>
      <w:szCs w:val="24"/>
    </w:rPr>
  </w:style>
  <w:style w:type="table" w:styleId="7">
    <w:name w:val="Light Shading Accent 1"/>
    <w:basedOn w:val="6"/>
    <w:qFormat/>
    <w:uiPriority w:val="60"/>
    <w:rPr>
      <w:color w:val="366091" w:themeColor="accent1" w:themeShade="BF"/>
      <w:sz w:val="22"/>
    </w:rPr>
    <w:tblPr>
      <w:tblBorders>
        <w:top w:val="single" w:color="4F81BD" w:themeColor="accent1" w:sz="8" w:space="0"/>
        <w:bottom w:val="single" w:color="4F81BD" w:themeColor="accent1" w:sz="8" w:space="0"/>
      </w:tblBorders>
      <w:tblLayout w:type="fixed"/>
      <w:tblCellMar>
        <w:top w:w="0" w:type="dxa"/>
        <w:left w:w="108" w:type="dxa"/>
        <w:bottom w:w="0" w:type="dxa"/>
        <w:right w:w="108" w:type="dxa"/>
      </w:tblCellMar>
    </w:tblPr>
    <w:tblStylePr w:type="firstRow">
      <w:pPr>
        <w:spacing w:before="0" w:after="0" w:line="240" w:lineRule="auto"/>
      </w:pPr>
      <w:rPr>
        <w:b/>
        <w:bCs/>
      </w:rPr>
      <w:tblPr>
        <w:tblLayout w:type="fixed"/>
      </w:tblPr>
      <w:tcPr>
        <w:tcBorders>
          <w:top w:val="single" w:color="4F81BD" w:themeColor="accent1" w:sz="8" w:space="0"/>
          <w:left w:val="nil"/>
          <w:bottom w:val="single" w:color="4F81BD" w:themeColor="accent1" w:sz="8" w:space="0"/>
          <w:right w:val="nil"/>
          <w:insideH w:val="nil"/>
          <w:insideV w:val="nil"/>
        </w:tcBorders>
      </w:tcPr>
    </w:tblStylePr>
    <w:tblStylePr w:type="lastRow">
      <w:pPr>
        <w:spacing w:before="0" w:after="0" w:line="240" w:lineRule="auto"/>
      </w:pPr>
      <w:rPr>
        <w:b/>
        <w:bCs/>
      </w:rPr>
      <w:tblPr>
        <w:tblLayout w:type="fixed"/>
      </w:tblPr>
      <w:tcPr>
        <w:tcBorders>
          <w:top w:val="single" w:color="4F81BD" w:themeColor="accent1" w:sz="8" w:space="0"/>
          <w:left w:val="nil"/>
          <w:bottom w:val="single" w:color="4F81BD" w:themeColor="accent1" w:sz="8" w:space="0"/>
          <w:right w:val="nil"/>
          <w:insideH w:val="nil"/>
          <w:insideV w:val="nil"/>
        </w:tcBorders>
      </w:tcPr>
    </w:tblStylePr>
    <w:tblStylePr w:type="firstCol">
      <w:rPr>
        <w:b/>
        <w:bCs/>
      </w:rPr>
    </w:tblStylePr>
    <w:tblStylePr w:type="lastCol">
      <w:rPr>
        <w:b/>
        <w:bCs/>
      </w:rPr>
    </w:tblStylePr>
    <w:tblStylePr w:type="band1Vert">
      <w:tblPr>
        <w:tblLayout w:type="fixed"/>
      </w:tblPr>
      <w:tcPr>
        <w:tcBorders>
          <w:left w:val="nil"/>
          <w:right w:val="nil"/>
          <w:insideH w:val="nil"/>
          <w:insideV w:val="nil"/>
        </w:tcBorders>
        <w:shd w:val="clear" w:color="auto" w:fill="D3DFEE" w:themeFill="accent1" w:themeFillTint="3F"/>
      </w:tcPr>
    </w:tblStylePr>
    <w:tblStylePr w:type="band1Horz">
      <w:tblPr>
        <w:tblLayout w:type="fixed"/>
      </w:tblPr>
      <w:tcPr>
        <w:tcBorders>
          <w:left w:val="nil"/>
          <w:right w:val="nil"/>
          <w:insideH w:val="nil"/>
          <w:insideV w:val="nil"/>
        </w:tcBorders>
        <w:shd w:val="clear" w:color="auto" w:fill="D3DFEE" w:themeFill="accent1" w:themeFillTint="3F"/>
      </w:tcPr>
    </w:tblStylePr>
  </w:style>
  <w:style w:type="paragraph" w:customStyle="1" w:styleId="9">
    <w:name w:val="Decimal Aligned"/>
    <w:basedOn w:val="1"/>
    <w:qFormat/>
    <w:uiPriority w:val="40"/>
    <w:pPr>
      <w:widowControl/>
      <w:tabs>
        <w:tab w:val="decimal" w:pos="360"/>
      </w:tabs>
      <w:spacing w:after="200" w:line="276" w:lineRule="auto"/>
      <w:jc w:val="left"/>
    </w:pPr>
    <w:rPr>
      <w:kern w:val="0"/>
      <w:sz w:val="22"/>
    </w:rPr>
  </w:style>
  <w:style w:type="character" w:customStyle="1" w:styleId="10">
    <w:name w:val="脚注文本 Char"/>
    <w:basedOn w:val="8"/>
    <w:link w:val="4"/>
    <w:qFormat/>
    <w:uiPriority w:val="99"/>
    <w:rPr>
      <w:kern w:val="0"/>
      <w:sz w:val="20"/>
      <w:szCs w:val="20"/>
    </w:rPr>
  </w:style>
  <w:style w:type="character" w:customStyle="1" w:styleId="11">
    <w:name w:val="不明显强调1"/>
    <w:basedOn w:val="8"/>
    <w:qFormat/>
    <w:uiPriority w:val="19"/>
    <w:rPr>
      <w:rFonts w:eastAsiaTheme="minorEastAsia" w:cstheme="minorBidi"/>
      <w:i/>
      <w:iCs/>
      <w:color w:val="7F7F7F" w:themeColor="text1" w:themeTint="7F"/>
      <w:szCs w:val="22"/>
      <w:lang w:eastAsia="zh-CN"/>
    </w:rPr>
  </w:style>
  <w:style w:type="paragraph" w:customStyle="1" w:styleId="12">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character" w:customStyle="1" w:styleId="13">
    <w:name w:val="页眉 Char"/>
    <w:basedOn w:val="8"/>
    <w:link w:val="3"/>
    <w:semiHidden/>
    <w:qFormat/>
    <w:uiPriority w:val="99"/>
    <w:rPr>
      <w:kern w:val="2"/>
      <w:sz w:val="18"/>
      <w:szCs w:val="18"/>
    </w:rPr>
  </w:style>
  <w:style w:type="character" w:customStyle="1" w:styleId="14">
    <w:name w:val="页脚 Char"/>
    <w:basedOn w:val="8"/>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22</Pages>
  <Words>920</Words>
  <Characters>5248</Characters>
  <Lines>43</Lines>
  <Paragraphs>12</Paragraphs>
  <TotalTime>10</TotalTime>
  <ScaleCrop>false</ScaleCrop>
  <LinksUpToDate>false</LinksUpToDate>
  <CharactersWithSpaces>6156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2020-09-28T03:21:00Z</dcterms:created>
  <dc:creator>Administrator</dc:creator>
  <cp:lastModifiedBy>茜茜</cp:lastModifiedBy>
  <cp:lastPrinted>2020-09-28T02:10:00Z</cp:lastPrinted>
  <dcterms:modified xsi:type="dcterms:W3CDTF">2023-09-18T03:03:19Z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2A25E04E540F4469ABB21C7C6A8FED3F</vt:lpwstr>
  </property>
</Properties>
</file>