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40" w:lineRule="exact"/>
        <w:ind w:firstLine="720"/>
        <w:jc w:val="center"/>
        <w:rPr>
          <w:rFonts w:ascii="Times New Roman" w:hAnsi="Times New Roman" w:eastAsia="黑体" w:cs="Times New Roman"/>
          <w:sz w:val="32"/>
          <w:szCs w:val="32"/>
        </w:rPr>
      </w:pPr>
    </w:p>
    <w:p>
      <w:pPr>
        <w:pStyle w:val="3"/>
        <w:spacing w:line="640" w:lineRule="exact"/>
        <w:jc w:val="center"/>
        <w:rPr>
          <w:rFonts w:ascii="Times New Roman" w:hAnsi="Times New Roman"/>
          <w:sz w:val="44"/>
          <w:szCs w:val="44"/>
        </w:rPr>
      </w:pPr>
    </w:p>
    <w:p>
      <w:pPr>
        <w:pStyle w:val="4"/>
        <w:widowControl/>
        <w:spacing w:line="640" w:lineRule="exact"/>
        <w:ind w:firstLine="880"/>
        <w:jc w:val="center"/>
        <w:rPr>
          <w:rFonts w:ascii="Times New Roman" w:hAnsi="Times New Roman" w:eastAsia="黑体" w:cs="Times New Roman"/>
          <w:sz w:val="44"/>
          <w:szCs w:val="44"/>
        </w:rPr>
      </w:pPr>
    </w:p>
    <w:p>
      <w:pPr>
        <w:pStyle w:val="4"/>
        <w:widowControl/>
        <w:spacing w:line="640" w:lineRule="exact"/>
        <w:ind w:firstLine="880"/>
        <w:jc w:val="center"/>
        <w:rPr>
          <w:rFonts w:ascii="Times New Roman" w:hAnsi="Times New Roman" w:eastAsia="黑体" w:cs="Times New Roman"/>
          <w:sz w:val="44"/>
          <w:szCs w:val="44"/>
        </w:rPr>
      </w:pPr>
    </w:p>
    <w:p>
      <w:pPr>
        <w:pStyle w:val="4"/>
        <w:widowControl/>
        <w:spacing w:line="640" w:lineRule="exact"/>
        <w:ind w:firstLine="880"/>
        <w:jc w:val="center"/>
        <w:rPr>
          <w:rFonts w:ascii="Times New Roman" w:hAnsi="Times New Roman" w:eastAsia="黑体" w:cs="Times New Roman"/>
          <w:sz w:val="44"/>
          <w:szCs w:val="44"/>
        </w:rPr>
      </w:pPr>
    </w:p>
    <w:p>
      <w:pPr>
        <w:pStyle w:val="4"/>
        <w:widowControl/>
        <w:spacing w:line="640" w:lineRule="exact"/>
        <w:ind w:firstLine="640"/>
        <w:jc w:val="center"/>
        <w:rPr>
          <w:rFonts w:ascii="Times New Roman" w:hAnsi="Times New Roman" w:eastAsia="黑体" w:cs="Times New Roman"/>
          <w:sz w:val="32"/>
          <w:szCs w:val="32"/>
        </w:rPr>
      </w:pPr>
    </w:p>
    <w:p>
      <w:pPr>
        <w:pStyle w:val="15"/>
        <w:jc w:val="center"/>
        <w:rPr>
          <w:rFonts w:hAnsi="黑体"/>
          <w:sz w:val="56"/>
          <w:szCs w:val="56"/>
        </w:rPr>
      </w:pPr>
      <w:r>
        <w:rPr>
          <w:rFonts w:hint="eastAsia" w:hAnsi="黑体"/>
          <w:sz w:val="56"/>
          <w:szCs w:val="56"/>
        </w:rPr>
        <w:t>2020年度</w:t>
      </w:r>
    </w:p>
    <w:p>
      <w:pPr>
        <w:pStyle w:val="15"/>
        <w:jc w:val="center"/>
        <w:rPr>
          <w:rFonts w:hAnsi="黑体"/>
          <w:sz w:val="56"/>
          <w:szCs w:val="56"/>
        </w:rPr>
      </w:pPr>
      <w:r>
        <w:rPr>
          <w:rFonts w:hint="eastAsia" w:hAnsi="黑体"/>
          <w:sz w:val="56"/>
          <w:szCs w:val="56"/>
        </w:rPr>
        <w:t>中共衡南县委</w:t>
      </w:r>
    </w:p>
    <w:p>
      <w:pPr>
        <w:pStyle w:val="15"/>
        <w:jc w:val="center"/>
        <w:rPr>
          <w:rFonts w:hAnsi="黑体"/>
          <w:sz w:val="56"/>
          <w:szCs w:val="56"/>
        </w:rPr>
      </w:pPr>
      <w:r>
        <w:rPr>
          <w:rFonts w:hint="eastAsia" w:hAnsi="黑体"/>
          <w:w w:val="84"/>
          <w:sz w:val="56"/>
          <w:szCs w:val="56"/>
        </w:rPr>
        <w:t>网络安全和信息化委员会办公室</w:t>
      </w:r>
    </w:p>
    <w:p>
      <w:pPr>
        <w:pStyle w:val="15"/>
        <w:jc w:val="center"/>
        <w:rPr>
          <w:rFonts w:ascii="Times New Roman" w:hAnsi="Times New Roman" w:cs="Times New Roman"/>
          <w:sz w:val="56"/>
          <w:szCs w:val="56"/>
        </w:rPr>
      </w:pPr>
      <w:r>
        <w:rPr>
          <w:rFonts w:ascii="Times New Roman" w:hAnsi="Times New Roman" w:cs="Times New Roman"/>
          <w:sz w:val="56"/>
          <w:szCs w:val="56"/>
        </w:rPr>
        <w:t>部门决算</w:t>
      </w:r>
    </w:p>
    <w:p>
      <w:pPr>
        <w:pStyle w:val="15"/>
        <w:jc w:val="both"/>
        <w:rPr>
          <w:rFonts w:ascii="Times New Roman" w:hAnsi="Times New Roman" w:cs="Times New Roman"/>
          <w:sz w:val="56"/>
          <w:szCs w:val="56"/>
        </w:rPr>
      </w:pPr>
    </w:p>
    <w:p>
      <w:pPr>
        <w:pStyle w:val="15"/>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both"/>
        <w:rPr>
          <w:rFonts w:ascii="Times New Roman" w:hAnsi="Times New Roman" w:cs="Times New Roman"/>
          <w:sz w:val="56"/>
          <w:szCs w:val="56"/>
        </w:rPr>
      </w:pPr>
    </w:p>
    <w:p>
      <w:pPr>
        <w:pStyle w:val="15"/>
        <w:spacing w:line="540" w:lineRule="exact"/>
        <w:jc w:val="both"/>
        <w:rPr>
          <w:rFonts w:ascii="Times New Roman" w:hAnsi="Times New Roman" w:cs="Times New Roman"/>
          <w:sz w:val="56"/>
          <w:szCs w:val="56"/>
        </w:rPr>
      </w:pPr>
    </w:p>
    <w:p>
      <w:pPr>
        <w:rPr>
          <w:b/>
          <w:sz w:val="28"/>
          <w:szCs w:val="28"/>
        </w:rPr>
      </w:pPr>
    </w:p>
    <w:p>
      <w:pPr>
        <w:pStyle w:val="15"/>
        <w:snapToGrid w:val="0"/>
        <w:spacing w:line="360" w:lineRule="auto"/>
        <w:ind w:firstLine="1074" w:firstLineChars="200"/>
        <w:jc w:val="center"/>
        <w:rPr>
          <w:rFonts w:hAnsi="黑体"/>
          <w:w w:val="96"/>
          <w:sz w:val="56"/>
          <w:szCs w:val="56"/>
        </w:rPr>
      </w:pPr>
    </w:p>
    <w:p>
      <w:pPr>
        <w:pStyle w:val="15"/>
        <w:snapToGrid w:val="0"/>
        <w:spacing w:line="360" w:lineRule="auto"/>
        <w:ind w:firstLine="1074" w:firstLineChars="200"/>
        <w:jc w:val="center"/>
        <w:rPr>
          <w:rFonts w:ascii="宋体" w:hAnsi="宋体" w:eastAsia="宋体" w:cs="宋体"/>
          <w:w w:val="96"/>
          <w:sz w:val="32"/>
          <w:szCs w:val="32"/>
        </w:rPr>
      </w:pPr>
      <w:r>
        <w:rPr>
          <w:rFonts w:hint="eastAsia" w:hAnsi="黑体"/>
          <w:w w:val="96"/>
          <w:sz w:val="56"/>
          <w:szCs w:val="56"/>
        </w:rPr>
        <w:t>目录</w:t>
      </w:r>
    </w:p>
    <w:p>
      <w:pPr>
        <w:pStyle w:val="15"/>
        <w:snapToGrid w:val="0"/>
        <w:spacing w:line="360" w:lineRule="auto"/>
        <w:ind w:firstLine="536" w:firstLineChars="200"/>
        <w:rPr>
          <w:rFonts w:hAnsi="黑体"/>
          <w:bCs/>
          <w:w w:val="96"/>
          <w:sz w:val="28"/>
          <w:szCs w:val="28"/>
        </w:rPr>
      </w:pPr>
      <w:r>
        <w:rPr>
          <w:rFonts w:hint="eastAsia" w:hAnsi="黑体"/>
          <w:bCs/>
          <w:w w:val="96"/>
          <w:sz w:val="28"/>
          <w:szCs w:val="28"/>
        </w:rPr>
        <w:t>第一部分中共衡南县委网络安全和信息化委员会办公室概况</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一、部门职责</w:t>
      </w:r>
    </w:p>
    <w:p>
      <w:pPr>
        <w:pStyle w:val="15"/>
        <w:autoSpaceDE/>
        <w:autoSpaceDN/>
        <w:snapToGrid w:val="0"/>
        <w:spacing w:line="360" w:lineRule="auto"/>
        <w:ind w:firstLine="1072" w:firstLineChars="400"/>
        <w:rPr>
          <w:rFonts w:ascii="宋体" w:hAnsi="宋体" w:eastAsia="宋体" w:cs="宋体"/>
          <w:w w:val="96"/>
          <w:sz w:val="32"/>
          <w:szCs w:val="32"/>
        </w:rPr>
      </w:pPr>
      <w:r>
        <w:rPr>
          <w:rFonts w:hint="eastAsia" w:ascii="宋体" w:hAnsi="宋体" w:eastAsia="宋体" w:cs="宋体"/>
          <w:w w:val="96"/>
          <w:sz w:val="28"/>
          <w:szCs w:val="28"/>
        </w:rPr>
        <w:t>二、机构设置</w:t>
      </w:r>
    </w:p>
    <w:p>
      <w:pPr>
        <w:pStyle w:val="15"/>
        <w:snapToGrid w:val="0"/>
        <w:spacing w:line="360" w:lineRule="auto"/>
        <w:ind w:firstLine="536" w:firstLineChars="200"/>
        <w:rPr>
          <w:rFonts w:hAnsi="黑体"/>
          <w:bCs/>
          <w:w w:val="96"/>
          <w:sz w:val="28"/>
          <w:szCs w:val="28"/>
        </w:rPr>
      </w:pPr>
      <w:r>
        <w:rPr>
          <w:rFonts w:hint="eastAsia" w:hAnsi="黑体"/>
          <w:bCs/>
          <w:w w:val="96"/>
          <w:sz w:val="28"/>
          <w:szCs w:val="28"/>
        </w:rPr>
        <w:t>第二部分2020年度部门决算表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一、收入支出决算总表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二、收入决算表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三、支出决算表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四、财政拨款收入支出决算总表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五、一般公共预算财政拨款支出决算表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六、一般公共预算财政拨款基本支出决算表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七、一般公共预算财政拨款“三公”经费支出决算表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八、政府性基金预算财政拨款收入支出决算表</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九、国有资本经营预算财政拨款支出决算表</w:t>
      </w:r>
    </w:p>
    <w:p>
      <w:pPr>
        <w:pStyle w:val="15"/>
        <w:snapToGrid w:val="0"/>
        <w:spacing w:line="360" w:lineRule="auto"/>
        <w:ind w:firstLine="536" w:firstLineChars="200"/>
        <w:rPr>
          <w:rFonts w:hAnsi="黑体"/>
          <w:bCs/>
          <w:w w:val="96"/>
          <w:sz w:val="28"/>
          <w:szCs w:val="28"/>
        </w:rPr>
      </w:pPr>
      <w:r>
        <w:rPr>
          <w:rFonts w:hint="eastAsia" w:hAnsi="黑体"/>
          <w:bCs/>
          <w:w w:val="96"/>
          <w:sz w:val="28"/>
          <w:szCs w:val="28"/>
        </w:rPr>
        <w:t>第三部分2020年度部门决算情况说明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一、收入支出决算总体情况说明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二、收入决算情况说明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三、支出决算情况说明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四、财政拨款收入支出决算总体情况说明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五、一般公共预算财政拨款支出决算情况说明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六、一般公共预算财政拨款基本支出决算情况说明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七、一般公共预算财政拨款三公经费支出决算情况说明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八、政府性基金预算收入支出决算情况说明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九、国有资本经营预算财政拨款支出决算情况</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十、关于机关运行经费支出说明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十一、一般性支出情况说明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十二、关于政府采购支出说明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十三、关于国有资产占用情况说明</w:t>
      </w:r>
    </w:p>
    <w:p>
      <w:pPr>
        <w:pStyle w:val="15"/>
        <w:autoSpaceDE/>
        <w:autoSpaceDN/>
        <w:snapToGrid w:val="0"/>
        <w:spacing w:line="360" w:lineRule="auto"/>
        <w:ind w:firstLine="1072" w:firstLineChars="400"/>
        <w:rPr>
          <w:rFonts w:ascii="宋体" w:hAnsi="宋体" w:eastAsia="宋体" w:cs="宋体"/>
          <w:w w:val="96"/>
          <w:sz w:val="28"/>
          <w:szCs w:val="28"/>
        </w:rPr>
      </w:pPr>
      <w:r>
        <w:rPr>
          <w:rFonts w:hint="eastAsia" w:ascii="宋体" w:hAnsi="宋体" w:eastAsia="宋体" w:cs="宋体"/>
          <w:w w:val="96"/>
          <w:sz w:val="28"/>
          <w:szCs w:val="28"/>
        </w:rPr>
        <w:t>十四、关于2020年度预算绩效情况说明</w:t>
      </w:r>
    </w:p>
    <w:p>
      <w:pPr>
        <w:autoSpaceDE w:val="0"/>
        <w:autoSpaceDN w:val="0"/>
        <w:adjustRightInd w:val="0"/>
        <w:snapToGrid w:val="0"/>
        <w:spacing w:line="360" w:lineRule="auto"/>
        <w:ind w:firstLine="536" w:firstLineChars="200"/>
        <w:jc w:val="left"/>
        <w:rPr>
          <w:rFonts w:ascii="黑体" w:hAnsi="黑体" w:eastAsia="黑体" w:cs="黑体"/>
          <w:bCs/>
          <w:color w:val="000000"/>
          <w:w w:val="96"/>
          <w:kern w:val="0"/>
          <w:sz w:val="28"/>
          <w:szCs w:val="28"/>
        </w:rPr>
      </w:pPr>
      <w:r>
        <w:rPr>
          <w:rFonts w:hint="eastAsia" w:ascii="黑体" w:hAnsi="黑体" w:eastAsia="黑体" w:cs="黑体"/>
          <w:bCs/>
          <w:color w:val="000000"/>
          <w:w w:val="96"/>
          <w:kern w:val="0"/>
          <w:sz w:val="28"/>
          <w:szCs w:val="28"/>
        </w:rPr>
        <w:t>第四部分名词解释</w:t>
      </w:r>
    </w:p>
    <w:p>
      <w:pPr>
        <w:adjustRightInd w:val="0"/>
        <w:snapToGrid w:val="0"/>
        <w:spacing w:line="360" w:lineRule="auto"/>
        <w:ind w:firstLine="536" w:firstLineChars="200"/>
        <w:jc w:val="left"/>
        <w:rPr>
          <w:rFonts w:ascii="黑体" w:hAnsi="黑体" w:eastAsia="黑体" w:cs="黑体"/>
          <w:bCs/>
          <w:color w:val="000000"/>
          <w:w w:val="96"/>
          <w:kern w:val="0"/>
          <w:sz w:val="28"/>
          <w:szCs w:val="28"/>
        </w:rPr>
      </w:pPr>
      <w:r>
        <w:rPr>
          <w:rFonts w:hint="eastAsia" w:ascii="黑体" w:hAnsi="黑体" w:eastAsia="黑体" w:cs="黑体"/>
          <w:bCs/>
          <w:color w:val="000000"/>
          <w:w w:val="96"/>
          <w:kern w:val="0"/>
          <w:sz w:val="28"/>
          <w:szCs w:val="28"/>
        </w:rPr>
        <w:t>第五部分附件</w:t>
      </w:r>
    </w:p>
    <w:p>
      <w:pPr>
        <w:adjustRightInd w:val="0"/>
        <w:snapToGrid w:val="0"/>
        <w:spacing w:line="360" w:lineRule="auto"/>
        <w:ind w:firstLine="614" w:firstLineChars="200"/>
        <w:jc w:val="center"/>
        <w:rPr>
          <w:rFonts w:ascii="宋体" w:hAnsi="宋体" w:eastAsia="宋体" w:cs="宋体"/>
          <w:w w:val="96"/>
        </w:rPr>
      </w:pPr>
    </w:p>
    <w:p>
      <w:pPr>
        <w:adjustRightInd w:val="0"/>
        <w:snapToGrid w:val="0"/>
        <w:spacing w:line="360" w:lineRule="auto"/>
        <w:ind w:firstLine="614" w:firstLineChars="200"/>
        <w:jc w:val="center"/>
        <w:rPr>
          <w:rFonts w:ascii="宋体" w:hAnsi="宋体" w:eastAsia="宋体" w:cs="宋体"/>
          <w:w w:val="96"/>
        </w:rPr>
      </w:pPr>
    </w:p>
    <w:p>
      <w:pPr>
        <w:adjustRightInd w:val="0"/>
        <w:snapToGrid w:val="0"/>
        <w:spacing w:line="360" w:lineRule="auto"/>
        <w:ind w:firstLine="614" w:firstLineChars="200"/>
        <w:jc w:val="center"/>
        <w:rPr>
          <w:rFonts w:ascii="宋体" w:hAnsi="宋体" w:eastAsia="宋体" w:cs="宋体"/>
          <w:w w:val="96"/>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第一部分</w:t>
      </w:r>
    </w:p>
    <w:p>
      <w:pPr>
        <w:jc w:val="center"/>
        <w:rPr>
          <w:rFonts w:ascii="黑体" w:hAnsi="黑体" w:eastAsia="黑体" w:cs="黑体"/>
          <w:bCs/>
          <w:kern w:val="0"/>
          <w:sz w:val="44"/>
          <w:szCs w:val="44"/>
        </w:rPr>
      </w:pPr>
      <w:r>
        <w:rPr>
          <w:rFonts w:hint="eastAsia" w:ascii="黑体" w:hAnsi="黑体" w:eastAsia="黑体" w:cs="黑体"/>
          <w:bCs/>
          <w:kern w:val="0"/>
          <w:sz w:val="44"/>
          <w:szCs w:val="44"/>
        </w:rPr>
        <w:t>中共衡南县委网络安全和信息化委员会</w:t>
      </w:r>
    </w:p>
    <w:p>
      <w:pPr>
        <w:jc w:val="center"/>
        <w:rPr>
          <w:rFonts w:ascii="黑体" w:hAnsi="黑体" w:eastAsia="黑体" w:cs="黑体"/>
          <w:b/>
          <w:sz w:val="44"/>
          <w:szCs w:val="44"/>
        </w:rPr>
      </w:pPr>
      <w:r>
        <w:rPr>
          <w:rFonts w:hint="eastAsia" w:ascii="黑体" w:hAnsi="黑体" w:eastAsia="黑体" w:cs="黑体"/>
          <w:bCs/>
          <w:kern w:val="0"/>
          <w:sz w:val="44"/>
          <w:szCs w:val="44"/>
        </w:rPr>
        <w:t>办公室单位概况</w:t>
      </w:r>
    </w:p>
    <w:p>
      <w:pPr>
        <w:pStyle w:val="16"/>
        <w:ind w:left="720" w:firstLine="0" w:firstLineChars="0"/>
        <w:jc w:val="center"/>
        <w:rPr>
          <w:rFonts w:ascii="黑体" w:hAnsi="黑体" w:eastAsia="黑体" w:cs="黑体"/>
          <w:sz w:val="44"/>
          <w:szCs w:val="44"/>
        </w:rPr>
      </w:pPr>
    </w:p>
    <w:p>
      <w:pPr>
        <w:pStyle w:val="16"/>
        <w:ind w:firstLine="880"/>
        <w:jc w:val="left"/>
        <w:rPr>
          <w:rFonts w:ascii="黑体" w:hAnsi="黑体" w:eastAsia="黑体" w:cs="黑体"/>
          <w:sz w:val="44"/>
          <w:szCs w:val="44"/>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640"/>
        <w:jc w:val="left"/>
        <w:rPr>
          <w:rFonts w:hAnsi="黑体" w:eastAsia="黑体"/>
        </w:rPr>
      </w:pPr>
    </w:p>
    <w:p>
      <w:pPr>
        <w:pStyle w:val="16"/>
        <w:ind w:firstLine="0" w:firstLineChars="0"/>
        <w:jc w:val="left"/>
        <w:rPr>
          <w:rFonts w:hAnsi="黑体" w:eastAsia="黑体"/>
        </w:rPr>
      </w:pPr>
    </w:p>
    <w:p>
      <w:pPr>
        <w:pStyle w:val="16"/>
        <w:ind w:firstLine="640"/>
        <w:jc w:val="left"/>
        <w:rPr>
          <w:rFonts w:eastAsia="黑体"/>
        </w:rPr>
      </w:pPr>
      <w:r>
        <w:rPr>
          <w:rFonts w:hint="eastAsia" w:hAnsi="黑体" w:eastAsia="黑体"/>
        </w:rPr>
        <w:t>一、</w:t>
      </w:r>
      <w:r>
        <w:rPr>
          <w:rFonts w:hAnsi="黑体" w:eastAsia="黑体"/>
        </w:rPr>
        <w:t>部门职责</w:t>
      </w:r>
    </w:p>
    <w:p>
      <w:pPr>
        <w:widowControl/>
        <w:spacing w:line="600" w:lineRule="exact"/>
        <w:ind w:firstLine="640" w:firstLineChars="200"/>
        <w:rPr>
          <w:rFonts w:ascii="仿宋" w:hAnsi="仿宋" w:eastAsia="仿宋" w:cs="仿宋"/>
        </w:rPr>
      </w:pPr>
      <w:r>
        <w:rPr>
          <w:rFonts w:hint="eastAsia" w:ascii="仿宋" w:hAnsi="仿宋" w:eastAsia="仿宋" w:cs="仿宋"/>
        </w:rPr>
        <w:t>因本办主要职能属涉密信息，不宜对外公开。</w:t>
      </w:r>
    </w:p>
    <w:p>
      <w:pPr>
        <w:widowControl/>
        <w:spacing w:line="600" w:lineRule="exact"/>
        <w:ind w:firstLine="640" w:firstLineChars="200"/>
        <w:rPr>
          <w:rFonts w:eastAsia="黑体"/>
          <w:bCs/>
          <w:kern w:val="0"/>
        </w:rPr>
      </w:pPr>
      <w:r>
        <w:rPr>
          <w:rFonts w:hint="eastAsia" w:hAnsi="黑体" w:eastAsia="黑体"/>
          <w:bCs/>
          <w:kern w:val="0"/>
        </w:rPr>
        <w:t>二、</w:t>
      </w:r>
      <w:r>
        <w:rPr>
          <w:rFonts w:hAnsi="黑体" w:eastAsia="黑体"/>
          <w:bCs/>
          <w:kern w:val="0"/>
        </w:rPr>
        <w:t>机构设置及决算单位构成</w:t>
      </w:r>
    </w:p>
    <w:p>
      <w:pPr>
        <w:spacing w:line="600" w:lineRule="exact"/>
        <w:ind w:firstLine="624" w:firstLineChars="200"/>
        <w:rPr>
          <w:rFonts w:ascii="仿宋" w:hAnsi="仿宋" w:eastAsia="仿宋" w:cs="仿宋"/>
        </w:rPr>
      </w:pPr>
      <w:r>
        <w:rPr>
          <w:rFonts w:hint="eastAsia" w:ascii="宋体" w:hAnsi="宋体" w:cs="仿宋_GB2312"/>
          <w:color w:val="000000"/>
          <w:spacing w:val="-4"/>
        </w:rPr>
        <w:t>我办于2019年4月成立，内设综合组（政策法规组、网络宣传评论组）、网络舆情应急和网络管理执法组（网络安全协调和信息化发展组、社会工作组）两个组室。</w:t>
      </w:r>
      <w:r>
        <w:rPr>
          <w:rFonts w:hint="eastAsia" w:ascii="仿宋" w:hAnsi="仿宋" w:eastAsia="仿宋" w:cs="仿宋"/>
        </w:rPr>
        <w:t>另辖衡南网络信息中心（股级公益一类事业单位）。</w:t>
      </w:r>
    </w:p>
    <w:p>
      <w:pPr>
        <w:spacing w:line="520" w:lineRule="exact"/>
        <w:ind w:firstLine="640" w:firstLineChars="200"/>
        <w:rPr>
          <w:rFonts w:hAnsi="宋体"/>
          <w:bCs/>
          <w:kern w:val="0"/>
        </w:rPr>
      </w:pPr>
      <w:r>
        <w:rPr>
          <w:rFonts w:hint="eastAsia" w:ascii="宋体" w:hAnsi="宋体" w:cs="仿宋"/>
        </w:rPr>
        <w:t>2020年本单位年未实有人数8人。其中行政编3人，事业编5人。</w:t>
      </w:r>
      <w:r>
        <w:rPr>
          <w:rFonts w:hint="eastAsia"/>
          <w:bCs/>
          <w:kern w:val="0"/>
        </w:rPr>
        <w:t>我</w:t>
      </w:r>
      <w:r>
        <w:rPr>
          <w:rFonts w:hAnsi="宋体"/>
          <w:bCs/>
          <w:kern w:val="0"/>
        </w:rPr>
        <w:t>单位</w:t>
      </w:r>
      <w:r>
        <w:rPr>
          <w:bCs/>
          <w:kern w:val="0"/>
        </w:rPr>
        <w:t>20</w:t>
      </w:r>
      <w:r>
        <w:rPr>
          <w:rFonts w:hint="eastAsia"/>
          <w:bCs/>
          <w:kern w:val="0"/>
        </w:rPr>
        <w:t>20</w:t>
      </w:r>
      <w:r>
        <w:rPr>
          <w:rFonts w:hAnsi="宋体"/>
          <w:bCs/>
          <w:kern w:val="0"/>
        </w:rPr>
        <w:t>年部门决算汇总公开单位</w:t>
      </w:r>
      <w:r>
        <w:rPr>
          <w:rFonts w:hint="eastAsia" w:hAnsi="宋体"/>
          <w:bCs/>
          <w:kern w:val="0"/>
        </w:rPr>
        <w:t>只有本级一个</w:t>
      </w:r>
      <w:r>
        <w:rPr>
          <w:rFonts w:hAnsi="宋体"/>
          <w:bCs/>
          <w:kern w:val="0"/>
        </w:rPr>
        <w:t>单位</w:t>
      </w:r>
      <w:r>
        <w:rPr>
          <w:rFonts w:hint="eastAsia" w:hAnsi="宋体"/>
          <w:bCs/>
          <w:kern w:val="0"/>
        </w:rPr>
        <w:t>。</w:t>
      </w:r>
    </w:p>
    <w:p>
      <w:pPr>
        <w:spacing w:line="520" w:lineRule="exact"/>
        <w:ind w:firstLine="640"/>
        <w:rPr>
          <w:rFonts w:hAnsi="宋体"/>
          <w:bCs/>
          <w:kern w:val="0"/>
        </w:rPr>
      </w:pPr>
    </w:p>
    <w:p>
      <w:pPr>
        <w:jc w:val="left"/>
        <w:rPr>
          <w:sz w:val="28"/>
        </w:rPr>
      </w:pPr>
    </w:p>
    <w:p>
      <w:pPr>
        <w:rPr>
          <w:rFonts w:eastAsia="黑体"/>
          <w:sz w:val="28"/>
          <w:szCs w:val="28"/>
        </w:rPr>
        <w:sectPr>
          <w:footerReference r:id="rId3" w:type="default"/>
          <w:pgSz w:w="11906" w:h="16838"/>
          <w:pgMar w:top="1440" w:right="1803" w:bottom="1440" w:left="1803" w:header="851" w:footer="992" w:gutter="0"/>
          <w:pgNumType w:fmt="numberInDash" w:start="1"/>
          <w:cols w:space="0" w:num="1"/>
          <w:docGrid w:type="linesAndChars" w:linePitch="436" w:charSpace="0"/>
        </w:sectPr>
      </w:pPr>
    </w:p>
    <w:p>
      <w:pPr>
        <w:rPr>
          <w:sz w:val="72"/>
          <w:szCs w:val="72"/>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黑体" w:hAnsi="黑体" w:eastAsia="黑体" w:cs="黑体"/>
          <w:b/>
          <w:sz w:val="70"/>
          <w:szCs w:val="70"/>
        </w:rPr>
      </w:pPr>
      <w:r>
        <w:rPr>
          <w:rFonts w:hint="eastAsia" w:ascii="黑体" w:hAnsi="黑体" w:eastAsia="黑体" w:cs="黑体"/>
          <w:b/>
          <w:sz w:val="70"/>
          <w:szCs w:val="70"/>
        </w:rPr>
        <w:t>第二部分</w:t>
      </w:r>
    </w:p>
    <w:p>
      <w:pPr>
        <w:jc w:val="center"/>
        <w:rPr>
          <w:rFonts w:ascii="黑体" w:hAnsi="黑体" w:eastAsia="黑体" w:cs="黑体"/>
          <w:b/>
          <w:sz w:val="70"/>
          <w:szCs w:val="70"/>
        </w:rPr>
      </w:pPr>
      <w:r>
        <w:rPr>
          <w:rFonts w:hint="eastAsia" w:ascii="黑体" w:hAnsi="黑体" w:eastAsia="黑体" w:cs="黑体"/>
          <w:b/>
          <w:sz w:val="70"/>
          <w:szCs w:val="70"/>
        </w:rPr>
        <w:t>部门决算表</w:t>
      </w:r>
    </w:p>
    <w:p>
      <w:pPr>
        <w:adjustRightInd w:val="0"/>
        <w:snapToGrid w:val="0"/>
        <w:spacing w:line="360" w:lineRule="auto"/>
        <w:ind w:firstLine="2415" w:firstLineChars="700"/>
        <w:rPr>
          <w:rFonts w:ascii="宋体" w:hAnsi="宋体" w:eastAsia="宋体" w:cs="宋体"/>
          <w:w w:val="96"/>
          <w:sz w:val="36"/>
          <w:szCs w:val="36"/>
        </w:rPr>
      </w:pPr>
      <w:r>
        <w:rPr>
          <w:rFonts w:hint="eastAsia" w:ascii="宋体" w:hAnsi="宋体" w:eastAsia="宋体" w:cs="宋体"/>
          <w:w w:val="96"/>
          <w:sz w:val="36"/>
          <w:szCs w:val="36"/>
        </w:rPr>
        <w:t>(部门决算公示表附后)</w:t>
      </w:r>
    </w:p>
    <w:p>
      <w:pPr>
        <w:jc w:val="center"/>
        <w:rPr>
          <w:rFonts w:ascii="黑体" w:hAnsi="黑体" w:eastAsia="黑体" w:cs="黑体"/>
          <w:sz w:val="48"/>
          <w:szCs w:val="48"/>
        </w:rPr>
      </w:pPr>
    </w:p>
    <w:p>
      <w:pPr>
        <w:jc w:val="center"/>
        <w:rPr>
          <w:sz w:val="72"/>
          <w:szCs w:val="72"/>
        </w:rPr>
        <w:sectPr>
          <w:pgSz w:w="11906" w:h="16838"/>
          <w:pgMar w:top="1440" w:right="1803" w:bottom="1440" w:left="1803" w:header="851" w:footer="992" w:gutter="0"/>
          <w:pgNumType w:fmt="numberInDash"/>
          <w:cols w:space="0" w:num="1"/>
          <w:docGrid w:type="linesAndChars" w:linePitch="436" w:charSpace="0"/>
        </w:sectPr>
      </w:pPr>
    </w:p>
    <w:p>
      <w:pPr>
        <w:pStyle w:val="15"/>
        <w:snapToGrid w:val="0"/>
        <w:spacing w:line="360" w:lineRule="auto"/>
        <w:jc w:val="center"/>
        <w:rPr>
          <w:rFonts w:hAnsi="黑体"/>
          <w:w w:val="96"/>
          <w:sz w:val="70"/>
          <w:szCs w:val="70"/>
        </w:rPr>
      </w:pPr>
    </w:p>
    <w:p>
      <w:pPr>
        <w:pStyle w:val="15"/>
        <w:snapToGrid w:val="0"/>
        <w:spacing w:line="360" w:lineRule="auto"/>
        <w:jc w:val="center"/>
        <w:rPr>
          <w:rFonts w:hAnsi="黑体"/>
          <w:w w:val="96"/>
          <w:sz w:val="70"/>
          <w:szCs w:val="70"/>
        </w:rPr>
      </w:pPr>
    </w:p>
    <w:p>
      <w:pPr>
        <w:pStyle w:val="15"/>
        <w:snapToGrid w:val="0"/>
        <w:spacing w:line="360" w:lineRule="auto"/>
        <w:jc w:val="center"/>
        <w:rPr>
          <w:rFonts w:hAnsi="黑体"/>
          <w:w w:val="96"/>
          <w:sz w:val="70"/>
          <w:szCs w:val="70"/>
        </w:rPr>
      </w:pPr>
    </w:p>
    <w:p>
      <w:pPr>
        <w:pStyle w:val="15"/>
        <w:snapToGrid w:val="0"/>
        <w:spacing w:line="360" w:lineRule="auto"/>
        <w:jc w:val="center"/>
        <w:rPr>
          <w:rFonts w:hAnsi="黑体"/>
          <w:w w:val="96"/>
          <w:sz w:val="70"/>
          <w:szCs w:val="70"/>
        </w:rPr>
      </w:pPr>
    </w:p>
    <w:p>
      <w:pPr>
        <w:pStyle w:val="15"/>
        <w:snapToGrid w:val="0"/>
        <w:spacing w:line="360" w:lineRule="auto"/>
        <w:jc w:val="center"/>
        <w:rPr>
          <w:rFonts w:hAnsi="黑体"/>
          <w:w w:val="96"/>
          <w:sz w:val="70"/>
          <w:szCs w:val="70"/>
        </w:rPr>
      </w:pPr>
      <w:r>
        <w:rPr>
          <w:rFonts w:hint="eastAsia" w:hAnsi="黑体"/>
          <w:w w:val="96"/>
          <w:sz w:val="70"/>
          <w:szCs w:val="70"/>
        </w:rPr>
        <w:t>第三部分</w:t>
      </w:r>
    </w:p>
    <w:p>
      <w:pPr>
        <w:pStyle w:val="15"/>
        <w:snapToGrid w:val="0"/>
        <w:spacing w:line="360" w:lineRule="auto"/>
        <w:jc w:val="center"/>
        <w:rPr>
          <w:rFonts w:hAnsi="黑体"/>
          <w:w w:val="96"/>
          <w:sz w:val="70"/>
          <w:szCs w:val="70"/>
        </w:rPr>
      </w:pPr>
      <w:r>
        <w:rPr>
          <w:rFonts w:hint="eastAsia" w:hAnsi="黑体"/>
          <w:w w:val="96"/>
          <w:sz w:val="70"/>
          <w:szCs w:val="70"/>
        </w:rPr>
        <w:t>2020年度部门决算情况说明</w:t>
      </w:r>
    </w:p>
    <w:p>
      <w:pPr>
        <w:rPr>
          <w:b/>
          <w:spacing w:val="-20"/>
          <w:sz w:val="48"/>
          <w:szCs w:val="48"/>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ascii="仿宋" w:hAnsi="仿宋" w:eastAsia="仿宋" w:cs="仿宋"/>
          <w:color w:val="auto"/>
          <w:sz w:val="32"/>
          <w:szCs w:val="32"/>
        </w:rPr>
      </w:pP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一、收入支出决算总体情况说明</w:t>
      </w:r>
    </w:p>
    <w:p>
      <w:pPr>
        <w:pStyle w:val="15"/>
        <w:adjustRightInd/>
        <w:spacing w:line="600" w:lineRule="exact"/>
        <w:ind w:firstLine="666" w:firstLineChars="200"/>
        <w:jc w:val="both"/>
        <w:rPr>
          <w:rFonts w:ascii="仿宋" w:hAnsi="仿宋" w:eastAsia="仿宋" w:cs="仿宋"/>
          <w:bCs/>
          <w:color w:val="auto"/>
          <w:sz w:val="32"/>
          <w:szCs w:val="32"/>
        </w:rPr>
      </w:pPr>
      <w:r>
        <w:rPr>
          <w:rFonts w:hint="eastAsia" w:ascii="仿宋" w:hAnsi="仿宋" w:eastAsia="仿宋" w:cs="仿宋"/>
          <w:color w:val="auto"/>
          <w:sz w:val="32"/>
          <w:szCs w:val="32"/>
        </w:rPr>
        <w:t>2020年总收入274.99万元，与2019年相比增加274.99万元，</w:t>
      </w:r>
      <w:r>
        <w:rPr>
          <w:rFonts w:hint="eastAsia" w:ascii="仿宋" w:hAnsi="仿宋" w:eastAsia="仿宋" w:cs="仿宋"/>
          <w:bCs/>
          <w:color w:val="auto"/>
          <w:sz w:val="32"/>
          <w:szCs w:val="32"/>
        </w:rPr>
        <w:t>增长100%。</w:t>
      </w:r>
      <w:r>
        <w:rPr>
          <w:rFonts w:hint="eastAsia" w:ascii="仿宋" w:hAnsi="仿宋" w:eastAsia="仿宋" w:cs="仿宋"/>
          <w:color w:val="auto"/>
          <w:sz w:val="32"/>
          <w:szCs w:val="32"/>
        </w:rPr>
        <w:t>总支出242.73万元</w:t>
      </w:r>
      <w:r>
        <w:rPr>
          <w:rFonts w:hint="eastAsia" w:ascii="仿宋" w:hAnsi="仿宋" w:eastAsia="仿宋" w:cs="仿宋"/>
          <w:bCs/>
          <w:color w:val="auto"/>
          <w:sz w:val="32"/>
          <w:szCs w:val="32"/>
        </w:rPr>
        <w:t>。与2019年相比，增加</w:t>
      </w:r>
      <w:r>
        <w:rPr>
          <w:rFonts w:hint="eastAsia" w:ascii="仿宋" w:hAnsi="仿宋" w:eastAsia="仿宋" w:cs="仿宋"/>
          <w:color w:val="auto"/>
          <w:sz w:val="32"/>
          <w:szCs w:val="32"/>
        </w:rPr>
        <w:t>242.73</w:t>
      </w:r>
      <w:r>
        <w:rPr>
          <w:rFonts w:hint="eastAsia" w:ascii="仿宋" w:hAnsi="仿宋" w:eastAsia="仿宋" w:cs="仿宋"/>
          <w:bCs/>
          <w:color w:val="auto"/>
          <w:sz w:val="32"/>
          <w:szCs w:val="32"/>
        </w:rPr>
        <w:t>万元，增长52.8%，主要是因为我单位2019年4月份机构才成立，且2019年财务未独立核算，收支列入宣传部统一核算，导致无法进行实际收支比较。</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二、收入决算情况说明</w:t>
      </w:r>
    </w:p>
    <w:p>
      <w:pPr>
        <w:pStyle w:val="15"/>
        <w:adjustRightInd/>
        <w:spacing w:line="60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本年收入合计274.99万元，其中：财政拨款收入270.99万元，占98.55%%；上级补助收入0万元，占0%；事业收入0万元，占0%；经营收入0万元，占0%；附属单位上缴收入0万元，占0%；其他收入4.00万元，占1.45%。</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三、支出决算情况说明</w:t>
      </w:r>
    </w:p>
    <w:p>
      <w:pPr>
        <w:pStyle w:val="15"/>
        <w:adjustRightInd/>
        <w:spacing w:line="60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本年支出合计242.73万元，其中：基本支出</w:t>
      </w:r>
      <w:r>
        <w:rPr>
          <w:rFonts w:hint="eastAsia" w:ascii="仿宋" w:hAnsi="仿宋" w:eastAsia="仿宋" w:cs="仿宋"/>
          <w:sz w:val="32"/>
          <w:szCs w:val="32"/>
        </w:rPr>
        <w:t>46.34</w:t>
      </w:r>
      <w:r>
        <w:rPr>
          <w:rFonts w:hint="eastAsia" w:ascii="仿宋" w:hAnsi="仿宋" w:eastAsia="仿宋" w:cs="仿宋"/>
          <w:bCs/>
          <w:color w:val="auto"/>
          <w:sz w:val="32"/>
          <w:szCs w:val="32"/>
        </w:rPr>
        <w:t>万元，占19.09%；项目支出</w:t>
      </w:r>
      <w:r>
        <w:rPr>
          <w:rFonts w:hint="eastAsia" w:ascii="仿宋" w:hAnsi="仿宋" w:eastAsia="仿宋" w:cs="仿宋"/>
          <w:sz w:val="32"/>
          <w:szCs w:val="32"/>
        </w:rPr>
        <w:t>196.39</w:t>
      </w:r>
      <w:r>
        <w:rPr>
          <w:rFonts w:hint="eastAsia" w:ascii="仿宋" w:hAnsi="仿宋" w:eastAsia="仿宋" w:cs="仿宋"/>
          <w:bCs/>
          <w:color w:val="auto"/>
          <w:sz w:val="32"/>
          <w:szCs w:val="32"/>
        </w:rPr>
        <w:t>万元，占80.91%；上缴上级支出0万元，占0%；经营支出0万元，占0%；对附属单位补助支出0万元，占0%。</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四、财政拨款收入支出决算总体情况说明</w:t>
      </w:r>
    </w:p>
    <w:p>
      <w:pPr>
        <w:pStyle w:val="15"/>
        <w:adjustRightInd/>
        <w:spacing w:line="60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2020年度财政拨款收入270.99万元，与2019年相比，财政拨款收入增加</w:t>
      </w:r>
      <w:r>
        <w:rPr>
          <w:rFonts w:hint="eastAsia" w:ascii="仿宋" w:hAnsi="仿宋" w:eastAsia="仿宋" w:cs="仿宋"/>
          <w:color w:val="auto"/>
          <w:sz w:val="32"/>
          <w:szCs w:val="32"/>
        </w:rPr>
        <w:t>270.99</w:t>
      </w:r>
      <w:r>
        <w:rPr>
          <w:rFonts w:hint="eastAsia" w:ascii="仿宋" w:hAnsi="仿宋" w:eastAsia="仿宋" w:cs="仿宋"/>
          <w:bCs/>
          <w:color w:val="auto"/>
          <w:sz w:val="32"/>
          <w:szCs w:val="32"/>
        </w:rPr>
        <w:t>万元,增长100%。2020年度财政拨款支出总计238.73万元，财政拨款</w:t>
      </w:r>
      <w:r>
        <w:rPr>
          <w:rFonts w:hint="eastAsia" w:ascii="仿宋" w:hAnsi="仿宋" w:eastAsia="仿宋" w:cs="仿宋"/>
          <w:color w:val="auto"/>
          <w:sz w:val="32"/>
          <w:szCs w:val="32"/>
        </w:rPr>
        <w:t>收支</w:t>
      </w:r>
      <w:r>
        <w:rPr>
          <w:rFonts w:hint="eastAsia" w:ascii="仿宋" w:hAnsi="仿宋" w:eastAsia="仿宋" w:cs="仿宋"/>
          <w:bCs/>
          <w:color w:val="auto"/>
          <w:sz w:val="32"/>
          <w:szCs w:val="32"/>
        </w:rPr>
        <w:t>增加主要是我单位2019年4月份机构才成立，且2019年财务未独立核算，收支列入宣传部统一核算，导致无法进行实际收支比较。</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五、一般公共预算财政拨款支出决算情况说明</w:t>
      </w:r>
    </w:p>
    <w:p>
      <w:pPr>
        <w:pStyle w:val="15"/>
        <w:adjustRightInd/>
        <w:spacing w:line="60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（一）一般公共预算财政拨款支出决算总体情况</w:t>
      </w:r>
    </w:p>
    <w:p>
      <w:pPr>
        <w:pStyle w:val="15"/>
        <w:adjustRightInd/>
        <w:spacing w:line="60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2020年度财政拨款支出</w:t>
      </w:r>
      <w:r>
        <w:rPr>
          <w:rFonts w:hint="eastAsia" w:ascii="仿宋" w:hAnsi="仿宋" w:eastAsia="仿宋" w:cs="仿宋"/>
          <w:color w:val="auto"/>
          <w:sz w:val="32"/>
          <w:szCs w:val="32"/>
        </w:rPr>
        <w:t>234.73</w:t>
      </w:r>
      <w:r>
        <w:rPr>
          <w:rFonts w:hint="eastAsia" w:ascii="仿宋" w:hAnsi="仿宋" w:eastAsia="仿宋" w:cs="仿宋"/>
          <w:bCs/>
          <w:color w:val="auto"/>
          <w:sz w:val="32"/>
          <w:szCs w:val="32"/>
        </w:rPr>
        <w:t>万元，占本年支出合计的98.32%，与2019年相比，财政拨款支出增加</w:t>
      </w:r>
      <w:r>
        <w:rPr>
          <w:rFonts w:hint="eastAsia" w:ascii="仿宋" w:hAnsi="仿宋" w:eastAsia="仿宋" w:cs="仿宋"/>
          <w:color w:val="auto"/>
          <w:sz w:val="32"/>
          <w:szCs w:val="32"/>
        </w:rPr>
        <w:t>234.73</w:t>
      </w:r>
      <w:r>
        <w:rPr>
          <w:rFonts w:hint="eastAsia" w:ascii="仿宋" w:hAnsi="仿宋" w:eastAsia="仿宋" w:cs="仿宋"/>
          <w:bCs/>
          <w:color w:val="auto"/>
          <w:sz w:val="32"/>
          <w:szCs w:val="32"/>
        </w:rPr>
        <w:t>万元，,增长100%。财政拨款</w:t>
      </w:r>
      <w:r>
        <w:rPr>
          <w:rFonts w:hint="eastAsia" w:ascii="仿宋" w:hAnsi="仿宋" w:eastAsia="仿宋" w:cs="仿宋"/>
          <w:color w:val="auto"/>
          <w:sz w:val="32"/>
          <w:szCs w:val="32"/>
        </w:rPr>
        <w:t>收支</w:t>
      </w:r>
      <w:r>
        <w:rPr>
          <w:rFonts w:hint="eastAsia" w:ascii="仿宋" w:hAnsi="仿宋" w:eastAsia="仿宋" w:cs="仿宋"/>
          <w:bCs/>
          <w:color w:val="auto"/>
          <w:sz w:val="32"/>
          <w:szCs w:val="32"/>
        </w:rPr>
        <w:t>增加主要是我单位2019年4月份机构才成立，且2019年财务未独立核算，收支列入宣传部统一核算，导致无法进行实际收支比较。</w:t>
      </w:r>
    </w:p>
    <w:p>
      <w:pPr>
        <w:pStyle w:val="15"/>
        <w:adjustRightInd/>
        <w:spacing w:line="60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（二）一般公共预算财政拨款支出决算结构情况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2020年度财政拨款支出234.73万元，主要用于以下方面：一般公共服务（类）支出224.14万元，占95.49%；社会保障和就业支出6.07万元，占2.59%，卫生健康支出2.42万元，占1.03%，住房保障支出2.10万元，占0.89%。</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（三）一般公共预算财政拨款支出决算具体情况</w:t>
      </w:r>
    </w:p>
    <w:p>
      <w:pPr>
        <w:spacing w:line="580" w:lineRule="exact"/>
        <w:ind w:firstLine="652" w:firstLineChars="196"/>
        <w:rPr>
          <w:rFonts w:ascii="仿宋" w:hAnsi="仿宋" w:eastAsia="仿宋" w:cs="仿宋"/>
          <w:bCs/>
          <w:kern w:val="0"/>
        </w:rPr>
      </w:pPr>
      <w:r>
        <w:rPr>
          <w:rFonts w:hint="eastAsia" w:ascii="仿宋" w:hAnsi="仿宋" w:eastAsia="仿宋" w:cs="仿宋"/>
          <w:bCs/>
          <w:kern w:val="0"/>
        </w:rPr>
        <w:t>2020年度财政拨款年初预算数为266.99万元，财政拨款支出决算数为234.73万元，完成年初预算的87.92%，</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1、一般公共服务支出（类）政府办公厅（室）及相关机构事务（款）其他政府办公厅（室）及相关机构事务支出（项）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0.00</w:t>
      </w:r>
      <w:r>
        <w:rPr>
          <w:rFonts w:hint="eastAsia" w:ascii="仿宋" w:hAnsi="仿宋" w:eastAsia="仿宋" w:cs="仿宋"/>
          <w:bCs/>
          <w:kern w:val="0"/>
        </w:rPr>
        <w:t>万元，支出决算为</w:t>
      </w:r>
      <w:r>
        <w:rPr>
          <w:rFonts w:ascii="仿宋" w:hAnsi="仿宋" w:eastAsia="仿宋" w:cs="仿宋"/>
          <w:bCs/>
          <w:kern w:val="0"/>
        </w:rPr>
        <w:t>107.73</w:t>
      </w:r>
      <w:r>
        <w:rPr>
          <w:rFonts w:hint="eastAsia" w:ascii="仿宋" w:hAnsi="仿宋" w:eastAsia="仿宋" w:cs="仿宋"/>
          <w:bCs/>
          <w:kern w:val="0"/>
        </w:rPr>
        <w:t>万元，完成年初预算数的1</w:t>
      </w:r>
      <w:r>
        <w:rPr>
          <w:rFonts w:ascii="仿宋" w:hAnsi="仿宋" w:eastAsia="仿宋" w:cs="仿宋"/>
          <w:bCs/>
          <w:kern w:val="0"/>
        </w:rPr>
        <w:t>07%</w:t>
      </w:r>
      <w:r>
        <w:rPr>
          <w:rFonts w:hint="eastAsia" w:ascii="仿宋" w:hAnsi="仿宋" w:eastAsia="仿宋" w:cs="仿宋"/>
          <w:bCs/>
          <w:kern w:val="0"/>
        </w:rPr>
        <w:t>。决算数大于年初预算数的主要原因是省财政追加安排了预算资金。</w:t>
      </w:r>
    </w:p>
    <w:p>
      <w:pPr>
        <w:spacing w:line="580" w:lineRule="exact"/>
        <w:ind w:firstLine="652" w:firstLineChars="196"/>
        <w:rPr>
          <w:rFonts w:ascii="仿宋" w:hAnsi="仿宋" w:eastAsia="仿宋" w:cs="仿宋"/>
          <w:bCs/>
          <w:kern w:val="0"/>
        </w:rPr>
      </w:pPr>
      <w:r>
        <w:rPr>
          <w:rFonts w:ascii="仿宋" w:hAnsi="仿宋" w:eastAsia="仿宋" w:cs="仿宋"/>
          <w:bCs/>
          <w:kern w:val="0"/>
        </w:rPr>
        <w:t>2</w:t>
      </w:r>
      <w:r>
        <w:rPr>
          <w:rFonts w:hint="eastAsia" w:ascii="仿宋" w:hAnsi="仿宋" w:eastAsia="仿宋" w:cs="仿宋"/>
          <w:bCs/>
          <w:kern w:val="0"/>
        </w:rPr>
        <w:t>、一般公共服务支出（类）网信事务（款）行政运行（项）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39.37</w:t>
      </w:r>
      <w:r>
        <w:rPr>
          <w:rFonts w:hint="eastAsia" w:ascii="仿宋" w:hAnsi="仿宋" w:eastAsia="仿宋" w:cs="仿宋"/>
          <w:bCs/>
          <w:kern w:val="0"/>
        </w:rPr>
        <w:t>万元，支出决算为</w:t>
      </w:r>
      <w:r>
        <w:rPr>
          <w:rFonts w:ascii="仿宋" w:hAnsi="仿宋" w:eastAsia="仿宋" w:cs="仿宋"/>
          <w:bCs/>
          <w:kern w:val="0"/>
        </w:rPr>
        <w:t>31.89</w:t>
      </w:r>
      <w:r>
        <w:rPr>
          <w:rFonts w:hint="eastAsia" w:ascii="仿宋" w:hAnsi="仿宋" w:eastAsia="仿宋" w:cs="仿宋"/>
          <w:bCs/>
          <w:kern w:val="0"/>
        </w:rPr>
        <w:t>万元，完成年初预算数的</w:t>
      </w:r>
      <w:r>
        <w:rPr>
          <w:rFonts w:ascii="仿宋" w:hAnsi="仿宋" w:eastAsia="仿宋" w:cs="仿宋"/>
          <w:bCs/>
          <w:kern w:val="0"/>
        </w:rPr>
        <w:t>81%</w:t>
      </w:r>
      <w:r>
        <w:rPr>
          <w:rFonts w:hint="eastAsia" w:ascii="仿宋" w:hAnsi="仿宋" w:eastAsia="仿宋" w:cs="仿宋"/>
          <w:bCs/>
          <w:kern w:val="0"/>
        </w:rPr>
        <w:t>。决算数小于年初预算数的主要原因是人员异动，严格控制机构运行经费。</w:t>
      </w:r>
    </w:p>
    <w:p>
      <w:pPr>
        <w:spacing w:line="580" w:lineRule="exact"/>
        <w:ind w:firstLine="652" w:firstLineChars="196"/>
        <w:rPr>
          <w:rFonts w:ascii="仿宋" w:hAnsi="仿宋" w:eastAsia="仿宋" w:cs="仿宋"/>
          <w:bCs/>
          <w:kern w:val="0"/>
        </w:rPr>
      </w:pPr>
      <w:r>
        <w:rPr>
          <w:rFonts w:ascii="仿宋" w:hAnsi="仿宋" w:eastAsia="仿宋" w:cs="仿宋"/>
          <w:bCs/>
          <w:kern w:val="0"/>
        </w:rPr>
        <w:t>3</w:t>
      </w:r>
      <w:r>
        <w:rPr>
          <w:rFonts w:hint="eastAsia" w:ascii="仿宋" w:hAnsi="仿宋" w:eastAsia="仿宋" w:cs="仿宋"/>
          <w:bCs/>
          <w:kern w:val="0"/>
        </w:rPr>
        <w:t>、一般公共服务支出（类）网信事务（款）其他网信事务支出其他网信事务支出（项）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70.65</w:t>
      </w:r>
      <w:r>
        <w:rPr>
          <w:rFonts w:hint="eastAsia" w:ascii="仿宋" w:hAnsi="仿宋" w:eastAsia="仿宋" w:cs="仿宋"/>
          <w:bCs/>
          <w:kern w:val="0"/>
        </w:rPr>
        <w:t>万元，支出决算为</w:t>
      </w:r>
      <w:r>
        <w:rPr>
          <w:rFonts w:ascii="仿宋" w:hAnsi="仿宋" w:eastAsia="仿宋" w:cs="仿宋"/>
          <w:bCs/>
          <w:kern w:val="0"/>
        </w:rPr>
        <w:t>70.65</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2" w:firstLineChars="196"/>
        <w:rPr>
          <w:rFonts w:ascii="仿宋" w:hAnsi="仿宋" w:eastAsia="仿宋" w:cs="仿宋"/>
          <w:bCs/>
          <w:kern w:val="0"/>
        </w:rPr>
      </w:pPr>
      <w:r>
        <w:rPr>
          <w:rFonts w:ascii="仿宋" w:hAnsi="仿宋" w:eastAsia="仿宋" w:cs="仿宋"/>
          <w:bCs/>
          <w:kern w:val="0"/>
        </w:rPr>
        <w:t>4</w:t>
      </w:r>
      <w:r>
        <w:rPr>
          <w:rFonts w:hint="eastAsia" w:ascii="仿宋" w:hAnsi="仿宋" w:eastAsia="仿宋" w:cs="仿宋"/>
          <w:bCs/>
          <w:kern w:val="0"/>
        </w:rPr>
        <w:t>、一般公共服务支出（类）其他一般公共服务支出（款）其他一般公共服务支出（项）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0</w:t>
      </w:r>
      <w:r>
        <w:rPr>
          <w:rFonts w:hint="eastAsia" w:ascii="仿宋" w:hAnsi="仿宋" w:eastAsia="仿宋" w:cs="仿宋"/>
          <w:bCs/>
          <w:kern w:val="0"/>
        </w:rPr>
        <w:t>万元，支出决算为</w:t>
      </w:r>
      <w:r>
        <w:rPr>
          <w:rFonts w:ascii="仿宋" w:hAnsi="仿宋" w:eastAsia="仿宋" w:cs="仿宋"/>
          <w:bCs/>
          <w:kern w:val="0"/>
        </w:rPr>
        <w:t>13.87</w:t>
      </w:r>
      <w:r>
        <w:rPr>
          <w:rFonts w:hint="eastAsia" w:ascii="仿宋" w:hAnsi="仿宋" w:eastAsia="仿宋" w:cs="仿宋"/>
          <w:bCs/>
          <w:kern w:val="0"/>
        </w:rPr>
        <w:t>万元，完成年初预算数的</w:t>
      </w:r>
      <w:r>
        <w:rPr>
          <w:rFonts w:ascii="仿宋" w:hAnsi="仿宋" w:eastAsia="仿宋" w:cs="仿宋"/>
          <w:bCs/>
          <w:kern w:val="0"/>
        </w:rPr>
        <w:t>138%</w:t>
      </w:r>
      <w:r>
        <w:rPr>
          <w:rFonts w:hint="eastAsia" w:ascii="仿宋" w:hAnsi="仿宋" w:eastAsia="仿宋" w:cs="仿宋"/>
          <w:bCs/>
          <w:kern w:val="0"/>
        </w:rPr>
        <w:t>。决算数大于年初预算数的主要原因是省财政追加安排了预算资金。</w:t>
      </w:r>
    </w:p>
    <w:p>
      <w:pPr>
        <w:spacing w:line="580" w:lineRule="exact"/>
        <w:ind w:firstLine="652" w:firstLineChars="196"/>
        <w:rPr>
          <w:rFonts w:ascii="仿宋" w:hAnsi="仿宋" w:eastAsia="仿宋" w:cs="仿宋"/>
          <w:bCs/>
          <w:kern w:val="0"/>
        </w:rPr>
      </w:pPr>
      <w:r>
        <w:rPr>
          <w:rFonts w:ascii="仿宋" w:hAnsi="仿宋" w:eastAsia="仿宋" w:cs="仿宋"/>
          <w:bCs/>
          <w:kern w:val="0"/>
        </w:rPr>
        <w:t>5</w:t>
      </w:r>
      <w:r>
        <w:rPr>
          <w:rFonts w:hint="eastAsia" w:ascii="仿宋" w:hAnsi="仿宋" w:eastAsia="仿宋" w:cs="仿宋"/>
          <w:bCs/>
          <w:kern w:val="0"/>
        </w:rPr>
        <w:t>、社会保障和就业支出（类）行政事业单位养老支出（款）机关事业单位基本养老保险缴费支出（项）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5.73</w:t>
      </w:r>
      <w:r>
        <w:rPr>
          <w:rFonts w:hint="eastAsia" w:ascii="仿宋" w:hAnsi="仿宋" w:eastAsia="仿宋" w:cs="仿宋"/>
          <w:bCs/>
          <w:kern w:val="0"/>
        </w:rPr>
        <w:t>万元，支出决算为</w:t>
      </w:r>
      <w:r>
        <w:rPr>
          <w:rFonts w:ascii="仿宋" w:hAnsi="仿宋" w:eastAsia="仿宋" w:cs="仿宋"/>
          <w:bCs/>
          <w:kern w:val="0"/>
        </w:rPr>
        <w:t>5.73</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2" w:firstLineChars="196"/>
        <w:rPr>
          <w:rFonts w:ascii="仿宋" w:hAnsi="仿宋" w:eastAsia="仿宋" w:cs="仿宋"/>
          <w:bCs/>
          <w:kern w:val="0"/>
        </w:rPr>
      </w:pPr>
      <w:r>
        <w:rPr>
          <w:rFonts w:ascii="仿宋" w:hAnsi="仿宋" w:eastAsia="仿宋" w:cs="仿宋"/>
          <w:bCs/>
          <w:kern w:val="0"/>
        </w:rPr>
        <w:t>6</w:t>
      </w:r>
      <w:r>
        <w:rPr>
          <w:rFonts w:hint="eastAsia" w:ascii="仿宋" w:hAnsi="仿宋" w:eastAsia="仿宋" w:cs="仿宋"/>
          <w:bCs/>
          <w:kern w:val="0"/>
        </w:rPr>
        <w:t>、社会保障和就业支出（类）财政对其他社会保险基金的补助（款）财政对工伤保险基金的补助（项）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0.2</w:t>
      </w:r>
      <w:r>
        <w:rPr>
          <w:rFonts w:hint="eastAsia" w:ascii="仿宋" w:hAnsi="仿宋" w:eastAsia="仿宋" w:cs="仿宋"/>
          <w:bCs/>
          <w:kern w:val="0"/>
        </w:rPr>
        <w:t>万元，支出决算为</w:t>
      </w:r>
      <w:r>
        <w:rPr>
          <w:rFonts w:ascii="仿宋" w:hAnsi="仿宋" w:eastAsia="仿宋" w:cs="仿宋"/>
          <w:bCs/>
          <w:kern w:val="0"/>
        </w:rPr>
        <w:t>0.2</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2" w:firstLineChars="196"/>
        <w:rPr>
          <w:rFonts w:ascii="仿宋" w:hAnsi="仿宋" w:eastAsia="仿宋" w:cs="仿宋"/>
          <w:bCs/>
          <w:kern w:val="0"/>
        </w:rPr>
      </w:pPr>
      <w:r>
        <w:rPr>
          <w:rFonts w:ascii="仿宋" w:hAnsi="仿宋" w:eastAsia="仿宋" w:cs="仿宋"/>
          <w:bCs/>
          <w:kern w:val="0"/>
        </w:rPr>
        <w:t>7</w:t>
      </w:r>
      <w:r>
        <w:rPr>
          <w:rFonts w:hint="eastAsia" w:ascii="仿宋" w:hAnsi="仿宋" w:eastAsia="仿宋" w:cs="仿宋"/>
          <w:bCs/>
          <w:kern w:val="0"/>
        </w:rPr>
        <w:t>、社会保障和就业支出（类）财政对其他社会保险基金的补助（款）财政对生育保险基金的补助（项）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0.14</w:t>
      </w:r>
      <w:r>
        <w:rPr>
          <w:rFonts w:hint="eastAsia" w:ascii="仿宋" w:hAnsi="仿宋" w:eastAsia="仿宋" w:cs="仿宋"/>
          <w:bCs/>
          <w:kern w:val="0"/>
        </w:rPr>
        <w:t>万元，支出决算为</w:t>
      </w:r>
      <w:r>
        <w:rPr>
          <w:rFonts w:ascii="仿宋" w:hAnsi="仿宋" w:eastAsia="仿宋" w:cs="仿宋"/>
          <w:bCs/>
          <w:kern w:val="0"/>
        </w:rPr>
        <w:t>0.14</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2" w:firstLineChars="196"/>
        <w:rPr>
          <w:rFonts w:ascii="仿宋" w:hAnsi="仿宋" w:eastAsia="仿宋" w:cs="仿宋"/>
          <w:bCs/>
          <w:kern w:val="0"/>
        </w:rPr>
      </w:pPr>
      <w:r>
        <w:rPr>
          <w:rFonts w:ascii="仿宋" w:hAnsi="仿宋" w:eastAsia="仿宋" w:cs="仿宋"/>
          <w:bCs/>
          <w:kern w:val="0"/>
        </w:rPr>
        <w:t>8</w:t>
      </w:r>
      <w:r>
        <w:rPr>
          <w:rFonts w:hint="eastAsia" w:ascii="仿宋" w:hAnsi="仿宋" w:eastAsia="仿宋" w:cs="仿宋"/>
          <w:bCs/>
          <w:kern w:val="0"/>
        </w:rPr>
        <w:t>、卫生健康支出（类）行政事业单位医疗（款）行政单位医疗（项）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2.42</w:t>
      </w:r>
      <w:r>
        <w:rPr>
          <w:rFonts w:hint="eastAsia" w:ascii="仿宋" w:hAnsi="仿宋" w:eastAsia="仿宋" w:cs="仿宋"/>
          <w:bCs/>
          <w:kern w:val="0"/>
        </w:rPr>
        <w:t>万元，支出决算为</w:t>
      </w:r>
      <w:r>
        <w:rPr>
          <w:rFonts w:ascii="仿宋" w:hAnsi="仿宋" w:eastAsia="仿宋" w:cs="仿宋"/>
          <w:bCs/>
          <w:kern w:val="0"/>
        </w:rPr>
        <w:t>2.42</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2" w:firstLineChars="196"/>
        <w:rPr>
          <w:rFonts w:ascii="仿宋" w:hAnsi="仿宋" w:eastAsia="仿宋" w:cs="仿宋"/>
          <w:bCs/>
          <w:kern w:val="0"/>
        </w:rPr>
      </w:pPr>
      <w:r>
        <w:rPr>
          <w:rFonts w:ascii="仿宋" w:hAnsi="仿宋" w:eastAsia="仿宋" w:cs="仿宋"/>
          <w:bCs/>
          <w:kern w:val="0"/>
        </w:rPr>
        <w:t>9</w:t>
      </w:r>
      <w:r>
        <w:rPr>
          <w:rFonts w:hint="eastAsia" w:ascii="仿宋" w:hAnsi="仿宋" w:eastAsia="仿宋" w:cs="仿宋"/>
          <w:bCs/>
          <w:kern w:val="0"/>
        </w:rPr>
        <w:t>、住房保障支出（类）住房改革支出（款）住房公积金（项）</w:t>
      </w:r>
    </w:p>
    <w:p>
      <w:pPr>
        <w:widowControl/>
        <w:spacing w:line="580" w:lineRule="exact"/>
        <w:ind w:firstLine="666" w:firstLineChars="200"/>
        <w:jc w:val="left"/>
        <w:rPr>
          <w:rFonts w:ascii="仿宋" w:hAnsi="仿宋" w:eastAsia="仿宋" w:cs="仿宋"/>
          <w:bCs/>
          <w:kern w:val="0"/>
        </w:rPr>
      </w:pPr>
      <w:r>
        <w:rPr>
          <w:rFonts w:hint="eastAsia" w:ascii="仿宋" w:hAnsi="仿宋" w:eastAsia="仿宋" w:cs="仿宋"/>
          <w:bCs/>
          <w:kern w:val="0"/>
        </w:rPr>
        <w:t>年初预算为</w:t>
      </w:r>
      <w:r>
        <w:rPr>
          <w:rFonts w:ascii="仿宋" w:hAnsi="仿宋" w:eastAsia="仿宋" w:cs="仿宋"/>
          <w:bCs/>
          <w:kern w:val="0"/>
        </w:rPr>
        <w:t>2.1</w:t>
      </w:r>
      <w:r>
        <w:rPr>
          <w:rFonts w:hint="eastAsia" w:ascii="仿宋" w:hAnsi="仿宋" w:eastAsia="仿宋" w:cs="仿宋"/>
          <w:bCs/>
          <w:kern w:val="0"/>
        </w:rPr>
        <w:t>万元，支出决算为</w:t>
      </w:r>
      <w:r>
        <w:rPr>
          <w:rFonts w:ascii="仿宋" w:hAnsi="仿宋" w:eastAsia="仿宋" w:cs="仿宋"/>
          <w:bCs/>
          <w:kern w:val="0"/>
        </w:rPr>
        <w:t>2.1</w:t>
      </w:r>
      <w:r>
        <w:rPr>
          <w:rFonts w:hint="eastAsia" w:ascii="仿宋" w:hAnsi="仿宋" w:eastAsia="仿宋" w:cs="仿宋"/>
          <w:bCs/>
          <w:kern w:val="0"/>
        </w:rPr>
        <w:t>万元，完成年初预算数的</w:t>
      </w:r>
      <w:r>
        <w:rPr>
          <w:rFonts w:ascii="仿宋" w:hAnsi="仿宋" w:eastAsia="仿宋" w:cs="仿宋"/>
          <w:bCs/>
          <w:kern w:val="0"/>
        </w:rPr>
        <w:t>100%</w:t>
      </w:r>
      <w:r>
        <w:rPr>
          <w:rFonts w:hint="eastAsia" w:ascii="仿宋" w:hAnsi="仿宋" w:eastAsia="仿宋" w:cs="仿宋"/>
          <w:bCs/>
          <w:kern w:val="0"/>
        </w:rPr>
        <w:t>。</w:t>
      </w:r>
    </w:p>
    <w:p>
      <w:pPr>
        <w:spacing w:line="580" w:lineRule="exact"/>
        <w:ind w:firstLine="655" w:firstLineChars="197"/>
        <w:rPr>
          <w:rFonts w:ascii="仿宋" w:hAnsi="仿宋" w:eastAsia="仿宋" w:cs="仿宋"/>
        </w:rPr>
      </w:pPr>
      <w:r>
        <w:rPr>
          <w:rFonts w:hint="eastAsia" w:ascii="黑体" w:hAnsi="黑体" w:eastAsia="黑体" w:cs="黑体"/>
          <w:kern w:val="0"/>
        </w:rPr>
        <w:t>六、一般公共预算财政拨款基本支出决算情况说明</w:t>
      </w:r>
    </w:p>
    <w:p>
      <w:pPr>
        <w:spacing w:line="580" w:lineRule="exact"/>
        <w:ind w:firstLine="492" w:firstLineChars="148"/>
        <w:rPr>
          <w:rFonts w:ascii="仿宋" w:hAnsi="仿宋" w:eastAsia="仿宋" w:cs="仿宋"/>
          <w:bCs/>
        </w:rPr>
      </w:pPr>
      <w:r>
        <w:rPr>
          <w:rFonts w:hint="eastAsia" w:ascii="仿宋" w:hAnsi="仿宋" w:eastAsia="仿宋" w:cs="仿宋"/>
          <w:bCs/>
        </w:rPr>
        <w:t>2020年度财政拨款基本支出</w:t>
      </w:r>
      <w:r>
        <w:rPr>
          <w:rFonts w:hint="eastAsia" w:ascii="仿宋" w:hAnsi="仿宋" w:eastAsia="仿宋" w:cs="仿宋"/>
          <w:kern w:val="0"/>
        </w:rPr>
        <w:t>46.34</w:t>
      </w:r>
      <w:r>
        <w:rPr>
          <w:rFonts w:hint="eastAsia" w:ascii="仿宋" w:hAnsi="仿宋" w:eastAsia="仿宋" w:cs="仿宋"/>
          <w:bCs/>
        </w:rPr>
        <w:t>万元，其中：人员经费40.95万元，占基本支出的88.36%,主要包括基本工资、津贴补贴、奖金、伙食补助费等；公用经费5.39万元，占基本支出的11.64%，主要包括办公费、印刷费等。</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七、一般公共预算财政拨款三公经费支出决算情况说明</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（一）“三公”经费财政拨款支出决算总体情况说明</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“三公”经费财政拨款支出预算为3.7万元，支出决算为1.75万元，完成预算的42.30%，决算数小于预算数主要是厉行节约，压缩一般性行政经费，严格三公经费支出的审核把关和规范三公经费支出程序</w:t>
      </w:r>
      <w:r>
        <w:rPr>
          <w:rFonts w:hint="eastAsia" w:ascii="宋体" w:hAnsi="宋体" w:cs="仿宋_GB2312"/>
          <w:sz w:val="30"/>
          <w:szCs w:val="30"/>
        </w:rPr>
        <w:t>。</w:t>
      </w:r>
      <w:r>
        <w:rPr>
          <w:rFonts w:hint="eastAsia" w:ascii="仿宋" w:hAnsi="仿宋" w:eastAsia="仿宋" w:cs="仿宋"/>
          <w:bCs/>
          <w:color w:val="auto"/>
          <w:sz w:val="32"/>
          <w:szCs w:val="32"/>
        </w:rPr>
        <w:t>其中：</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因公出国（境）费支出预算为0万元，支出决算为0万元，完成预算的0%。</w:t>
      </w:r>
    </w:p>
    <w:p>
      <w:pPr>
        <w:snapToGrid w:val="0"/>
        <w:spacing w:line="360" w:lineRule="auto"/>
        <w:ind w:firstLine="666" w:firstLineChars="200"/>
        <w:jc w:val="left"/>
        <w:rPr>
          <w:rFonts w:ascii="仿宋" w:hAnsi="仿宋" w:eastAsia="仿宋" w:cs="仿宋"/>
          <w:bCs/>
        </w:rPr>
      </w:pPr>
      <w:r>
        <w:rPr>
          <w:rFonts w:hint="eastAsia" w:ascii="仿宋" w:hAnsi="仿宋" w:eastAsia="仿宋" w:cs="仿宋"/>
          <w:bCs/>
        </w:rPr>
        <w:t>公务接待费支出预算为3.7万元，支出决算为1.75万元，完成预算的42.30%。</w:t>
      </w:r>
    </w:p>
    <w:p>
      <w:pPr>
        <w:snapToGrid w:val="0"/>
        <w:spacing w:line="360" w:lineRule="auto"/>
        <w:ind w:firstLine="666" w:firstLineChars="200"/>
        <w:jc w:val="left"/>
        <w:rPr>
          <w:rFonts w:ascii="仿宋" w:hAnsi="仿宋" w:eastAsia="仿宋" w:cs="仿宋"/>
          <w:bCs/>
        </w:rPr>
      </w:pPr>
      <w:r>
        <w:rPr>
          <w:rFonts w:hint="eastAsia" w:ascii="仿宋" w:hAnsi="仿宋" w:eastAsia="仿宋" w:cs="仿宋"/>
          <w:bCs/>
        </w:rPr>
        <w:t>公务用车购置费及运行维护费支出预算为0万元，支出决算为0万元。</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（二）“三公”经费财政拨款支出决算具体情况说明</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2020年度“三公”经费财政拨款支出决算中，公务接待费支出决算1.75万元，占100%,因公出国（境）费支出决算0万元，占0%,公务用车购置费及运行维护费支出决算0万，占0%。其中：</w:t>
      </w:r>
    </w:p>
    <w:p>
      <w:pPr>
        <w:pStyle w:val="15"/>
        <w:numPr>
          <w:ilvl w:val="0"/>
          <w:numId w:val="1"/>
        </w:numPr>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因公出国（境）费支出决算为0万元，全年安排因公出国（境）团组0个，累计0人次。</w:t>
      </w:r>
    </w:p>
    <w:p>
      <w:pPr>
        <w:pStyle w:val="15"/>
        <w:numPr>
          <w:ilvl w:val="0"/>
          <w:numId w:val="1"/>
        </w:numPr>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公务接待费支出决算为1.75万元，全年共接待各类各级新闻媒体来访50多个、来宾430人次，主要是对接网络媒体记者、上访人员、基层扶贫单位来人的接待支出。</w:t>
      </w:r>
    </w:p>
    <w:p>
      <w:pPr>
        <w:pStyle w:val="15"/>
        <w:numPr>
          <w:ilvl w:val="0"/>
          <w:numId w:val="1"/>
        </w:numPr>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公务用车购置费及运行维护费支出决算为0万元，其中：公务用车购置费0万元。公务用车运行维护费0万元，主要是协调处理统战事务性工作支出，截止2020年12月31日，我单位开支财政拨款的公务用车保有量为0辆。</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八、政府性基金预算收入支出决算情况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2020年度政府性基金预算财政拨款收入4万元；年初结转和结余0万元；支出4万元，其中基本支出0万元，项目支出4万元；年末结转和结余0万元。用于新冠疫情防护购买防疫用品支出。</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九、国有资本经营预算财政拨款支出决算情况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本单位2020年没有国有资本经营预算财政拨款支出。</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hAnsi="黑体"/>
          <w:color w:val="auto"/>
          <w:sz w:val="32"/>
          <w:szCs w:val="32"/>
        </w:rPr>
        <w:t>十、</w:t>
      </w:r>
      <w:r>
        <w:rPr>
          <w:rFonts w:hint="eastAsia" w:ascii="仿宋" w:hAnsi="仿宋" w:eastAsia="仿宋" w:cs="仿宋"/>
          <w:b/>
          <w:bCs/>
          <w:color w:val="auto"/>
          <w:sz w:val="32"/>
          <w:szCs w:val="32"/>
        </w:rPr>
        <w:t>机关运行经费支出情况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本部门2020年度机关运行经费支出5.4万元，与预算持平。</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十一、一般性支出情况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2020年本部门开支会议费共0.51万元，用于召开召开网络工作相关会议，参会人数120余人；开支培训费共1.46万元，用于网络安全工作相关业务培训，人数150人。</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十二、政府采购支出情况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部门2020年度政府采购支出总额45.09万元，其中：政府采购货物支出45.09万元、政府采购工程支出0万元、政府采购服务支出0万元。授予中小企业合同金额0万元，占政府采购支出总额的0%，其中：授予小微企业合同金额0万元，占政府采购支出总额的0%。（政府采购金额的计算口径为：本部门纳入2020年度部门预算范围的各项政府采购支出金额之和，不包括涉密采购项目的支出金额）。</w:t>
      </w:r>
    </w:p>
    <w:p>
      <w:pPr>
        <w:pStyle w:val="15"/>
        <w:adjustRightInd/>
        <w:spacing w:line="580" w:lineRule="exact"/>
        <w:ind w:firstLine="666"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rPr>
        <w:t>十三、国有资产占用情况</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截至2020年12月31日，本单位共有车辆0辆，其中，领导干部用车0辆、机要通信用车0辆、应急保障用车0辆、执法执勤用车0辆、特种专业技术用车0辆、其他用车0辆，其他用车主要是协调处理统战事务需要；单位价值50万元以上通用设备0台（套）；单位价值100万元以上专用设备0台（套）。</w:t>
      </w:r>
    </w:p>
    <w:p>
      <w:pPr>
        <w:pStyle w:val="15"/>
        <w:adjustRightInd/>
        <w:spacing w:line="600" w:lineRule="exact"/>
        <w:ind w:firstLine="666" w:firstLineChars="200"/>
        <w:jc w:val="both"/>
        <w:rPr>
          <w:rFonts w:hAnsi="黑体"/>
          <w:color w:val="auto"/>
          <w:sz w:val="32"/>
          <w:szCs w:val="32"/>
        </w:rPr>
      </w:pPr>
      <w:r>
        <w:rPr>
          <w:rFonts w:hint="eastAsia" w:hAnsi="黑体"/>
          <w:color w:val="auto"/>
          <w:sz w:val="32"/>
          <w:szCs w:val="32"/>
        </w:rPr>
        <w:t>十四、关于2020年度预算绩效情况说明</w:t>
      </w:r>
    </w:p>
    <w:p>
      <w:pPr>
        <w:pStyle w:val="15"/>
        <w:adjustRightInd/>
        <w:spacing w:line="580" w:lineRule="exact"/>
        <w:ind w:firstLine="666" w:firstLineChars="200"/>
        <w:jc w:val="both"/>
        <w:rPr>
          <w:rFonts w:ascii="仿宋" w:hAnsi="仿宋" w:eastAsia="仿宋" w:cs="仿宋"/>
          <w:bCs/>
          <w:color w:val="auto"/>
          <w:sz w:val="32"/>
          <w:szCs w:val="32"/>
        </w:rPr>
      </w:pPr>
      <w:r>
        <w:rPr>
          <w:rFonts w:hint="eastAsia" w:ascii="仿宋" w:hAnsi="仿宋" w:eastAsia="仿宋" w:cs="仿宋"/>
          <w:bCs/>
          <w:color w:val="auto"/>
          <w:sz w:val="32"/>
          <w:szCs w:val="32"/>
        </w:rPr>
        <w:t>本部门预算绩效管理工作得到了部领导的高度重视，在预算执行前充分征求相关职能科室意见，层层分解绩效管理目标任务，并根据制订目标任务方案狠抓落实，事毕，对开展的预算执行情况进行比对分析评价，现将2020年度预算绩效评价报告附后并予以公开。</w:t>
      </w:r>
    </w:p>
    <w:p>
      <w:pPr>
        <w:pStyle w:val="15"/>
        <w:adjustRightInd/>
        <w:spacing w:line="580" w:lineRule="exact"/>
        <w:ind w:firstLine="666" w:firstLineChars="200"/>
        <w:jc w:val="both"/>
        <w:rPr>
          <w:rFonts w:ascii="仿宋" w:hAnsi="仿宋" w:eastAsia="仿宋" w:cs="仿宋"/>
          <w:bCs/>
          <w:color w:val="auto"/>
          <w:sz w:val="32"/>
          <w:szCs w:val="32"/>
        </w:rPr>
      </w:pPr>
    </w:p>
    <w:p>
      <w:pPr>
        <w:pStyle w:val="15"/>
        <w:adjustRightInd/>
        <w:spacing w:line="580" w:lineRule="exact"/>
        <w:jc w:val="both"/>
        <w:rPr>
          <w:rFonts w:ascii="仿宋" w:hAnsi="仿宋" w:eastAsia="仿宋" w:cs="仿宋"/>
          <w:bCs/>
          <w:color w:val="auto"/>
          <w:sz w:val="32"/>
          <w:szCs w:val="32"/>
        </w:rPr>
      </w:pPr>
    </w:p>
    <w:p>
      <w:pPr>
        <w:pStyle w:val="15"/>
        <w:adjustRightInd/>
        <w:spacing w:line="580" w:lineRule="exact"/>
        <w:jc w:val="both"/>
        <w:rPr>
          <w:rFonts w:ascii="仿宋" w:hAnsi="仿宋" w:eastAsia="仿宋" w:cs="仿宋"/>
          <w:bCs/>
          <w:color w:val="auto"/>
          <w:sz w:val="32"/>
          <w:szCs w:val="32"/>
        </w:rPr>
      </w:pPr>
    </w:p>
    <w:p>
      <w:pPr>
        <w:pStyle w:val="15"/>
        <w:adjustRightInd/>
        <w:spacing w:line="580" w:lineRule="exact"/>
        <w:jc w:val="both"/>
        <w:rPr>
          <w:rFonts w:ascii="仿宋" w:hAnsi="仿宋" w:eastAsia="仿宋" w:cs="仿宋"/>
          <w:bCs/>
          <w:color w:val="auto"/>
          <w:sz w:val="32"/>
          <w:szCs w:val="32"/>
        </w:rPr>
      </w:pPr>
    </w:p>
    <w:p>
      <w:pPr>
        <w:pStyle w:val="15"/>
        <w:jc w:val="center"/>
        <w:rPr>
          <w:rFonts w:hAnsi="黑体"/>
          <w:b/>
          <w:bCs/>
          <w:color w:val="auto"/>
          <w:sz w:val="36"/>
          <w:szCs w:val="36"/>
        </w:rPr>
      </w:pPr>
    </w:p>
    <w:p>
      <w:pPr>
        <w:pStyle w:val="15"/>
        <w:jc w:val="center"/>
        <w:rPr>
          <w:rFonts w:hAnsi="黑体"/>
          <w:b/>
          <w:bCs/>
          <w:color w:val="auto"/>
          <w:sz w:val="36"/>
          <w:szCs w:val="36"/>
        </w:rPr>
      </w:pPr>
    </w:p>
    <w:p>
      <w:pPr>
        <w:pStyle w:val="15"/>
        <w:jc w:val="center"/>
        <w:rPr>
          <w:rFonts w:hAnsi="黑体"/>
          <w:b/>
          <w:bCs/>
          <w:color w:val="auto"/>
          <w:sz w:val="36"/>
          <w:szCs w:val="36"/>
        </w:rPr>
      </w:pPr>
    </w:p>
    <w:p>
      <w:pPr>
        <w:pStyle w:val="15"/>
        <w:jc w:val="center"/>
        <w:rPr>
          <w:rFonts w:hAnsi="黑体"/>
          <w:b/>
          <w:bCs/>
          <w:color w:val="auto"/>
          <w:sz w:val="44"/>
          <w:szCs w:val="44"/>
        </w:rPr>
      </w:pPr>
      <w:r>
        <w:rPr>
          <w:rFonts w:hint="eastAsia" w:hAnsi="黑体"/>
          <w:b/>
          <w:bCs/>
          <w:color w:val="auto"/>
          <w:sz w:val="44"/>
          <w:szCs w:val="44"/>
        </w:rPr>
        <w:t>第四部分</w:t>
      </w:r>
    </w:p>
    <w:p>
      <w:pPr>
        <w:jc w:val="center"/>
        <w:rPr>
          <w:rFonts w:ascii="黑体" w:hAnsi="黑体" w:eastAsia="黑体" w:cs="黑体"/>
          <w:b/>
          <w:bCs/>
          <w:kern w:val="0"/>
          <w:sz w:val="44"/>
          <w:szCs w:val="44"/>
        </w:rPr>
      </w:pPr>
      <w:r>
        <w:rPr>
          <w:rFonts w:hint="eastAsia" w:ascii="黑体" w:hAnsi="黑体" w:eastAsia="黑体" w:cs="黑体"/>
          <w:b/>
          <w:bCs/>
          <w:kern w:val="0"/>
          <w:sz w:val="44"/>
          <w:szCs w:val="44"/>
        </w:rPr>
        <w:t>名词解释</w:t>
      </w:r>
    </w:p>
    <w:p>
      <w:pPr>
        <w:widowControl/>
        <w:jc w:val="left"/>
        <w:rPr>
          <w:rFonts w:ascii="仿宋" w:hAnsi="仿宋" w:eastAsia="仿宋" w:cs="仿宋"/>
          <w:kern w:val="0"/>
          <w:sz w:val="48"/>
          <w:szCs w:val="48"/>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ind w:left="666" w:leftChars="200"/>
        <w:jc w:val="left"/>
        <w:rPr>
          <w:rFonts w:ascii="仿宋" w:hAnsi="仿宋" w:eastAsia="仿宋" w:cs="仿宋"/>
          <w:kern w:val="0"/>
        </w:rPr>
      </w:pPr>
    </w:p>
    <w:p>
      <w:pPr>
        <w:widowControl/>
        <w:adjustRightInd w:val="0"/>
        <w:snapToGrid w:val="0"/>
        <w:spacing w:line="360" w:lineRule="auto"/>
        <w:ind w:firstLine="640" w:firstLineChars="200"/>
        <w:rPr>
          <w:rFonts w:ascii="宋体" w:hAnsi="宋体" w:eastAsia="宋体" w:cs="宋体"/>
          <w:b/>
          <w:w w:val="96"/>
          <w:kern w:val="0"/>
        </w:rPr>
      </w:pP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一、财政拨款收入：</w:t>
      </w:r>
      <w:r>
        <w:rPr>
          <w:rFonts w:hint="eastAsia" w:ascii="宋体" w:hAnsi="宋体" w:eastAsia="宋体" w:cs="宋体"/>
          <w:w w:val="96"/>
          <w:kern w:val="0"/>
        </w:rPr>
        <w:t>指财政部门核拨给单位的财政预算资金。</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二、事业收入：</w:t>
      </w:r>
      <w:r>
        <w:rPr>
          <w:rFonts w:hint="eastAsia" w:ascii="宋体" w:hAnsi="宋体" w:eastAsia="宋体" w:cs="宋体"/>
          <w:w w:val="96"/>
          <w:kern w:val="0"/>
        </w:rPr>
        <w:t>指事业单位开展专业业务活动及辅助活动所取得的收入。</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三、附属单位上缴收入：</w:t>
      </w:r>
      <w:r>
        <w:rPr>
          <w:rFonts w:hint="eastAsia" w:ascii="宋体" w:hAnsi="宋体" w:eastAsia="宋体" w:cs="宋体"/>
          <w:w w:val="96"/>
          <w:kern w:val="0"/>
        </w:rPr>
        <w:t>指事业单位附属独立核算单位按有关规定上缴的收入。</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四、其他收入：</w:t>
      </w:r>
      <w:r>
        <w:rPr>
          <w:rFonts w:hint="eastAsia" w:ascii="宋体" w:hAnsi="宋体" w:eastAsia="宋体" w:cs="宋体"/>
          <w:w w:val="96"/>
          <w:kern w:val="0"/>
        </w:rPr>
        <w:t>指单位取得的除上述“财政拨款收入”、“事业收入”、“附属单位上缴收入”等以外的收入。</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五、年初结转和结余：</w:t>
      </w:r>
      <w:r>
        <w:rPr>
          <w:rFonts w:hint="eastAsia" w:ascii="宋体" w:hAnsi="宋体" w:eastAsia="宋体" w:cs="宋体"/>
          <w:w w:val="96"/>
          <w:kern w:val="0"/>
        </w:rPr>
        <w:t>指以前年度尚未完成、结转到本年仍按有关规定继续使用的资金。</w:t>
      </w:r>
    </w:p>
    <w:p>
      <w:pPr>
        <w:widowControl/>
        <w:tabs>
          <w:tab w:val="left" w:pos="2635"/>
        </w:tabs>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六、用事业基金弥补收支差额：</w:t>
      </w:r>
      <w:r>
        <w:rPr>
          <w:rFonts w:hint="eastAsia" w:ascii="宋体" w:hAnsi="宋体" w:eastAsia="宋体" w:cs="宋体"/>
          <w:w w:val="96"/>
          <w:kern w:val="0"/>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widowControl/>
        <w:adjustRightInd w:val="0"/>
        <w:snapToGrid w:val="0"/>
        <w:spacing w:line="360" w:lineRule="auto"/>
        <w:ind w:firstLine="640" w:firstLineChars="200"/>
        <w:rPr>
          <w:rFonts w:ascii="宋体" w:hAnsi="宋体" w:eastAsia="宋体" w:cs="宋体"/>
          <w:bCs/>
          <w:w w:val="96"/>
          <w:kern w:val="0"/>
        </w:rPr>
      </w:pPr>
      <w:r>
        <w:rPr>
          <w:rFonts w:hint="eastAsia" w:ascii="宋体" w:hAnsi="宋体" w:eastAsia="宋体" w:cs="宋体"/>
          <w:b/>
          <w:w w:val="96"/>
          <w:kern w:val="0"/>
        </w:rPr>
        <w:t>七、卫生健康支出（类）行政事业单位医疗（款）其他行政事业单位医疗支出（项）：</w:t>
      </w:r>
      <w:r>
        <w:rPr>
          <w:rFonts w:hint="eastAsia" w:ascii="宋体" w:hAnsi="宋体" w:eastAsia="宋体" w:cs="宋体"/>
          <w:bCs/>
          <w:w w:val="96"/>
          <w:kern w:val="0"/>
        </w:rPr>
        <w:t>指单位医疗保障经费。</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八、住房保障支出（类）住房改革支出（款）住房公积金（项）：</w:t>
      </w:r>
      <w:r>
        <w:rPr>
          <w:rFonts w:hint="eastAsia" w:ascii="宋体" w:hAnsi="宋体" w:eastAsia="宋体" w:cs="宋体"/>
          <w:w w:val="96"/>
          <w:kern w:val="0"/>
        </w:rPr>
        <w:t>指住房公积金。</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九、结余分配：</w:t>
      </w:r>
      <w:r>
        <w:rPr>
          <w:rFonts w:hint="eastAsia" w:ascii="宋体" w:hAnsi="宋体" w:eastAsia="宋体" w:cs="宋体"/>
          <w:w w:val="96"/>
          <w:kern w:val="0"/>
        </w:rPr>
        <w:t>指事业单位按规定提取的职工福利基金、事业基金和缴纳的所得税，以及建设单位按规定应交回的基本建设竣工项目结余资金。</w:t>
      </w:r>
    </w:p>
    <w:p>
      <w:pPr>
        <w:widowControl/>
        <w:autoSpaceDE w:val="0"/>
        <w:autoSpaceDN w:val="0"/>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十、年末结转和结余：</w:t>
      </w:r>
      <w:r>
        <w:rPr>
          <w:rFonts w:hint="eastAsia" w:ascii="宋体" w:hAnsi="宋体" w:eastAsia="宋体" w:cs="宋体"/>
          <w:w w:val="96"/>
          <w:kern w:val="0"/>
        </w:rPr>
        <w:t>指本年度或以前年度预算安排、因客观条件发生变化无法按原计划实施，需延迟到以后年度按有关规定继续使用的资金。</w:t>
      </w:r>
    </w:p>
    <w:p>
      <w:pPr>
        <w:widowControl/>
        <w:autoSpaceDE w:val="0"/>
        <w:autoSpaceDN w:val="0"/>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十一、基本支出：</w:t>
      </w:r>
      <w:r>
        <w:rPr>
          <w:rFonts w:hint="eastAsia" w:ascii="宋体" w:hAnsi="宋体" w:eastAsia="宋体" w:cs="宋体"/>
          <w:w w:val="96"/>
          <w:kern w:val="0"/>
        </w:rPr>
        <w:t>指为保障机构正常运转、完成日常工作任务而发生的人员支出和公用支出。</w:t>
      </w:r>
    </w:p>
    <w:p>
      <w:pPr>
        <w:widowControl/>
        <w:autoSpaceDE w:val="0"/>
        <w:autoSpaceDN w:val="0"/>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十二、项目支出：</w:t>
      </w:r>
      <w:r>
        <w:rPr>
          <w:rFonts w:hint="eastAsia" w:ascii="宋体" w:hAnsi="宋体" w:eastAsia="宋体" w:cs="宋体"/>
          <w:w w:val="96"/>
          <w:kern w:val="0"/>
        </w:rPr>
        <w:t>指在基本支出之外，为完成特定行政任务和事业发展目标所发生的支出。</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十三、“三公”经费：</w:t>
      </w:r>
      <w:r>
        <w:rPr>
          <w:rFonts w:hint="eastAsia" w:ascii="宋体" w:hAnsi="宋体" w:eastAsia="宋体" w:cs="宋体"/>
          <w:w w:val="96"/>
          <w:kern w:val="0"/>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adjustRightInd w:val="0"/>
        <w:snapToGrid w:val="0"/>
        <w:spacing w:line="360" w:lineRule="auto"/>
        <w:ind w:firstLine="640" w:firstLineChars="200"/>
        <w:rPr>
          <w:rFonts w:ascii="宋体" w:hAnsi="宋体" w:eastAsia="宋体" w:cs="宋体"/>
          <w:w w:val="96"/>
          <w:kern w:val="0"/>
        </w:rPr>
      </w:pPr>
      <w:r>
        <w:rPr>
          <w:rFonts w:hint="eastAsia" w:ascii="宋体" w:hAnsi="宋体" w:eastAsia="宋体" w:cs="宋体"/>
          <w:b/>
          <w:w w:val="96"/>
          <w:kern w:val="0"/>
        </w:rPr>
        <w:t>十四、机关运行经费：</w:t>
      </w:r>
      <w:r>
        <w:rPr>
          <w:rFonts w:hint="eastAsia" w:ascii="宋体" w:hAnsi="宋体" w:eastAsia="宋体" w:cs="宋体"/>
          <w:w w:val="96"/>
          <w:kern w:val="0"/>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djustRightInd w:val="0"/>
        <w:snapToGrid w:val="0"/>
        <w:spacing w:line="360" w:lineRule="auto"/>
        <w:ind w:firstLine="640" w:firstLineChars="200"/>
        <w:jc w:val="left"/>
        <w:rPr>
          <w:rFonts w:ascii="宋体" w:hAnsi="宋体" w:eastAsia="宋体" w:cs="宋体"/>
          <w:color w:val="FF0000"/>
          <w:w w:val="96"/>
          <w:shd w:val="clear" w:color="auto" w:fill="FFFFFF"/>
        </w:rPr>
      </w:pPr>
    </w:p>
    <w:p>
      <w:pPr>
        <w:pStyle w:val="15"/>
        <w:jc w:val="center"/>
        <w:rPr>
          <w:rFonts w:hAnsi="黑体"/>
          <w:b/>
          <w:bCs/>
          <w:color w:val="auto"/>
          <w:sz w:val="44"/>
          <w:szCs w:val="44"/>
        </w:rPr>
      </w:pPr>
    </w:p>
    <w:p>
      <w:pPr>
        <w:pStyle w:val="15"/>
        <w:jc w:val="center"/>
        <w:rPr>
          <w:rFonts w:hAnsi="黑体"/>
          <w:b/>
          <w:bCs/>
          <w:color w:val="auto"/>
          <w:sz w:val="44"/>
          <w:szCs w:val="44"/>
        </w:rPr>
      </w:pPr>
    </w:p>
    <w:p>
      <w:pPr>
        <w:pStyle w:val="15"/>
        <w:jc w:val="center"/>
        <w:rPr>
          <w:rFonts w:hAnsi="黑体"/>
          <w:b/>
          <w:bCs/>
          <w:color w:val="auto"/>
          <w:sz w:val="44"/>
          <w:szCs w:val="44"/>
        </w:rPr>
      </w:pPr>
    </w:p>
    <w:p>
      <w:pPr>
        <w:pStyle w:val="15"/>
        <w:jc w:val="center"/>
        <w:rPr>
          <w:rFonts w:hAnsi="黑体"/>
          <w:b/>
          <w:bCs/>
          <w:color w:val="auto"/>
          <w:sz w:val="44"/>
          <w:szCs w:val="44"/>
        </w:rPr>
      </w:pPr>
    </w:p>
    <w:p>
      <w:pPr>
        <w:pStyle w:val="15"/>
        <w:jc w:val="center"/>
        <w:rPr>
          <w:rFonts w:hAnsi="黑体"/>
          <w:b/>
          <w:bCs/>
          <w:color w:val="auto"/>
          <w:sz w:val="44"/>
          <w:szCs w:val="44"/>
        </w:rPr>
      </w:pPr>
    </w:p>
    <w:p>
      <w:pPr>
        <w:pStyle w:val="15"/>
        <w:jc w:val="center"/>
        <w:rPr>
          <w:rFonts w:hAnsi="黑体"/>
          <w:b/>
          <w:bCs/>
          <w:color w:val="auto"/>
          <w:sz w:val="44"/>
          <w:szCs w:val="44"/>
        </w:rPr>
      </w:pPr>
    </w:p>
    <w:p>
      <w:pPr>
        <w:pStyle w:val="15"/>
        <w:jc w:val="center"/>
        <w:rPr>
          <w:rFonts w:hAnsi="黑体"/>
          <w:b/>
          <w:bCs/>
          <w:color w:val="auto"/>
          <w:sz w:val="70"/>
          <w:szCs w:val="70"/>
        </w:rPr>
      </w:pPr>
      <w:r>
        <w:rPr>
          <w:rFonts w:hint="eastAsia" w:hAnsi="黑体"/>
          <w:b/>
          <w:bCs/>
          <w:color w:val="auto"/>
          <w:sz w:val="70"/>
          <w:szCs w:val="70"/>
        </w:rPr>
        <w:t>第五部分</w:t>
      </w:r>
    </w:p>
    <w:p>
      <w:pPr>
        <w:jc w:val="center"/>
        <w:rPr>
          <w:rFonts w:ascii="黑体" w:hAnsi="黑体" w:eastAsia="黑体" w:cs="黑体"/>
          <w:b/>
          <w:bCs/>
          <w:kern w:val="0"/>
          <w:sz w:val="70"/>
          <w:szCs w:val="70"/>
        </w:rPr>
      </w:pPr>
    </w:p>
    <w:p>
      <w:pPr>
        <w:jc w:val="center"/>
        <w:rPr>
          <w:rFonts w:ascii="黑体" w:hAnsi="黑体" w:eastAsia="黑体" w:cs="黑体"/>
          <w:b/>
          <w:bCs/>
          <w:kern w:val="0"/>
          <w:sz w:val="70"/>
          <w:szCs w:val="70"/>
        </w:rPr>
      </w:pPr>
      <w:r>
        <w:rPr>
          <w:rFonts w:hint="eastAsia" w:ascii="黑体" w:hAnsi="黑体" w:eastAsia="黑体" w:cs="黑体"/>
          <w:b/>
          <w:bCs/>
          <w:kern w:val="0"/>
          <w:sz w:val="70"/>
          <w:szCs w:val="70"/>
        </w:rPr>
        <w:t>附件</w:t>
      </w:r>
    </w:p>
    <w:p>
      <w:pPr>
        <w:jc w:val="center"/>
        <w:rPr>
          <w:rFonts w:ascii="黑体" w:hAnsi="黑体" w:eastAsia="黑体" w:cs="黑体"/>
          <w:b/>
          <w:bCs/>
          <w:color w:val="0000FF"/>
          <w:kern w:val="0"/>
          <w:sz w:val="48"/>
          <w:szCs w:val="48"/>
        </w:rPr>
      </w:pPr>
    </w:p>
    <w:p>
      <w:pPr>
        <w:jc w:val="center"/>
        <w:rPr>
          <w:rFonts w:ascii="方正仿宋简体" w:hAnsi="方正仿宋简体" w:eastAsia="方正仿宋简体" w:cs="方正仿宋简体"/>
          <w:b/>
          <w:bCs/>
          <w:color w:val="0000FF"/>
          <w:kern w:val="0"/>
          <w:sz w:val="70"/>
          <w:szCs w:val="70"/>
        </w:rPr>
      </w:pPr>
    </w:p>
    <w:p>
      <w:pPr>
        <w:jc w:val="center"/>
        <w:rPr>
          <w:rFonts w:ascii="方正仿宋简体" w:hAnsi="方正仿宋简体" w:eastAsia="方正仿宋简体" w:cs="方正仿宋简体"/>
          <w:b/>
          <w:bCs/>
          <w:color w:val="0000FF"/>
          <w:kern w:val="0"/>
          <w:sz w:val="70"/>
          <w:szCs w:val="70"/>
        </w:rPr>
      </w:pPr>
    </w:p>
    <w:p>
      <w:pPr>
        <w:rPr>
          <w:rFonts w:ascii="黑体" w:hAnsi="黑体" w:eastAsia="黑体" w:cs="黑体"/>
          <w:sz w:val="44"/>
          <w:szCs w:val="44"/>
        </w:rPr>
      </w:pPr>
    </w:p>
    <w:p>
      <w:pPr>
        <w:rPr>
          <w:rFonts w:ascii="黑体" w:hAnsi="黑体" w:eastAsia="黑体" w:cs="黑体"/>
          <w:sz w:val="44"/>
          <w:szCs w:val="44"/>
        </w:rPr>
      </w:pPr>
    </w:p>
    <w:p>
      <w:pPr>
        <w:jc w:val="center"/>
        <w:rPr>
          <w:rFonts w:ascii="黑体" w:hAnsi="黑体" w:eastAsia="黑体" w:cs="黑体"/>
          <w:sz w:val="36"/>
          <w:szCs w:val="36"/>
        </w:rPr>
      </w:pPr>
      <w:r>
        <w:rPr>
          <w:rFonts w:hint="eastAsia" w:ascii="黑体" w:hAnsi="黑体" w:eastAsia="黑体" w:cs="黑体"/>
          <w:sz w:val="36"/>
          <w:szCs w:val="36"/>
        </w:rPr>
        <w:t>衡南县委网信办2020年部门整体支出</w:t>
      </w:r>
    </w:p>
    <w:p>
      <w:pPr>
        <w:jc w:val="center"/>
        <w:rPr>
          <w:rFonts w:ascii="黑体" w:hAnsi="黑体" w:eastAsia="黑体" w:cs="黑体"/>
          <w:sz w:val="36"/>
          <w:szCs w:val="36"/>
        </w:rPr>
      </w:pPr>
      <w:r>
        <w:rPr>
          <w:rFonts w:hint="eastAsia" w:ascii="黑体" w:hAnsi="黑体" w:eastAsia="黑体" w:cs="黑体"/>
          <w:sz w:val="36"/>
          <w:szCs w:val="36"/>
        </w:rPr>
        <w:t>绩效自评报告</w:t>
      </w:r>
    </w:p>
    <w:p>
      <w:pPr>
        <w:jc w:val="center"/>
        <w:rPr>
          <w:rFonts w:ascii="黑体" w:hAnsi="黑体" w:eastAsia="黑体" w:cs="黑体"/>
          <w:sz w:val="44"/>
          <w:szCs w:val="44"/>
        </w:rPr>
      </w:pPr>
    </w:p>
    <w:p>
      <w:pPr>
        <w:spacing w:line="600" w:lineRule="exact"/>
        <w:ind w:firstLine="666" w:firstLineChars="200"/>
        <w:jc w:val="left"/>
        <w:rPr>
          <w:rFonts w:ascii="仿宋" w:hAnsi="仿宋" w:eastAsia="仿宋" w:cs="仿宋"/>
          <w:kern w:val="32"/>
        </w:rPr>
      </w:pPr>
      <w:r>
        <w:rPr>
          <w:rFonts w:hint="eastAsia" w:ascii="仿宋" w:hAnsi="仿宋" w:eastAsia="仿宋" w:cs="仿宋"/>
          <w:kern w:val="0"/>
        </w:rPr>
        <w:t>为切实加强财政资金管理，进一步规范预算资金使用，提高财政资金使用效益，根据《中共湖南省委办公厅湖南省人民政府办公厅关于全面实施预算绩效管理的实施意见》（湘办发〔2019〕10号）、财政部《项目支出绩效评价管理办法》（财预〔2020〕10号）、</w:t>
      </w:r>
      <w:r>
        <w:rPr>
          <w:rFonts w:hint="eastAsia" w:ascii="仿宋" w:hAnsi="仿宋" w:eastAsia="仿宋" w:cs="仿宋"/>
        </w:rPr>
        <w:t>《湖南省预算支出绩效评价管理办法》（湘财绩</w:t>
      </w:r>
      <w:r>
        <w:rPr>
          <w:rFonts w:hint="eastAsia" w:ascii="仿宋" w:hAnsi="仿宋" w:eastAsia="仿宋" w:cs="仿宋"/>
          <w:kern w:val="0"/>
        </w:rPr>
        <w:t>〔2020〕7号</w:t>
      </w:r>
      <w:r>
        <w:rPr>
          <w:rFonts w:hint="eastAsia" w:ascii="仿宋" w:hAnsi="仿宋" w:eastAsia="仿宋" w:cs="仿宋"/>
        </w:rPr>
        <w:t>）、《衡南县财政局关于开展2020年度财政资金绩效自评工作的通知》（清财绩【2021】66号）等文件精神要求，我办领导高度重视，召开了绩效评价工作专题会议，并对该项工作进行了安排部署，</w:t>
      </w:r>
      <w:r>
        <w:rPr>
          <w:rFonts w:hint="eastAsia" w:ascii="仿宋" w:hAnsi="仿宋" w:eastAsia="仿宋" w:cs="仿宋"/>
          <w:kern w:val="32"/>
        </w:rPr>
        <w:t>现将我办2020年度财政资金绩效自评工作汇报如下：</w:t>
      </w:r>
    </w:p>
    <w:p>
      <w:pPr>
        <w:spacing w:line="600" w:lineRule="exact"/>
        <w:ind w:firstLine="666" w:firstLineChars="200"/>
        <w:rPr>
          <w:rFonts w:ascii="仿宋" w:hAnsi="仿宋" w:eastAsia="仿宋" w:cs="仿宋"/>
          <w:b/>
          <w:bCs/>
        </w:rPr>
      </w:pPr>
      <w:r>
        <w:rPr>
          <w:rFonts w:hint="eastAsia" w:ascii="仿宋" w:hAnsi="仿宋" w:eastAsia="仿宋" w:cs="仿宋"/>
          <w:b/>
          <w:bCs/>
        </w:rPr>
        <w:t>一、部门基本情况</w:t>
      </w:r>
    </w:p>
    <w:p>
      <w:pPr>
        <w:spacing w:line="600" w:lineRule="exact"/>
        <w:ind w:firstLine="666" w:firstLineChars="200"/>
        <w:rPr>
          <w:rFonts w:ascii="仿宋" w:hAnsi="仿宋" w:eastAsia="仿宋" w:cs="仿宋"/>
          <w:b/>
          <w:bCs/>
        </w:rPr>
      </w:pPr>
      <w:r>
        <w:rPr>
          <w:rFonts w:hint="eastAsia" w:ascii="仿宋" w:hAnsi="仿宋" w:eastAsia="仿宋" w:cs="仿宋"/>
          <w:b/>
          <w:bCs/>
        </w:rPr>
        <w:t>（一）单位主要职能</w:t>
      </w:r>
    </w:p>
    <w:p>
      <w:pPr>
        <w:spacing w:line="600" w:lineRule="exact"/>
        <w:ind w:firstLine="666" w:firstLineChars="200"/>
        <w:rPr>
          <w:rFonts w:ascii="仿宋" w:hAnsi="仿宋" w:eastAsia="仿宋" w:cs="仿宋"/>
        </w:rPr>
      </w:pPr>
      <w:r>
        <w:rPr>
          <w:rFonts w:hint="eastAsia" w:ascii="仿宋" w:hAnsi="仿宋" w:eastAsia="仿宋" w:cs="仿宋"/>
        </w:rPr>
        <w:t>因本办主要职能属涉密信息，不宜对外公开。</w:t>
      </w:r>
    </w:p>
    <w:p>
      <w:pPr>
        <w:numPr>
          <w:ilvl w:val="0"/>
          <w:numId w:val="2"/>
        </w:numPr>
        <w:spacing w:line="600" w:lineRule="exact"/>
        <w:ind w:firstLine="600"/>
        <w:rPr>
          <w:rFonts w:ascii="仿宋" w:hAnsi="仿宋" w:eastAsia="仿宋" w:cs="仿宋"/>
          <w:b/>
          <w:bCs/>
        </w:rPr>
      </w:pPr>
      <w:r>
        <w:rPr>
          <w:rFonts w:hint="eastAsia" w:ascii="仿宋" w:hAnsi="仿宋" w:eastAsia="仿宋" w:cs="仿宋"/>
          <w:b/>
          <w:bCs/>
        </w:rPr>
        <w:t>机构设置情况</w:t>
      </w:r>
    </w:p>
    <w:p>
      <w:pPr>
        <w:spacing w:line="600" w:lineRule="exact"/>
        <w:ind w:firstLine="650" w:firstLineChars="200"/>
        <w:rPr>
          <w:rFonts w:ascii="仿宋" w:hAnsi="仿宋" w:eastAsia="仿宋" w:cs="仿宋"/>
        </w:rPr>
      </w:pPr>
      <w:r>
        <w:rPr>
          <w:rFonts w:hint="eastAsia" w:ascii="仿宋" w:hAnsi="仿宋" w:eastAsia="仿宋" w:cs="仿宋"/>
          <w:color w:val="000000"/>
          <w:spacing w:val="-4"/>
        </w:rPr>
        <w:t>我办于2019年4月成立，内设综合组（政策法规组、网络宣传评论组）、网络舆情应急和网络管理执法组（网络安全协调和信息化发展组、社会工作组）两个组室。</w:t>
      </w:r>
      <w:r>
        <w:rPr>
          <w:rFonts w:hint="eastAsia" w:ascii="仿宋" w:hAnsi="仿宋" w:eastAsia="仿宋" w:cs="仿宋"/>
        </w:rPr>
        <w:t>另辖衡南网络信息中心（股级公益一类事业单位）。</w:t>
      </w:r>
    </w:p>
    <w:p>
      <w:pPr>
        <w:numPr>
          <w:ilvl w:val="0"/>
          <w:numId w:val="2"/>
        </w:numPr>
        <w:spacing w:line="600" w:lineRule="exact"/>
        <w:ind w:firstLine="600"/>
        <w:rPr>
          <w:rFonts w:ascii="仿宋" w:hAnsi="仿宋" w:eastAsia="仿宋" w:cs="仿宋"/>
          <w:b/>
          <w:bCs/>
        </w:rPr>
      </w:pPr>
      <w:r>
        <w:rPr>
          <w:rFonts w:hint="eastAsia" w:ascii="仿宋" w:hAnsi="仿宋" w:eastAsia="仿宋" w:cs="仿宋"/>
          <w:b/>
          <w:bCs/>
        </w:rPr>
        <w:t>人员编制情况</w:t>
      </w:r>
    </w:p>
    <w:p>
      <w:pPr>
        <w:spacing w:line="600" w:lineRule="exact"/>
        <w:ind w:firstLine="666" w:firstLineChars="200"/>
        <w:rPr>
          <w:rFonts w:ascii="仿宋" w:hAnsi="仿宋" w:eastAsia="仿宋" w:cs="仿宋"/>
        </w:rPr>
      </w:pPr>
      <w:r>
        <w:rPr>
          <w:rFonts w:hint="eastAsia" w:ascii="仿宋" w:hAnsi="仿宋" w:eastAsia="仿宋" w:cs="仿宋"/>
        </w:rPr>
        <w:t>2020年本单位年未实有在编在岗人员为8人。其中在岗人员行政编制3人，事业编制5人。</w:t>
      </w:r>
    </w:p>
    <w:p>
      <w:pPr>
        <w:adjustRightInd w:val="0"/>
        <w:snapToGrid w:val="0"/>
        <w:spacing w:line="600" w:lineRule="exact"/>
        <w:ind w:firstLine="666" w:firstLineChars="200"/>
        <w:rPr>
          <w:rFonts w:ascii="仿宋" w:hAnsi="仿宋" w:eastAsia="仿宋" w:cs="仿宋"/>
          <w:b/>
          <w:bCs/>
        </w:rPr>
      </w:pPr>
      <w:r>
        <w:rPr>
          <w:rFonts w:hint="eastAsia" w:ascii="仿宋" w:hAnsi="仿宋" w:eastAsia="仿宋" w:cs="仿宋"/>
          <w:b/>
          <w:bCs/>
        </w:rPr>
        <w:t>二、部门整体支出管理及使用情况</w:t>
      </w:r>
    </w:p>
    <w:p>
      <w:pPr>
        <w:spacing w:line="600" w:lineRule="exact"/>
        <w:ind w:firstLine="666" w:firstLineChars="200"/>
        <w:rPr>
          <w:rFonts w:ascii="仿宋" w:hAnsi="仿宋" w:eastAsia="仿宋" w:cs="仿宋"/>
          <w:b/>
          <w:bCs/>
        </w:rPr>
      </w:pPr>
      <w:r>
        <w:rPr>
          <w:rFonts w:hint="eastAsia" w:ascii="仿宋" w:hAnsi="仿宋" w:eastAsia="仿宋" w:cs="仿宋"/>
          <w:b/>
          <w:bCs/>
        </w:rPr>
        <w:t>（一）部门预算收支情况</w:t>
      </w:r>
    </w:p>
    <w:p>
      <w:pPr>
        <w:autoSpaceDE w:val="0"/>
        <w:autoSpaceDN w:val="0"/>
        <w:adjustRightInd w:val="0"/>
        <w:spacing w:line="600" w:lineRule="exact"/>
        <w:ind w:firstLine="640"/>
        <w:rPr>
          <w:rFonts w:ascii="仿宋" w:hAnsi="仿宋" w:eastAsia="仿宋" w:cs="仿宋"/>
        </w:rPr>
      </w:pPr>
      <w:r>
        <w:rPr>
          <w:rFonts w:hint="eastAsia" w:ascii="仿宋" w:hAnsi="仿宋" w:eastAsia="仿宋" w:cs="仿宋"/>
        </w:rPr>
        <w:t>2020年，本部门年初预算收入123.47万元，其中：一般公共预算财政拨款收入年初预算123.47万元。年度执行中因我单位新成立调增了开办经费及网络新闻媒体业务协调等相关工作经费，主要变化是：收入调整预算数为274.99万元，其中一般公共预算财政拨款收入266.99万元，政府性基金预算财政拨款4万元，其他收入4万元。</w:t>
      </w:r>
    </w:p>
    <w:p>
      <w:pPr>
        <w:autoSpaceDE w:val="0"/>
        <w:autoSpaceDN w:val="0"/>
        <w:adjustRightInd w:val="0"/>
        <w:spacing w:line="600" w:lineRule="exact"/>
        <w:ind w:firstLine="640"/>
        <w:rPr>
          <w:rFonts w:ascii="仿宋" w:hAnsi="仿宋" w:eastAsia="仿宋" w:cs="仿宋"/>
        </w:rPr>
      </w:pPr>
      <w:r>
        <w:rPr>
          <w:rFonts w:hint="eastAsia" w:ascii="仿宋" w:hAnsi="仿宋" w:eastAsia="仿宋" w:cs="仿宋"/>
        </w:rPr>
        <w:t>2020年，本部门年初预算支出123.47万元，其中：基本</w:t>
      </w:r>
      <w:r>
        <w:rPr>
          <w:rFonts w:hint="eastAsia" w:ascii="仿宋" w:hAnsi="仿宋" w:eastAsia="仿宋" w:cs="仿宋"/>
          <w:lang w:val="zh-CN"/>
        </w:rPr>
        <w:t>支出</w:t>
      </w:r>
      <w:r>
        <w:rPr>
          <w:rFonts w:hint="eastAsia" w:ascii="仿宋" w:hAnsi="仿宋" w:eastAsia="仿宋" w:cs="仿宋"/>
        </w:rPr>
        <w:t>年初预算52.82万元，项目支出年初预算70.65万元，年度执行中因单位新成立需要开办费及协调网络新闻媒体等工作需要，预算跟随调整，支出242.72万元，其中基本支出46.34万元，项目支出196.38万元（因本单位新成立，第一年独立核算无法进行上年度对比）。</w:t>
      </w:r>
    </w:p>
    <w:p>
      <w:pPr>
        <w:spacing w:line="600" w:lineRule="exact"/>
        <w:ind w:firstLine="666" w:firstLineChars="200"/>
        <w:rPr>
          <w:rFonts w:ascii="仿宋" w:hAnsi="仿宋" w:eastAsia="仿宋" w:cs="仿宋"/>
          <w:b/>
          <w:bCs/>
        </w:rPr>
      </w:pPr>
      <w:r>
        <w:rPr>
          <w:rFonts w:hint="eastAsia" w:ascii="仿宋" w:hAnsi="仿宋" w:eastAsia="仿宋" w:cs="仿宋"/>
          <w:b/>
          <w:bCs/>
        </w:rPr>
        <w:t>（二）支出分类情况</w:t>
      </w:r>
    </w:p>
    <w:p>
      <w:pPr>
        <w:spacing w:line="600" w:lineRule="exact"/>
        <w:ind w:firstLine="666" w:firstLineChars="200"/>
        <w:rPr>
          <w:rFonts w:ascii="仿宋" w:hAnsi="仿宋" w:eastAsia="仿宋" w:cs="仿宋"/>
          <w:b/>
        </w:rPr>
      </w:pPr>
      <w:r>
        <w:rPr>
          <w:rFonts w:hint="eastAsia" w:ascii="仿宋" w:hAnsi="仿宋" w:eastAsia="仿宋" w:cs="仿宋"/>
          <w:b/>
        </w:rPr>
        <w:t>1、基本支出管理情况</w:t>
      </w:r>
    </w:p>
    <w:p>
      <w:pPr>
        <w:spacing w:line="600" w:lineRule="exact"/>
        <w:ind w:firstLine="666" w:firstLineChars="200"/>
        <w:rPr>
          <w:rFonts w:ascii="仿宋" w:hAnsi="仿宋" w:eastAsia="仿宋" w:cs="仿宋"/>
        </w:rPr>
      </w:pPr>
      <w:r>
        <w:rPr>
          <w:rFonts w:hint="eastAsia" w:ascii="仿宋" w:hAnsi="仿宋" w:eastAsia="仿宋" w:cs="仿宋"/>
        </w:rPr>
        <w:t>2020年基本支出数为46.34万元（含工资福利支出、一般商品和服务支出、资本性支出等），是指为保障单位机构正常运转、完成日常工作任务而发生的各项支出，包括用于基本工资、津贴补贴等人员经费以及办公费、印刷费、办公设备购置等日常公用经费。</w:t>
      </w:r>
    </w:p>
    <w:p>
      <w:pPr>
        <w:spacing w:line="600" w:lineRule="exact"/>
        <w:ind w:firstLine="666" w:firstLineChars="200"/>
        <w:rPr>
          <w:rFonts w:ascii="仿宋" w:hAnsi="仿宋" w:eastAsia="仿宋" w:cs="仿宋"/>
          <w:b/>
          <w:bCs/>
        </w:rPr>
      </w:pPr>
      <w:r>
        <w:rPr>
          <w:rFonts w:hint="eastAsia" w:ascii="仿宋" w:hAnsi="仿宋" w:eastAsia="仿宋" w:cs="仿宋"/>
          <w:b/>
          <w:bCs/>
        </w:rPr>
        <w:t>2、“三公经费”的支出使用和管理情况</w:t>
      </w:r>
    </w:p>
    <w:p>
      <w:pPr>
        <w:spacing w:line="600" w:lineRule="exact"/>
        <w:ind w:firstLine="666" w:firstLineChars="200"/>
        <w:rPr>
          <w:rFonts w:ascii="仿宋" w:hAnsi="仿宋" w:eastAsia="仿宋" w:cs="仿宋"/>
        </w:rPr>
      </w:pPr>
      <w:r>
        <w:rPr>
          <w:rFonts w:hint="eastAsia" w:ascii="仿宋" w:hAnsi="仿宋" w:eastAsia="仿宋" w:cs="仿宋"/>
        </w:rPr>
        <w:t>因我办是新成立单位，2020年度“三公”经费支出为1.75万元。其中：因公出国出境费用本年未发生经费支出；公务接待费1.75万元；车辆运行维护费，因公车改革未发生经费支出。</w:t>
      </w:r>
    </w:p>
    <w:p>
      <w:pPr>
        <w:spacing w:line="600" w:lineRule="exact"/>
        <w:ind w:firstLine="666" w:firstLineChars="200"/>
        <w:rPr>
          <w:rFonts w:ascii="仿宋" w:hAnsi="仿宋" w:eastAsia="仿宋" w:cs="仿宋"/>
          <w:b/>
          <w:bCs/>
        </w:rPr>
      </w:pPr>
      <w:r>
        <w:rPr>
          <w:rFonts w:hint="eastAsia" w:ascii="仿宋" w:hAnsi="仿宋" w:eastAsia="仿宋" w:cs="仿宋"/>
          <w:b/>
          <w:bCs/>
        </w:rPr>
        <w:t>3、专项支出</w:t>
      </w:r>
    </w:p>
    <w:p>
      <w:pPr>
        <w:spacing w:line="600" w:lineRule="exact"/>
        <w:ind w:firstLine="666" w:firstLineChars="200"/>
        <w:rPr>
          <w:rFonts w:ascii="仿宋" w:hAnsi="仿宋" w:eastAsia="仿宋" w:cs="仿宋"/>
        </w:rPr>
      </w:pPr>
      <w:r>
        <w:rPr>
          <w:rFonts w:hint="eastAsia" w:ascii="仿宋" w:hAnsi="仿宋" w:eastAsia="仿宋" w:cs="仿宋"/>
        </w:rPr>
        <w:t>2020年项目支出为196.38万元。主要用于：网络媒体和新媒体接待（有别于公务接待）；重大突发事件舆情协调；县委县政府中心工作及重点工作网络宣传；协调中央、省、市重点新闻网站和龙头商业网站外宣报道；党政机关及企事业单位网站和全县关键信息基础设施网络安全检查、检测、培训等；国家网络安全宣传周活动；网络评论工作会议、培训、绩效管理和稿酬发放；3个政府购买服务岗位支出；每年两次高规格县委网信委全会会务费、资料印刷费等；《衡南舆情专报》、《衡南舆情快报》和舆情交办函编辑出版费用以及开办经费等支出。</w:t>
      </w:r>
    </w:p>
    <w:p>
      <w:pPr>
        <w:numPr>
          <w:ilvl w:val="0"/>
          <w:numId w:val="3"/>
        </w:numPr>
        <w:spacing w:line="600" w:lineRule="exact"/>
        <w:ind w:firstLine="666" w:firstLineChars="200"/>
        <w:rPr>
          <w:rFonts w:ascii="仿宋" w:hAnsi="仿宋" w:eastAsia="仿宋" w:cs="仿宋"/>
          <w:b/>
          <w:bCs/>
        </w:rPr>
      </w:pPr>
      <w:r>
        <w:rPr>
          <w:rFonts w:hint="eastAsia" w:ascii="仿宋" w:hAnsi="仿宋" w:eastAsia="仿宋" w:cs="仿宋"/>
          <w:b/>
          <w:bCs/>
        </w:rPr>
        <w:t>部门整体支出绩效情况</w:t>
      </w:r>
    </w:p>
    <w:p>
      <w:pPr>
        <w:widowControl/>
        <w:spacing w:line="600" w:lineRule="exact"/>
        <w:ind w:firstLine="666" w:firstLineChars="200"/>
        <w:rPr>
          <w:rFonts w:ascii="仿宋" w:hAnsi="仿宋" w:eastAsia="仿宋" w:cs="仿宋"/>
        </w:rPr>
      </w:pPr>
      <w:r>
        <w:rPr>
          <w:rFonts w:hint="eastAsia" w:ascii="仿宋" w:hAnsi="仿宋" w:eastAsia="仿宋" w:cs="仿宋"/>
        </w:rPr>
        <w:t>2020年是全面贯彻</w:t>
      </w:r>
      <w:r>
        <w:rPr>
          <w:rFonts w:hint="eastAsia" w:ascii="仿宋" w:hAnsi="仿宋" w:eastAsia="仿宋" w:cs="仿宋"/>
          <w:lang w:val="en-US" w:eastAsia="zh-CN"/>
        </w:rPr>
        <w:t>党的</w:t>
      </w:r>
      <w:bookmarkStart w:id="0" w:name="_GoBack"/>
      <w:bookmarkEnd w:id="0"/>
      <w:r>
        <w:rPr>
          <w:rFonts w:hint="eastAsia" w:ascii="仿宋" w:hAnsi="仿宋" w:eastAsia="仿宋" w:cs="仿宋"/>
        </w:rPr>
        <w:t>十九大精神、习近平新时代中国特色社会主义思想的重要之年，是决胜全面建成小康社会、实施“十三五”规划的决胜之年，是充满机遇与挑战的一年。我办紧紧围绕全县中心工作和重大决策部署，深入贯彻落实习近平新时代中国特色社会主义思想，完善工作机制，强化服务意识，加强自身建设，着力抓好网络舆论引导、网络舆情管控、网络安全防范，在扩大舆论影响、保证信息安全、管住网络安全上下功夫，为加快“四区一花园”建设和“六城同创”工作营造了良好的舆论环境。</w:t>
      </w:r>
    </w:p>
    <w:p>
      <w:pPr>
        <w:widowControl/>
        <w:spacing w:line="600" w:lineRule="exact"/>
        <w:ind w:firstLine="666" w:firstLineChars="200"/>
        <w:rPr>
          <w:rFonts w:ascii="仿宋" w:hAnsi="仿宋" w:eastAsia="仿宋" w:cs="仿宋"/>
        </w:rPr>
      </w:pPr>
      <w:r>
        <w:rPr>
          <w:rFonts w:hint="eastAsia" w:ascii="仿宋" w:hAnsi="仿宋" w:eastAsia="仿宋"/>
          <w:color w:val="000000" w:themeColor="text1"/>
        </w:rPr>
        <w:t>根据《2020年度整体支出绩效自评考核评价表》评分细则，我单位整体支出绩效自评分为98.2分，具体指标的自评分详见《2020年度整体支出绩效自评考核评价表》。</w:t>
      </w:r>
    </w:p>
    <w:p>
      <w:pPr>
        <w:spacing w:line="600" w:lineRule="exact"/>
        <w:ind w:firstLine="666" w:firstLineChars="200"/>
        <w:rPr>
          <w:rFonts w:ascii="仿宋" w:hAnsi="仿宋" w:eastAsia="仿宋" w:cs="仿宋"/>
          <w:b/>
          <w:bCs/>
        </w:rPr>
      </w:pPr>
      <w:r>
        <w:rPr>
          <w:rFonts w:hint="eastAsia" w:ascii="仿宋" w:hAnsi="仿宋" w:eastAsia="仿宋" w:cs="仿宋"/>
          <w:b/>
          <w:bCs/>
        </w:rPr>
        <w:t>四、存在的主要问题</w:t>
      </w:r>
    </w:p>
    <w:p>
      <w:pPr>
        <w:spacing w:line="600" w:lineRule="exact"/>
        <w:ind w:firstLine="666" w:firstLineChars="200"/>
        <w:rPr>
          <w:rFonts w:ascii="仿宋" w:hAnsi="仿宋" w:eastAsia="仿宋" w:cs="仿宋"/>
          <w:kern w:val="0"/>
        </w:rPr>
      </w:pPr>
      <w:r>
        <w:rPr>
          <w:rFonts w:hint="eastAsia" w:ascii="仿宋" w:hAnsi="仿宋" w:eastAsia="仿宋" w:cs="仿宋"/>
          <w:kern w:val="0"/>
        </w:rPr>
        <w:t>从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adjustRightInd w:val="0"/>
        <w:snapToGrid w:val="0"/>
        <w:spacing w:line="600" w:lineRule="exact"/>
        <w:ind w:firstLine="666" w:firstLineChars="200"/>
        <w:rPr>
          <w:rFonts w:ascii="仿宋" w:hAnsi="仿宋" w:eastAsia="仿宋" w:cs="仿宋"/>
        </w:rPr>
      </w:pPr>
      <w:r>
        <w:rPr>
          <w:rFonts w:hint="eastAsia" w:ascii="仿宋" w:hAnsi="仿宋" w:eastAsia="仿宋" w:cs="仿宋"/>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adjustRightInd w:val="0"/>
        <w:snapToGrid w:val="0"/>
        <w:spacing w:line="600" w:lineRule="exact"/>
        <w:ind w:firstLine="666" w:firstLineChars="200"/>
        <w:rPr>
          <w:rFonts w:ascii="仿宋" w:hAnsi="仿宋" w:eastAsia="仿宋" w:cs="仿宋"/>
          <w:b/>
          <w:bCs/>
        </w:rPr>
      </w:pPr>
      <w:r>
        <w:rPr>
          <w:rFonts w:hint="eastAsia" w:ascii="仿宋" w:hAnsi="仿宋" w:eastAsia="仿宋" w:cs="仿宋"/>
          <w:b/>
          <w:bCs/>
        </w:rPr>
        <w:t>五、改进措施和有关建议</w:t>
      </w:r>
    </w:p>
    <w:p>
      <w:pPr>
        <w:adjustRightInd w:val="0"/>
        <w:snapToGrid w:val="0"/>
        <w:spacing w:line="600" w:lineRule="exact"/>
        <w:ind w:firstLine="666" w:firstLineChars="200"/>
        <w:rPr>
          <w:rFonts w:ascii="仿宋" w:hAnsi="仿宋" w:eastAsia="仿宋" w:cs="仿宋"/>
        </w:rPr>
      </w:pPr>
      <w:r>
        <w:rPr>
          <w:rFonts w:hint="eastAsia" w:ascii="仿宋" w:hAnsi="仿宋" w:eastAsia="仿宋" w:cs="仿宋"/>
        </w:rPr>
        <w:t>1、抓好财务预算管理，严格执行财务管理制度，充分发挥监督作用。</w:t>
      </w:r>
    </w:p>
    <w:p>
      <w:pPr>
        <w:adjustRightInd w:val="0"/>
        <w:snapToGrid w:val="0"/>
        <w:spacing w:line="600" w:lineRule="exact"/>
        <w:ind w:firstLine="666" w:firstLineChars="200"/>
        <w:rPr>
          <w:rFonts w:ascii="仿宋" w:hAnsi="仿宋" w:eastAsia="仿宋" w:cs="仿宋"/>
        </w:rPr>
      </w:pPr>
      <w:r>
        <w:rPr>
          <w:rFonts w:hint="eastAsia" w:ascii="仿宋" w:hAnsi="仿宋" w:eastAsia="仿宋" w:cs="仿宋"/>
        </w:rPr>
        <w:t>2、严格财务支出审批。抓好审核和审批两个环节，在审核审批中严把支出关，切实维护财务纪律的严肃性。</w:t>
      </w:r>
    </w:p>
    <w:p>
      <w:pPr>
        <w:adjustRightInd w:val="0"/>
        <w:snapToGrid w:val="0"/>
        <w:spacing w:line="600" w:lineRule="exact"/>
        <w:ind w:firstLine="666" w:firstLineChars="200"/>
        <w:rPr>
          <w:rFonts w:ascii="仿宋" w:hAnsi="仿宋" w:eastAsia="仿宋" w:cs="仿宋"/>
        </w:rPr>
      </w:pPr>
      <w:r>
        <w:rPr>
          <w:rFonts w:hint="eastAsia" w:ascii="仿宋" w:hAnsi="仿宋" w:eastAsia="仿宋" w:cs="仿宋"/>
        </w:rPr>
        <w:t>3、强化经费管理。重点加强招待费和办公经费的管理，严格控制支出，降低行政运行成本。</w:t>
      </w:r>
    </w:p>
    <w:p>
      <w:pPr>
        <w:spacing w:line="600" w:lineRule="exact"/>
        <w:ind w:firstLine="666" w:firstLineChars="200"/>
        <w:rPr>
          <w:rFonts w:ascii="仿宋" w:hAnsi="仿宋" w:eastAsia="仿宋" w:cs="仿宋"/>
          <w:bCs/>
          <w:color w:val="333333"/>
          <w:kern w:val="0"/>
          <w:shd w:val="clear" w:color="auto" w:fill="FFFFFF"/>
        </w:rPr>
      </w:pPr>
      <w:r>
        <w:rPr>
          <w:rFonts w:hint="eastAsia" w:ascii="仿宋" w:hAnsi="仿宋" w:eastAsia="仿宋" w:cs="仿宋"/>
        </w:rPr>
        <w:t>4.</w:t>
      </w:r>
      <w:r>
        <w:rPr>
          <w:rFonts w:hint="eastAsia" w:ascii="仿宋" w:hAnsi="仿宋" w:eastAsia="仿宋" w:cs="仿宋"/>
          <w:bCs/>
          <w:color w:val="333333"/>
          <w:kern w:val="0"/>
          <w:shd w:val="clear" w:color="auto" w:fill="FFFFFF"/>
        </w:rPr>
        <w:t>完善管理制度，进一步加强资产管理。严格按照《固定资产管理办法》的规定加强固定资产管理，及时登记、更新台账，加强资产卡片管理，年终前对各类实物资产进行全面盘点和积极核销，确保账账、账卡、账实相符。</w:t>
      </w:r>
    </w:p>
    <w:p>
      <w:pPr>
        <w:adjustRightInd w:val="0"/>
        <w:snapToGrid w:val="0"/>
        <w:spacing w:line="600" w:lineRule="exact"/>
        <w:ind w:firstLine="666" w:firstLineChars="200"/>
        <w:rPr>
          <w:rFonts w:ascii="仿宋" w:hAnsi="仿宋" w:eastAsia="仿宋" w:cs="仿宋"/>
        </w:rPr>
      </w:pPr>
    </w:p>
    <w:p>
      <w:pPr>
        <w:ind w:firstLine="666" w:firstLineChars="200"/>
        <w:rPr>
          <w:b/>
          <w:color w:val="0000FF"/>
          <w:kern w:val="0"/>
        </w:rPr>
      </w:pPr>
    </w:p>
    <w:p>
      <w:pPr>
        <w:ind w:firstLine="586" w:firstLineChars="200"/>
        <w:rPr>
          <w:rFonts w:asciiTheme="majorEastAsia" w:hAnsiTheme="majorEastAsia" w:eastAsiaTheme="majorEastAsia"/>
          <w:b/>
          <w:color w:val="0000FF"/>
          <w:kern w:val="0"/>
          <w:sz w:val="28"/>
          <w:szCs w:val="28"/>
        </w:rPr>
      </w:pPr>
    </w:p>
    <w:sectPr>
      <w:footerReference r:id="rId7" w:type="first"/>
      <w:headerReference r:id="rId4" w:type="default"/>
      <w:footerReference r:id="rId5" w:type="default"/>
      <w:footerReference r:id="rId6" w:type="even"/>
      <w:pgSz w:w="11906" w:h="16838"/>
      <w:pgMar w:top="1440" w:right="1440" w:bottom="1440" w:left="1440" w:header="851" w:footer="964" w:gutter="0"/>
      <w:pgNumType w:fmt="numberInDash"/>
      <w:cols w:space="0" w:num="1"/>
      <w:docGrid w:type="linesAndChars" w:linePitch="448" w:charSpace="2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8Mj8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58Mj80BAACnAwAADgAAAAAAAAABACAAAAAeAQAAZHJzL2Uy&#10;b0RvYy54bWxQSwUGAAAAAAYABgBZAQAAXQUAAAAA&#10;">
          <v:path/>
          <v:fill on="f" focussize="0,0"/>
          <v:stroke on="f" joinstyle="miter"/>
          <v:imagedata o:title=""/>
          <o:lock v:ext="edit"/>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path/>
          <v:fill on="f" focussize="0,0"/>
          <v:stroke on="f" joinstyle="miter"/>
          <v:imagedata o:title=""/>
          <o:lock v:ext="edit"/>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8" o:spid="_x0000_s1028" o:spt="202" type="#_x0000_t202" style="position:absolute;left:0pt;margin-left:432.6pt;margin-top:0pt;height:144pt;width:144pt;mso-position-horizontal-relative:margin;mso-wrap-style:none;z-index:251661312;mso-width-relative:page;mso-height-relative:page;" filled="f" stroked="f" coordsize="21600,21600" o:gfxdata="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5HX8HUAAAACQEAAA8AAAAAAAAAAQAgAAAAIgAAAGRycy9k&#10;b3ducmV2LnhtbFBLAQIUABQAAAAIAIdO4kAGEfA9zQEAAKcDAAAOAAAAAAAAAAEAIAAAACMBAABk&#10;cnMvZTJvRG9jLnhtbFBLBQYAAAAABgAGAFkBAABiBQAAAAA=&#10;">
          <v:path/>
          <v:fill on="f" focussize="0,0"/>
          <v:stroke on="f" joinstyle="miter"/>
          <v:imagedata o:title=""/>
          <o:lock v:ext="edit"/>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92F92"/>
    <w:multiLevelType w:val="singleLevel"/>
    <w:tmpl w:val="F8D92F92"/>
    <w:lvl w:ilvl="0" w:tentative="0">
      <w:start w:val="1"/>
      <w:numFmt w:val="decimal"/>
      <w:suff w:val="nothing"/>
      <w:lvlText w:val="%1、"/>
      <w:lvlJc w:val="left"/>
    </w:lvl>
  </w:abstractNum>
  <w:abstractNum w:abstractNumId="1">
    <w:nsid w:val="035DA4E9"/>
    <w:multiLevelType w:val="singleLevel"/>
    <w:tmpl w:val="035DA4E9"/>
    <w:lvl w:ilvl="0" w:tentative="0">
      <w:start w:val="3"/>
      <w:numFmt w:val="chineseCounting"/>
      <w:suff w:val="nothing"/>
      <w:lvlText w:val="%1、"/>
      <w:lvlJc w:val="left"/>
      <w:rPr>
        <w:rFonts w:hint="eastAsia"/>
      </w:rPr>
    </w:lvl>
  </w:abstractNum>
  <w:abstractNum w:abstractNumId="2">
    <w:nsid w:val="40E42D48"/>
    <w:multiLevelType w:val="singleLevel"/>
    <w:tmpl w:val="40E42D48"/>
    <w:lvl w:ilvl="0" w:tentative="0">
      <w:start w:val="2"/>
      <w:numFmt w:val="chineseCounting"/>
      <w:suff w:val="nothing"/>
      <w:lvlText w:val="（%1）"/>
      <w:lvlJc w:val="left"/>
      <w:pPr>
        <w:ind w:left="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7"/>
  <w:drawingGridVerticalSpacing w:val="224"/>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11590"/>
    <w:rsid w:val="0000260D"/>
    <w:rsid w:val="00006395"/>
    <w:rsid w:val="0001234F"/>
    <w:rsid w:val="00042163"/>
    <w:rsid w:val="00055F52"/>
    <w:rsid w:val="0006482F"/>
    <w:rsid w:val="000818DC"/>
    <w:rsid w:val="000A4BED"/>
    <w:rsid w:val="000B2364"/>
    <w:rsid w:val="000B46F0"/>
    <w:rsid w:val="000C243D"/>
    <w:rsid w:val="000C3DE0"/>
    <w:rsid w:val="000F1993"/>
    <w:rsid w:val="000F21C0"/>
    <w:rsid w:val="000F64B2"/>
    <w:rsid w:val="001158DF"/>
    <w:rsid w:val="00122E6A"/>
    <w:rsid w:val="001245FB"/>
    <w:rsid w:val="0013755A"/>
    <w:rsid w:val="00146803"/>
    <w:rsid w:val="001609FD"/>
    <w:rsid w:val="0017376D"/>
    <w:rsid w:val="00174997"/>
    <w:rsid w:val="00174C26"/>
    <w:rsid w:val="001869EB"/>
    <w:rsid w:val="00196DDD"/>
    <w:rsid w:val="001B262D"/>
    <w:rsid w:val="001B59EC"/>
    <w:rsid w:val="001C00BE"/>
    <w:rsid w:val="001D1E35"/>
    <w:rsid w:val="001E1776"/>
    <w:rsid w:val="001F356E"/>
    <w:rsid w:val="001F7A5D"/>
    <w:rsid w:val="00212863"/>
    <w:rsid w:val="0023578D"/>
    <w:rsid w:val="00243AD2"/>
    <w:rsid w:val="0025098B"/>
    <w:rsid w:val="00250B6C"/>
    <w:rsid w:val="002669DE"/>
    <w:rsid w:val="0027019D"/>
    <w:rsid w:val="002871BF"/>
    <w:rsid w:val="00291303"/>
    <w:rsid w:val="002938FA"/>
    <w:rsid w:val="00294444"/>
    <w:rsid w:val="002B1A04"/>
    <w:rsid w:val="002D01EF"/>
    <w:rsid w:val="002D252C"/>
    <w:rsid w:val="002D3C84"/>
    <w:rsid w:val="002D4176"/>
    <w:rsid w:val="002E10A2"/>
    <w:rsid w:val="002E64C1"/>
    <w:rsid w:val="002F3544"/>
    <w:rsid w:val="00307354"/>
    <w:rsid w:val="00307DF9"/>
    <w:rsid w:val="003129A8"/>
    <w:rsid w:val="00345D2D"/>
    <w:rsid w:val="00351D5C"/>
    <w:rsid w:val="003555B2"/>
    <w:rsid w:val="0035637D"/>
    <w:rsid w:val="003619B8"/>
    <w:rsid w:val="00370245"/>
    <w:rsid w:val="00377562"/>
    <w:rsid w:val="00393164"/>
    <w:rsid w:val="003D0C5B"/>
    <w:rsid w:val="003F2456"/>
    <w:rsid w:val="00400061"/>
    <w:rsid w:val="0041247B"/>
    <w:rsid w:val="004401B5"/>
    <w:rsid w:val="00464173"/>
    <w:rsid w:val="00484963"/>
    <w:rsid w:val="004B3D2C"/>
    <w:rsid w:val="004B79DB"/>
    <w:rsid w:val="004D7B79"/>
    <w:rsid w:val="00510D09"/>
    <w:rsid w:val="00533851"/>
    <w:rsid w:val="00534F1B"/>
    <w:rsid w:val="0054056E"/>
    <w:rsid w:val="00543E46"/>
    <w:rsid w:val="00545158"/>
    <w:rsid w:val="00546E82"/>
    <w:rsid w:val="00565766"/>
    <w:rsid w:val="00566BC0"/>
    <w:rsid w:val="005779B9"/>
    <w:rsid w:val="00590823"/>
    <w:rsid w:val="00596463"/>
    <w:rsid w:val="005A5865"/>
    <w:rsid w:val="005B6E55"/>
    <w:rsid w:val="005E4356"/>
    <w:rsid w:val="00610EF5"/>
    <w:rsid w:val="00622D96"/>
    <w:rsid w:val="00634A6F"/>
    <w:rsid w:val="00637B56"/>
    <w:rsid w:val="00685337"/>
    <w:rsid w:val="006A05AA"/>
    <w:rsid w:val="006A6BBB"/>
    <w:rsid w:val="007060E8"/>
    <w:rsid w:val="00710853"/>
    <w:rsid w:val="00723B7D"/>
    <w:rsid w:val="007329F0"/>
    <w:rsid w:val="00733E79"/>
    <w:rsid w:val="007576FF"/>
    <w:rsid w:val="007624D3"/>
    <w:rsid w:val="007B0C5D"/>
    <w:rsid w:val="007C61C7"/>
    <w:rsid w:val="007D05D9"/>
    <w:rsid w:val="007D5D32"/>
    <w:rsid w:val="007E2ABB"/>
    <w:rsid w:val="007F49A0"/>
    <w:rsid w:val="00800CB4"/>
    <w:rsid w:val="00815243"/>
    <w:rsid w:val="008256E6"/>
    <w:rsid w:val="00844947"/>
    <w:rsid w:val="00854DEF"/>
    <w:rsid w:val="00867E5C"/>
    <w:rsid w:val="00871849"/>
    <w:rsid w:val="00883E1D"/>
    <w:rsid w:val="00886B49"/>
    <w:rsid w:val="0089666C"/>
    <w:rsid w:val="008A59FA"/>
    <w:rsid w:val="008C7854"/>
    <w:rsid w:val="008E229A"/>
    <w:rsid w:val="008F5974"/>
    <w:rsid w:val="008F6248"/>
    <w:rsid w:val="00907154"/>
    <w:rsid w:val="009174EC"/>
    <w:rsid w:val="00925427"/>
    <w:rsid w:val="0093595C"/>
    <w:rsid w:val="00936108"/>
    <w:rsid w:val="00954196"/>
    <w:rsid w:val="00974863"/>
    <w:rsid w:val="00974D3A"/>
    <w:rsid w:val="00990C39"/>
    <w:rsid w:val="009A4877"/>
    <w:rsid w:val="009B051D"/>
    <w:rsid w:val="009C4F53"/>
    <w:rsid w:val="009D6A13"/>
    <w:rsid w:val="009E2D08"/>
    <w:rsid w:val="00A05D59"/>
    <w:rsid w:val="00A21E6E"/>
    <w:rsid w:val="00A301F4"/>
    <w:rsid w:val="00A3697C"/>
    <w:rsid w:val="00A36A83"/>
    <w:rsid w:val="00A82EA5"/>
    <w:rsid w:val="00A874DF"/>
    <w:rsid w:val="00A91087"/>
    <w:rsid w:val="00A915B0"/>
    <w:rsid w:val="00AA240F"/>
    <w:rsid w:val="00AB61C6"/>
    <w:rsid w:val="00AC7357"/>
    <w:rsid w:val="00AE03D0"/>
    <w:rsid w:val="00AE1E20"/>
    <w:rsid w:val="00AE22BF"/>
    <w:rsid w:val="00B11AE8"/>
    <w:rsid w:val="00B1724D"/>
    <w:rsid w:val="00B17BBD"/>
    <w:rsid w:val="00B242EF"/>
    <w:rsid w:val="00B43577"/>
    <w:rsid w:val="00B4795C"/>
    <w:rsid w:val="00B71C23"/>
    <w:rsid w:val="00B872BB"/>
    <w:rsid w:val="00B954AF"/>
    <w:rsid w:val="00BA0904"/>
    <w:rsid w:val="00BA39B6"/>
    <w:rsid w:val="00BB0D25"/>
    <w:rsid w:val="00BB13BE"/>
    <w:rsid w:val="00BB35AB"/>
    <w:rsid w:val="00BC6D5F"/>
    <w:rsid w:val="00BC6F83"/>
    <w:rsid w:val="00BD29F5"/>
    <w:rsid w:val="00BE4409"/>
    <w:rsid w:val="00BE459F"/>
    <w:rsid w:val="00BF319E"/>
    <w:rsid w:val="00C07DD7"/>
    <w:rsid w:val="00C61154"/>
    <w:rsid w:val="00C65488"/>
    <w:rsid w:val="00C67AC8"/>
    <w:rsid w:val="00C73320"/>
    <w:rsid w:val="00C75028"/>
    <w:rsid w:val="00C93D56"/>
    <w:rsid w:val="00CB6029"/>
    <w:rsid w:val="00CD113A"/>
    <w:rsid w:val="00CD2549"/>
    <w:rsid w:val="00CE5119"/>
    <w:rsid w:val="00CE7443"/>
    <w:rsid w:val="00D0624A"/>
    <w:rsid w:val="00D1073B"/>
    <w:rsid w:val="00D11590"/>
    <w:rsid w:val="00D250BB"/>
    <w:rsid w:val="00D339AB"/>
    <w:rsid w:val="00D3625E"/>
    <w:rsid w:val="00D427E0"/>
    <w:rsid w:val="00D4781A"/>
    <w:rsid w:val="00D61C37"/>
    <w:rsid w:val="00D63FA3"/>
    <w:rsid w:val="00D6648B"/>
    <w:rsid w:val="00D849D8"/>
    <w:rsid w:val="00D85D31"/>
    <w:rsid w:val="00D876ED"/>
    <w:rsid w:val="00DB4D8F"/>
    <w:rsid w:val="00DB6950"/>
    <w:rsid w:val="00DD01BE"/>
    <w:rsid w:val="00DD6F91"/>
    <w:rsid w:val="00DE30B2"/>
    <w:rsid w:val="00DF3071"/>
    <w:rsid w:val="00E0031D"/>
    <w:rsid w:val="00E247D3"/>
    <w:rsid w:val="00E269F8"/>
    <w:rsid w:val="00E279FD"/>
    <w:rsid w:val="00E33AF1"/>
    <w:rsid w:val="00E3552F"/>
    <w:rsid w:val="00E363DB"/>
    <w:rsid w:val="00E42812"/>
    <w:rsid w:val="00E57483"/>
    <w:rsid w:val="00E63763"/>
    <w:rsid w:val="00E73F35"/>
    <w:rsid w:val="00E82788"/>
    <w:rsid w:val="00EB17F9"/>
    <w:rsid w:val="00EB18AD"/>
    <w:rsid w:val="00EC3704"/>
    <w:rsid w:val="00EC3DBA"/>
    <w:rsid w:val="00EF6842"/>
    <w:rsid w:val="00F05EE1"/>
    <w:rsid w:val="00F07141"/>
    <w:rsid w:val="00F12DA3"/>
    <w:rsid w:val="00F20F1B"/>
    <w:rsid w:val="00F32BA6"/>
    <w:rsid w:val="00F378CB"/>
    <w:rsid w:val="00F47955"/>
    <w:rsid w:val="00F61A59"/>
    <w:rsid w:val="00F6397E"/>
    <w:rsid w:val="00F63CAE"/>
    <w:rsid w:val="00F66781"/>
    <w:rsid w:val="00F74A92"/>
    <w:rsid w:val="00F85DA3"/>
    <w:rsid w:val="00F878E6"/>
    <w:rsid w:val="00F9152F"/>
    <w:rsid w:val="00F95773"/>
    <w:rsid w:val="00FA6A88"/>
    <w:rsid w:val="00FC08A4"/>
    <w:rsid w:val="00FC3B26"/>
    <w:rsid w:val="00FC5F3C"/>
    <w:rsid w:val="00FD3BCD"/>
    <w:rsid w:val="00FE10BE"/>
    <w:rsid w:val="00FF059B"/>
    <w:rsid w:val="01764E88"/>
    <w:rsid w:val="01B336B0"/>
    <w:rsid w:val="01C21535"/>
    <w:rsid w:val="025C6CF1"/>
    <w:rsid w:val="03402F0A"/>
    <w:rsid w:val="03F85DAC"/>
    <w:rsid w:val="04A63573"/>
    <w:rsid w:val="05E963C5"/>
    <w:rsid w:val="060A0C4A"/>
    <w:rsid w:val="06AF4E69"/>
    <w:rsid w:val="06F458F4"/>
    <w:rsid w:val="070B3496"/>
    <w:rsid w:val="070F1316"/>
    <w:rsid w:val="08245758"/>
    <w:rsid w:val="082E6319"/>
    <w:rsid w:val="089D1AE0"/>
    <w:rsid w:val="08AA5905"/>
    <w:rsid w:val="09266F61"/>
    <w:rsid w:val="0A656E61"/>
    <w:rsid w:val="0AA417DF"/>
    <w:rsid w:val="0AD86099"/>
    <w:rsid w:val="0ADD3531"/>
    <w:rsid w:val="0B6A7D0A"/>
    <w:rsid w:val="0BD655B2"/>
    <w:rsid w:val="0C451FD2"/>
    <w:rsid w:val="0C7750D9"/>
    <w:rsid w:val="0CD31A99"/>
    <w:rsid w:val="0CEF7C2D"/>
    <w:rsid w:val="0D08530A"/>
    <w:rsid w:val="0DC56A32"/>
    <w:rsid w:val="0E453A5D"/>
    <w:rsid w:val="10F24BDD"/>
    <w:rsid w:val="1212769B"/>
    <w:rsid w:val="1235422B"/>
    <w:rsid w:val="12AB7132"/>
    <w:rsid w:val="132B78D7"/>
    <w:rsid w:val="13506D9A"/>
    <w:rsid w:val="13B00E2F"/>
    <w:rsid w:val="14F616FE"/>
    <w:rsid w:val="160F55EB"/>
    <w:rsid w:val="163F21F9"/>
    <w:rsid w:val="163F362E"/>
    <w:rsid w:val="181C2AF7"/>
    <w:rsid w:val="19EE6033"/>
    <w:rsid w:val="1A457D5F"/>
    <w:rsid w:val="1AA76E9D"/>
    <w:rsid w:val="1B635471"/>
    <w:rsid w:val="1B6765A8"/>
    <w:rsid w:val="1BE73546"/>
    <w:rsid w:val="1EAF3D08"/>
    <w:rsid w:val="1F0E63A9"/>
    <w:rsid w:val="1F4D5149"/>
    <w:rsid w:val="1FF75FD8"/>
    <w:rsid w:val="201C60BC"/>
    <w:rsid w:val="24374B54"/>
    <w:rsid w:val="24387150"/>
    <w:rsid w:val="24F13FAC"/>
    <w:rsid w:val="25CA5C37"/>
    <w:rsid w:val="25FE6CED"/>
    <w:rsid w:val="268B2E8C"/>
    <w:rsid w:val="26F70202"/>
    <w:rsid w:val="27470D78"/>
    <w:rsid w:val="27B14FCF"/>
    <w:rsid w:val="27C111BE"/>
    <w:rsid w:val="2A386199"/>
    <w:rsid w:val="2B7E69F0"/>
    <w:rsid w:val="2BD67DBE"/>
    <w:rsid w:val="2C03606A"/>
    <w:rsid w:val="2C402B1B"/>
    <w:rsid w:val="2C9061C6"/>
    <w:rsid w:val="2CD40EB6"/>
    <w:rsid w:val="2D3F2C9C"/>
    <w:rsid w:val="2D7F4B03"/>
    <w:rsid w:val="2DF136E5"/>
    <w:rsid w:val="2FCA453A"/>
    <w:rsid w:val="301855EF"/>
    <w:rsid w:val="30AB1E4B"/>
    <w:rsid w:val="31381868"/>
    <w:rsid w:val="323F0DDD"/>
    <w:rsid w:val="333D6FDE"/>
    <w:rsid w:val="34132025"/>
    <w:rsid w:val="35D762C5"/>
    <w:rsid w:val="3666174D"/>
    <w:rsid w:val="3676597F"/>
    <w:rsid w:val="36873CEC"/>
    <w:rsid w:val="36A66FE8"/>
    <w:rsid w:val="36BC0411"/>
    <w:rsid w:val="37C6187B"/>
    <w:rsid w:val="37E120F3"/>
    <w:rsid w:val="387D182E"/>
    <w:rsid w:val="398A72A4"/>
    <w:rsid w:val="3A745593"/>
    <w:rsid w:val="3BE75453"/>
    <w:rsid w:val="3C03257A"/>
    <w:rsid w:val="3CBD0FD5"/>
    <w:rsid w:val="3D9A1CF2"/>
    <w:rsid w:val="3DED6141"/>
    <w:rsid w:val="3ED66935"/>
    <w:rsid w:val="41057246"/>
    <w:rsid w:val="41A533A9"/>
    <w:rsid w:val="42BA3DF3"/>
    <w:rsid w:val="450148DF"/>
    <w:rsid w:val="46234CA7"/>
    <w:rsid w:val="46283260"/>
    <w:rsid w:val="47316B88"/>
    <w:rsid w:val="473574A4"/>
    <w:rsid w:val="47F12A82"/>
    <w:rsid w:val="49213FC7"/>
    <w:rsid w:val="49741543"/>
    <w:rsid w:val="49D729BE"/>
    <w:rsid w:val="4B271DA6"/>
    <w:rsid w:val="4B8D34BD"/>
    <w:rsid w:val="4BBF560C"/>
    <w:rsid w:val="4CA527EC"/>
    <w:rsid w:val="4CEB1BC8"/>
    <w:rsid w:val="4DDF2DF3"/>
    <w:rsid w:val="4E1F6225"/>
    <w:rsid w:val="4F1271B2"/>
    <w:rsid w:val="520E3331"/>
    <w:rsid w:val="525C2D06"/>
    <w:rsid w:val="52941A36"/>
    <w:rsid w:val="54190725"/>
    <w:rsid w:val="548A3744"/>
    <w:rsid w:val="56596876"/>
    <w:rsid w:val="567273B6"/>
    <w:rsid w:val="568D6962"/>
    <w:rsid w:val="5831425A"/>
    <w:rsid w:val="583C61FE"/>
    <w:rsid w:val="58CB282D"/>
    <w:rsid w:val="58E04F27"/>
    <w:rsid w:val="59D7383C"/>
    <w:rsid w:val="5BE07BF6"/>
    <w:rsid w:val="5C9C5052"/>
    <w:rsid w:val="5D574054"/>
    <w:rsid w:val="5D7013E8"/>
    <w:rsid w:val="5F565560"/>
    <w:rsid w:val="5FC13D38"/>
    <w:rsid w:val="60372345"/>
    <w:rsid w:val="60A349E9"/>
    <w:rsid w:val="613C2E61"/>
    <w:rsid w:val="63860DFA"/>
    <w:rsid w:val="63C26236"/>
    <w:rsid w:val="64D2785F"/>
    <w:rsid w:val="65262259"/>
    <w:rsid w:val="66346D3D"/>
    <w:rsid w:val="671560DB"/>
    <w:rsid w:val="672A016C"/>
    <w:rsid w:val="67725EE5"/>
    <w:rsid w:val="684C3CEB"/>
    <w:rsid w:val="6A096C4E"/>
    <w:rsid w:val="6A1029C5"/>
    <w:rsid w:val="6A2E1C39"/>
    <w:rsid w:val="6B1D2EC7"/>
    <w:rsid w:val="6B5C7957"/>
    <w:rsid w:val="6C205F8A"/>
    <w:rsid w:val="6C8E4563"/>
    <w:rsid w:val="6CB43C05"/>
    <w:rsid w:val="6DFC1C5F"/>
    <w:rsid w:val="6E0925B5"/>
    <w:rsid w:val="6F1F747D"/>
    <w:rsid w:val="70275492"/>
    <w:rsid w:val="708C1B51"/>
    <w:rsid w:val="70E95C49"/>
    <w:rsid w:val="72327A13"/>
    <w:rsid w:val="72755103"/>
    <w:rsid w:val="72BD6548"/>
    <w:rsid w:val="731C2128"/>
    <w:rsid w:val="74194F80"/>
    <w:rsid w:val="74754547"/>
    <w:rsid w:val="749C4489"/>
    <w:rsid w:val="754A786E"/>
    <w:rsid w:val="75791449"/>
    <w:rsid w:val="758B2CA5"/>
    <w:rsid w:val="767C7D9F"/>
    <w:rsid w:val="782D48DB"/>
    <w:rsid w:val="799D156A"/>
    <w:rsid w:val="7A215664"/>
    <w:rsid w:val="7A337C8F"/>
    <w:rsid w:val="7A6D6D61"/>
    <w:rsid w:val="7B463DAD"/>
    <w:rsid w:val="7B8602A6"/>
    <w:rsid w:val="7BD44C50"/>
    <w:rsid w:val="7BFE1929"/>
    <w:rsid w:val="7C202FE2"/>
    <w:rsid w:val="7DB84C98"/>
    <w:rsid w:val="7DD445B0"/>
    <w:rsid w:val="7DD921E5"/>
    <w:rsid w:val="7DF30201"/>
    <w:rsid w:val="7E447393"/>
    <w:rsid w:val="7F280E66"/>
    <w:rsid w:val="7F50681D"/>
    <w:rsid w:val="7F835F69"/>
    <w:rsid w:val="7F9C5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cs="宋体"/>
      <w:sz w:val="21"/>
      <w:szCs w:val="21"/>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Char Char Char Char Char1"/>
    <w:basedOn w:val="1"/>
    <w:qFormat/>
    <w:uiPriority w:val="0"/>
    <w:rPr>
      <w:rFonts w:ascii="Tahoma" w:hAnsi="Tahoma" w:eastAsia="宋体"/>
      <w:sz w:val="24"/>
      <w:szCs w:val="20"/>
    </w:rPr>
  </w:style>
  <w:style w:type="paragraph" w:customStyle="1" w:styleId="14">
    <w:name w:val="Char Char Char Char Char Char Char Char Char Char Char Char Char Char Char Char"/>
    <w:basedOn w:val="1"/>
    <w:qFormat/>
    <w:uiPriority w:val="0"/>
    <w:rPr>
      <w:rFonts w:eastAsia="宋体"/>
      <w:sz w:val="21"/>
      <w:szCs w:val="21"/>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Char"/>
    <w:basedOn w:val="11"/>
    <w:link w:val="7"/>
    <w:qFormat/>
    <w:uiPriority w:val="99"/>
    <w:rPr>
      <w:rFonts w:eastAsia="仿宋_GB2312"/>
      <w:kern w:val="2"/>
      <w:sz w:val="18"/>
      <w:szCs w:val="18"/>
    </w:rPr>
  </w:style>
  <w:style w:type="character" w:customStyle="1" w:styleId="18">
    <w:name w:val="日期 Char"/>
    <w:basedOn w:val="11"/>
    <w:link w:val="5"/>
    <w:qFormat/>
    <w:uiPriority w:val="0"/>
    <w:rPr>
      <w:rFonts w:eastAsia="仿宋_GB2312"/>
      <w:kern w:val="2"/>
      <w:sz w:val="32"/>
      <w:szCs w:val="32"/>
    </w:rPr>
  </w:style>
  <w:style w:type="character" w:customStyle="1" w:styleId="19">
    <w:name w:val="纯文本 Char"/>
    <w:basedOn w:val="11"/>
    <w:link w:val="4"/>
    <w:qFormat/>
    <w:uiPriority w:val="0"/>
    <w:rPr>
      <w:rFonts w:ascii="宋体" w:hAnsi="Courier New" w:cs="宋体"/>
      <w:kern w:val="2"/>
      <w:sz w:val="21"/>
      <w:szCs w:val="21"/>
    </w:rPr>
  </w:style>
  <w:style w:type="paragraph" w:customStyle="1" w:styleId="20">
    <w:name w:val="列出段落1"/>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6F8F2-8BE2-40A4-8F85-ACF55CB70550}">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22</Pages>
  <Words>6444</Words>
  <Characters>822</Characters>
  <Lines>6</Lines>
  <Paragraphs>14</Paragraphs>
  <TotalTime>30</TotalTime>
  <ScaleCrop>false</ScaleCrop>
  <LinksUpToDate>false</LinksUpToDate>
  <CharactersWithSpaces>7252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2021-06-03T12:48:00Z</dcterms:created>
  <dc:creator>T520i</dc:creator>
  <cp:lastModifiedBy>茜茜</cp:lastModifiedBy>
  <cp:lastPrinted>2020-09-16T07:38:00Z</cp:lastPrinted>
  <dcterms:modified xsi:type="dcterms:W3CDTF">2023-07-28T02:13:54Z</dcterms:modified>
  <dc:title>衡阳市财政局关于开展市本级</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A4CE6FCD4E564AEA8B36C2B785A7C9BA</vt:lpwstr>
  </property>
</Properties>
</file>