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jc w:val="left"/>
        <w:rPr>
          <w:rFonts w:ascii="Times New Roman" w:hAnsi="Times New Roman" w:eastAsia="黑体" w:cs="Times New Roman"/>
          <w:color w:val="000000"/>
          <w:kern w:val="0"/>
          <w:sz w:val="28"/>
          <w:szCs w:val="28"/>
        </w:rPr>
      </w:pPr>
      <w:r>
        <w:rPr>
          <w:rFonts w:ascii="Times New Roman" w:hAnsi="Times New Roman" w:eastAsia="黑体" w:cs="Times New Roman"/>
          <w:color w:val="000000"/>
          <w:kern w:val="0"/>
          <w:sz w:val="28"/>
          <w:szCs w:val="28"/>
        </w:rPr>
        <w:t>县十八届人大三次会议文件（8）</w:t>
      </w:r>
    </w:p>
    <w:p>
      <w:pPr>
        <w:widowControl/>
        <w:snapToGrid w:val="0"/>
        <w:spacing w:line="400" w:lineRule="exact"/>
        <w:jc w:val="left"/>
        <w:rPr>
          <w:rFonts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spacing w:line="560" w:lineRule="exact"/>
        <w:jc w:val="center"/>
        <w:rPr>
          <w:rFonts w:ascii="Times New Roman" w:hAnsi="Times New Roman" w:eastAsia="华文中宋" w:cs="Times New Roman"/>
          <w:color w:val="000000"/>
          <w:sz w:val="42"/>
          <w:szCs w:val="42"/>
        </w:rPr>
      </w:pPr>
      <w:r>
        <w:rPr>
          <w:rFonts w:ascii="Times New Roman" w:hAnsi="Times New Roman" w:eastAsia="华文中宋" w:cs="Times New Roman"/>
          <w:color w:val="000000"/>
          <w:sz w:val="42"/>
          <w:szCs w:val="42"/>
        </w:rPr>
        <w:t>关于衡南县2022年预算执行情况与</w:t>
      </w:r>
    </w:p>
    <w:p>
      <w:pPr>
        <w:spacing w:line="560" w:lineRule="exact"/>
        <w:jc w:val="center"/>
        <w:rPr>
          <w:rFonts w:ascii="Times New Roman" w:hAnsi="Times New Roman" w:eastAsia="华文中宋" w:cs="Times New Roman"/>
          <w:color w:val="000000"/>
          <w:sz w:val="42"/>
          <w:szCs w:val="42"/>
        </w:rPr>
      </w:pPr>
      <w:r>
        <w:rPr>
          <w:rFonts w:ascii="Times New Roman" w:hAnsi="Times New Roman" w:eastAsia="华文中宋" w:cs="Times New Roman"/>
          <w:color w:val="000000"/>
          <w:sz w:val="42"/>
          <w:szCs w:val="42"/>
        </w:rPr>
        <w:t>2023年预算草案的报告</w:t>
      </w:r>
    </w:p>
    <w:p>
      <w:pPr>
        <w:spacing w:line="380" w:lineRule="exact"/>
        <w:jc w:val="center"/>
        <w:rPr>
          <w:rFonts w:ascii="Times New Roman" w:hAnsi="Times New Roman" w:eastAsia="楷体_GB2312" w:cs="Times New Roman"/>
        </w:rPr>
      </w:pPr>
    </w:p>
    <w:p>
      <w:pPr>
        <w:spacing w:line="580" w:lineRule="exact"/>
        <w:jc w:val="center"/>
        <w:rPr>
          <w:rFonts w:ascii="Times New Roman" w:hAnsi="Times New Roman" w:eastAsia="楷体_GB2312" w:cs="Times New Roman"/>
        </w:rPr>
      </w:pPr>
      <w:r>
        <w:rPr>
          <w:rFonts w:ascii="Times New Roman" w:hAnsi="Times New Roman" w:eastAsia="楷体_GB2312" w:cs="Times New Roman"/>
        </w:rPr>
        <w:t>2023年3月8日在衡南县</w:t>
      </w:r>
    </w:p>
    <w:p>
      <w:pPr>
        <w:spacing w:line="580" w:lineRule="exact"/>
        <w:jc w:val="center"/>
        <w:rPr>
          <w:rFonts w:ascii="Times New Roman" w:hAnsi="Times New Roman" w:eastAsia="微软雅黑" w:cs="Times New Roman"/>
          <w:shd w:val="clear" w:color="auto" w:fill="FFFFFF"/>
        </w:rPr>
      </w:pPr>
      <w:r>
        <w:rPr>
          <w:rFonts w:ascii="Times New Roman" w:hAnsi="Times New Roman" w:eastAsia="楷体_GB2312" w:cs="Times New Roman"/>
        </w:rPr>
        <w:t>第十八届人民代表大会第三次会议上</w:t>
      </w:r>
    </w:p>
    <w:p>
      <w:pPr>
        <w:spacing w:line="380" w:lineRule="exact"/>
        <w:jc w:val="center"/>
        <w:rPr>
          <w:rFonts w:ascii="Times New Roman" w:hAnsi="Times New Roman" w:eastAsia="楷体_GB2312" w:cs="Times New Roman"/>
          <w:b/>
        </w:rPr>
      </w:pPr>
    </w:p>
    <w:p>
      <w:pPr>
        <w:spacing w:line="580" w:lineRule="exact"/>
        <w:jc w:val="center"/>
        <w:rPr>
          <w:rFonts w:ascii="Times New Roman" w:hAnsi="Times New Roman" w:eastAsia="楷体_GB2312" w:cs="Times New Roman"/>
        </w:rPr>
      </w:pPr>
      <w:r>
        <w:rPr>
          <w:rFonts w:ascii="Times New Roman" w:hAnsi="Times New Roman" w:eastAsia="楷体_GB2312" w:cs="Times New Roman"/>
        </w:rPr>
        <w:t xml:space="preserve">衡南县财政局局长  </w:t>
      </w:r>
      <w:r>
        <w:rPr>
          <w:rFonts w:ascii="Times New Roman" w:hAnsi="Times New Roman" w:eastAsia="黑体" w:cs="Times New Roman"/>
        </w:rPr>
        <w:t>何龙勇</w:t>
      </w:r>
    </w:p>
    <w:p>
      <w:pPr>
        <w:spacing w:line="520" w:lineRule="exact"/>
        <w:jc w:val="center"/>
        <w:rPr>
          <w:rFonts w:ascii="Times New Roman" w:hAnsi="Times New Roman" w:eastAsia="楷体_GB2312" w:cs="Times New Roman"/>
        </w:rPr>
      </w:pPr>
    </w:p>
    <w:p>
      <w:pPr>
        <w:spacing w:line="54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各位代表：</w:t>
      </w:r>
    </w:p>
    <w:p>
      <w:pPr>
        <w:spacing w:line="54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受县人民政府委托，现报告2022年全县财政预算执行情况和2023年财政预算草案，请予审查。并请各位政协委员和其他列席人员提出意见。</w:t>
      </w:r>
    </w:p>
    <w:p>
      <w:pPr>
        <w:spacing w:line="540" w:lineRule="exact"/>
        <w:ind w:firstLine="640" w:firstLineChars="200"/>
        <w:rPr>
          <w:rFonts w:ascii="Times New Roman" w:hAnsi="Times New Roman" w:eastAsia="黑体" w:cs="Times New Roman"/>
        </w:rPr>
      </w:pPr>
      <w:r>
        <w:rPr>
          <w:rFonts w:ascii="Times New Roman" w:hAnsi="Times New Roman" w:eastAsia="黑体" w:cs="Times New Roman"/>
        </w:rPr>
        <w:t>一、2022年我县财政预算执行基本情况</w:t>
      </w:r>
    </w:p>
    <w:p>
      <w:pPr>
        <w:spacing w:line="54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全</w:t>
      </w:r>
      <w:r>
        <w:rPr>
          <w:rFonts w:ascii="Times New Roman" w:hAnsi="Times New Roman" w:cs="Times New Roman"/>
          <w:spacing w:val="-6"/>
        </w:rPr>
        <w:t>县财政工作以习近平新时代中国特色社会主义思想为指引，深入贯彻党的二十大精神，全面服务“三高四新”战略定位和使命任务，严格落实县委、县政府各项工作要求，自觉接受县人大、县政协的监督指导，全力推进“四区一花园”和“一主一特双总部”建设，加力提效实施积极的财政政策，有效应对各种风险挑战，兜牢兜实民生底线，纵深推进财政管理改革，为全县经济社会高质量发展提供了坚实财政保障。预算执行情况总体较好。</w:t>
      </w:r>
    </w:p>
    <w:p>
      <w:pPr>
        <w:spacing w:line="540" w:lineRule="exact"/>
        <w:ind w:firstLine="643" w:firstLineChars="200"/>
        <w:rPr>
          <w:rFonts w:ascii="Times New Roman" w:hAnsi="Times New Roman" w:eastAsia="楷体_GB2312" w:cs="Times New Roman"/>
          <w:b/>
          <w:bCs/>
        </w:rPr>
      </w:pPr>
      <w:r>
        <w:rPr>
          <w:rFonts w:ascii="Times New Roman" w:hAnsi="Times New Roman" w:eastAsia="楷体_GB2312" w:cs="Times New Roman"/>
          <w:b/>
          <w:bCs/>
        </w:rPr>
        <w:t>（一）2022年财政预算执行情况</w:t>
      </w:r>
    </w:p>
    <w:p>
      <w:pPr>
        <w:spacing w:line="540" w:lineRule="exact"/>
        <w:ind w:firstLine="643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1、一般公共预算收支。</w:t>
      </w:r>
      <w:r>
        <w:rPr>
          <w:rFonts w:ascii="Times New Roman" w:hAnsi="Times New Roman" w:cs="Times New Roman"/>
        </w:rPr>
        <w:t>2022年我县税收收入完成158114万元，非税收入完成43476万元，共计完成201590万元，其中：地方收入完成145775万元，上划中央税收43068万元，上划省税收</w:t>
      </w:r>
      <w:r>
        <w:rPr>
          <w:rFonts w:ascii="Times New Roman" w:hAnsi="Times New Roman" w:cs="Times New Roman"/>
          <w:color w:val="FF0000"/>
        </w:rPr>
        <w:t>12747</w:t>
      </w:r>
      <w:r>
        <w:rPr>
          <w:rFonts w:ascii="Times New Roman" w:hAnsi="Times New Roman" w:cs="Times New Roman"/>
        </w:rPr>
        <w:t>万元。</w:t>
      </w:r>
    </w:p>
    <w:p>
      <w:pPr>
        <w:spacing w:line="54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地方收入分部门完成情况是：税务部门完成162077万元，（含非税收入3964万元），财政部门完成39513万元。</w:t>
      </w:r>
    </w:p>
    <w:p>
      <w:pPr>
        <w:spacing w:line="54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2022年全县一般公共预算支出完成657633万元，为年度调整预算的99.81%，比上年决算增加35273万元，增幅5.67%。</w:t>
      </w:r>
    </w:p>
    <w:p>
      <w:pPr>
        <w:spacing w:line="54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2022年全县一般公共预算收支平衡情况：2022年地方收入145775万元，加上级补助收入464781万元，加债务转贷收入42805万元，加上年结余12927万元，加调入预算稳定调节基金32365万元，加调入资金23042万元，全县一般公共预算收入总计721695万元。当年一般公共预算支出657633万元，加上解上级支出16692万元，加债务还本支出13748万元，加调出资金8000万元，加安排预算稳定调节基金13083万元，加年终滚存结余12539万元，全县一般公共预算支出总计为721695万元，当年收支平衡。（最终以决算批复数据为准）</w:t>
      </w:r>
    </w:p>
    <w:p>
      <w:pPr>
        <w:spacing w:line="540" w:lineRule="exact"/>
        <w:ind w:firstLine="643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2、政府性基金收支。</w:t>
      </w:r>
      <w:r>
        <w:rPr>
          <w:rFonts w:ascii="Times New Roman" w:hAnsi="Times New Roman" w:cs="Times New Roman"/>
        </w:rPr>
        <w:t>2022年我县政府性基金预算收入完成193080万元，支出完成158996万元，结余34084万元。</w:t>
      </w:r>
    </w:p>
    <w:p>
      <w:pPr>
        <w:spacing w:line="540" w:lineRule="exact"/>
        <w:ind w:firstLine="643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3、社会保险基金收支。</w:t>
      </w:r>
      <w:r>
        <w:rPr>
          <w:rFonts w:ascii="Times New Roman" w:hAnsi="Times New Roman" w:cs="Times New Roman"/>
        </w:rPr>
        <w:t>2022年我县社会保险基金预算收入完成86979.72万元，支出完成82591.12万元，历年累计结余67180.72万元。</w:t>
      </w:r>
    </w:p>
    <w:p>
      <w:pPr>
        <w:spacing w:line="540" w:lineRule="exact"/>
        <w:ind w:firstLine="643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4、国有资本经营收支。</w:t>
      </w:r>
      <w:r>
        <w:rPr>
          <w:rFonts w:ascii="Times New Roman" w:hAnsi="Times New Roman" w:cs="Times New Roman"/>
        </w:rPr>
        <w:t>2022年我县国有资本经营预算收入完成29万元，支出完成12万元，结余17万元。</w:t>
      </w:r>
    </w:p>
    <w:p>
      <w:pPr>
        <w:spacing w:line="540" w:lineRule="exact"/>
        <w:ind w:firstLine="643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5、政府性债务。</w:t>
      </w:r>
      <w:r>
        <w:rPr>
          <w:rFonts w:ascii="Times New Roman" w:hAnsi="Times New Roman" w:cs="Times New Roman"/>
        </w:rPr>
        <w:t>我县政府性债务总额为105.78亿元，其中纳入中央财政系统内债券债务68.14亿元（一般债务32.99亿元、专项债务35.15亿元），系统外政府隐性债务37.56亿元，关注类债务156.28万元，经营性债务628万元。2022年全县化解债务本息10.11亿元，其中：本金6.45亿元（含化解隐性债务5.12亿元），利息3.65亿元。根据《湖南省财政厅关于2022年半年度市县债务风险等级评定结果的通报》（湘财债管函〔2022〕6号）文件精神，我县2022年债务风险等级为风险提示地区，债务风险总体可控。</w:t>
      </w:r>
    </w:p>
    <w:p>
      <w:pPr>
        <w:spacing w:line="540" w:lineRule="exact"/>
        <w:ind w:firstLine="643" w:firstLineChars="200"/>
        <w:rPr>
          <w:rFonts w:ascii="Times New Roman" w:hAnsi="Times New Roman" w:eastAsia="楷体_GB2312" w:cs="Times New Roman"/>
          <w:b/>
          <w:bCs/>
        </w:rPr>
      </w:pPr>
      <w:r>
        <w:rPr>
          <w:rFonts w:ascii="Times New Roman" w:hAnsi="Times New Roman" w:eastAsia="楷体_GB2312" w:cs="Times New Roman"/>
          <w:b/>
          <w:bCs/>
        </w:rPr>
        <w:t>（二）2022年财政工作情况</w:t>
      </w:r>
    </w:p>
    <w:p>
      <w:pPr>
        <w:spacing w:line="540" w:lineRule="exact"/>
        <w:ind w:firstLine="643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1、培源抓收稳中有增。</w:t>
      </w:r>
      <w:r>
        <w:rPr>
          <w:rFonts w:ascii="Times New Roman" w:hAnsi="Times New Roman" w:cs="Times New Roman"/>
        </w:rPr>
        <w:t>面对疫情反复、经济下行、减税降费等不利因素，县委、县政府深入贯彻落实党中央、省市决策部署，高位推动财源建设，精准制定实施财税增收举措，财税联动、部门配合、齐抓共管的工作格局逐步形成。2022年全县地方一般预算收入累计完成14.58亿元，同比增长14%。其中地方税收完成10.23亿元，同比增长11.8%，居全市第三。地方税占比达到70.16%，高出全市平均水平2个百分点。地方一般预算收入各项经济指标稳居全市“第一方阵”。</w:t>
      </w:r>
      <w:r>
        <w:rPr>
          <w:rFonts w:ascii="Times New Roman" w:hAnsi="Times New Roman" w:cs="Times New Roman"/>
          <w:b/>
          <w:bCs/>
        </w:rPr>
        <w:t>一是重点帮扶加强财源培植。</w:t>
      </w:r>
      <w:r>
        <w:rPr>
          <w:rFonts w:ascii="Times New Roman" w:hAnsi="Times New Roman" w:cs="Times New Roman"/>
        </w:rPr>
        <w:t>县委、县政府实施税收稳增长一揽子措施，加强对重点行业、重点企业的帮扶。全面落实减税降费政策，杜绝征收“过头税费”、违规揽税收费，全年共留抵退税1.84亿元，进一步助力企业纾难解困。大力推进循环经济发展，主动与华信再生、马钢智信等重点企业对接，植优培强总部经济。2022年度纳税超千万重点企业达14家。</w:t>
      </w:r>
      <w:r>
        <w:rPr>
          <w:rFonts w:ascii="Times New Roman" w:hAnsi="Times New Roman" w:cs="Times New Roman"/>
          <w:b/>
          <w:bCs/>
        </w:rPr>
        <w:t>二是狠抓发展加强税收征管。</w:t>
      </w:r>
      <w:r>
        <w:rPr>
          <w:rFonts w:ascii="Times New Roman" w:hAnsi="Times New Roman" w:cs="Times New Roman"/>
        </w:rPr>
        <w:t>在经济下行的不利因素情况下，县委、县政府因势利导扩大县域经济内需发展。加快推进润泽科技、特变电工、东方唐韵等重点项目建设。加大招商力度，引进了30多家“高精特”企业入驻衡南。加强工业园区经济培育，实现了税收3.1亿元。加快推进县域国有资产处置力度，变“资”为“现”，实现地方税收5.64亿元，进一步夯实了我县财力。</w:t>
      </w:r>
      <w:r>
        <w:rPr>
          <w:rFonts w:ascii="Times New Roman" w:hAnsi="Times New Roman" w:cs="Times New Roman"/>
          <w:b/>
          <w:bCs/>
        </w:rPr>
        <w:t>三是多措并举加强综合治税。</w:t>
      </w:r>
      <w:r>
        <w:rPr>
          <w:rFonts w:ascii="Times New Roman" w:hAnsi="Times New Roman" w:cs="Times New Roman"/>
        </w:rPr>
        <w:t>开展“开源节流堵漏”专项行动，制定税源强基“2524”实施方案，弥补税源不足。发挥综合治税平台对比分析作用，加强税源调查，及时掌握财源增减变化趋势，建立健全全县重点财源企业（项目）数据库和管理台账，大力推行成品油税控监管，提升税收精细化管理。2022年度我县综合治税工作成效突出，受到省财源办通报表彰。</w:t>
      </w:r>
    </w:p>
    <w:p>
      <w:pPr>
        <w:spacing w:line="540" w:lineRule="exact"/>
        <w:ind w:firstLine="643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2、节支裕民保障有力。一是“三保”保障更加有力。</w:t>
      </w:r>
      <w:r>
        <w:rPr>
          <w:rFonts w:ascii="Times New Roman" w:hAnsi="Times New Roman" w:cs="Times New Roman"/>
        </w:rPr>
        <w:t>优化资金拨付次序，面对日益增长的各项支出需求，严格优先保障“三保”资金需求，后其他支出保障的秩序。加强财政运行动态监测分析，按月统计“三保”支出预算执行情况，保证“三保”支出按月及时足额拨付到位，切实兜牢兜实“三保”底线。</w:t>
      </w:r>
      <w:r>
        <w:rPr>
          <w:rFonts w:ascii="Times New Roman" w:hAnsi="Times New Roman" w:cs="Times New Roman"/>
          <w:b/>
          <w:bCs/>
        </w:rPr>
        <w:t>二是社会保障更加有力。</w:t>
      </w:r>
      <w:r>
        <w:rPr>
          <w:rFonts w:ascii="Times New Roman" w:hAnsi="Times New Roman" w:cs="Times New Roman"/>
        </w:rPr>
        <w:t>落实就业创业政策，全年共投入培训经费540万元，开展职业技能培训和岗位技能培训98期，培训人员4551人。扩大社保范围，2022年实现全县各群体全覆盖，城乡居民保险待遇人员11.45万人，发放金额 2.13亿元，社会化发放率达100%。民生保障标准进一步提高，城乡低保标准分别提高到 600元/月/人和400元/月/人，特困供养人员集中、分散标准分别提高到9360元/年/人和6240 元/年/人，困难残疾人生活补贴和重症残疾人护理补贴每人每月提高至75元。认真做好医联体、医共体改革的保障工作，修订和完善相关方案，深入推进医共体内人事、薪酬和财务管理制度建设，全面提升医疗服务能力。加大基本公共卫生经费投入，免费为城乡居民提供预防接种、幼产妇管理、老年人和慢性病管理。扎实高效落实疫情防控资金，全年累计拨付防疫资金6850万元，用于核酸检测、疫苗接种、人员隔离、设备物资采购等。</w:t>
      </w:r>
      <w:r>
        <w:rPr>
          <w:rFonts w:ascii="Times New Roman" w:hAnsi="Times New Roman" w:cs="Times New Roman"/>
          <w:b/>
          <w:bCs/>
        </w:rPr>
        <w:t>三是乡村振兴成效明显。</w:t>
      </w:r>
      <w:r>
        <w:rPr>
          <w:rFonts w:ascii="Times New Roman" w:hAnsi="Times New Roman" w:cs="Times New Roman"/>
        </w:rPr>
        <w:t>支持巩固拓展脱贫攻坚成果与乡村振兴有效衔接。支持全县粮食生产，乡村振兴衔接资金用于建设高标准农田1800亩，新增和改善灌溉面积1653亩，受益建档立卡脱贫人口数417人。完成易地扶贫搬迁项目建设，易地扶贫搬迁后续产业扶持专项项目全部竣工，通过项目的实施全县11个乡村振兴帮扶车间增加了生产设备及基础设施，200多个农村劳动力或弱劳动力实现“家门口就业”。</w:t>
      </w:r>
      <w:r>
        <w:rPr>
          <w:rFonts w:ascii="Times New Roman" w:hAnsi="Times New Roman" w:cs="Times New Roman"/>
          <w:b/>
          <w:bCs/>
        </w:rPr>
        <w:t>四是教育事业稳步发展。</w:t>
      </w:r>
      <w:r>
        <w:rPr>
          <w:rFonts w:ascii="Times New Roman" w:hAnsi="Times New Roman" w:cs="Times New Roman"/>
        </w:rPr>
        <w:t>强化教育资金绩效管理，确保教育经费使用发挥最大效益，多项工作获得省、市表彰奖励，入选全省首批、全市唯一中小学劳动教</w:t>
      </w:r>
      <w:r>
        <w:rPr>
          <w:rFonts w:ascii="Times New Roman" w:hAnsi="Times New Roman" w:cs="Times New Roman"/>
          <w:spacing w:val="-6"/>
        </w:rPr>
        <w:t>育试点县。全力推进关爱留守儿童“三爱三护”行动，入选2022年度省政府综合大督查的典型经验，被人民日报、湖南日报等权威媒体专题推介。“楚怡”中职学校建设全面启动，“规民”工作平稳有序，教育“双减”有效落实。公办学位、宿舍床位、食堂餐位、水冲厕位、标准化运动场、教育信息化融合运用等建设卓有成效。</w:t>
      </w:r>
    </w:p>
    <w:p>
      <w:pPr>
        <w:spacing w:line="540" w:lineRule="exact"/>
        <w:ind w:firstLine="643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3、健全制度规范管理。一是坚决落实“过紧日子”要求。</w:t>
      </w:r>
      <w:r>
        <w:rPr>
          <w:rFonts w:ascii="Times New Roman" w:hAnsi="Times New Roman" w:cs="Times New Roman"/>
        </w:rPr>
        <w:t>出台《关于进一步贯彻落实过“紧日子”要求二十三条举措》（清政办发〔2022〕30号）文件，坚决做到厉行勤俭节约、反对铺张浪费，真正将过“紧日子”要求落到实处。</w:t>
      </w:r>
      <w:r>
        <w:rPr>
          <w:rFonts w:ascii="Times New Roman" w:hAnsi="Times New Roman" w:cs="Times New Roman"/>
          <w:b/>
          <w:bCs/>
        </w:rPr>
        <w:t>二是优化预算管理一体化。</w:t>
      </w:r>
      <w:r>
        <w:rPr>
          <w:rFonts w:ascii="Times New Roman" w:hAnsi="Times New Roman" w:cs="Times New Roman"/>
        </w:rPr>
        <w:t>全面实行“预算管理一体化”将预算编制、资金支付、会计核算纳入一体化系统，实现预算全流程规范化管理。</w:t>
      </w:r>
      <w:r>
        <w:rPr>
          <w:rFonts w:ascii="Times New Roman" w:hAnsi="Times New Roman" w:cs="Times New Roman"/>
          <w:b/>
          <w:bCs/>
        </w:rPr>
        <w:t>三是加强专项资金管理。</w:t>
      </w:r>
      <w:r>
        <w:rPr>
          <w:rFonts w:ascii="Times New Roman" w:hAnsi="Times New Roman" w:cs="Times New Roman"/>
        </w:rPr>
        <w:t>建立财政专项资金管理长效机制，出台《衡南县财政专项资金管理办法》（清政办发〔2022〕27号），进一步规范我县财政专项资金的申报、分配和审批流程，强化专项资金监督管理，确保专项资金使用的规范性、安全性和有效性。</w:t>
      </w:r>
      <w:r>
        <w:rPr>
          <w:rFonts w:ascii="Times New Roman" w:hAnsi="Times New Roman" w:cs="Times New Roman"/>
          <w:b/>
          <w:bCs/>
        </w:rPr>
        <w:t>四是加强绩效管理。</w:t>
      </w:r>
      <w:r>
        <w:rPr>
          <w:rFonts w:ascii="Times New Roman" w:hAnsi="Times New Roman" w:cs="Times New Roman"/>
        </w:rPr>
        <w:t>出台《衡南县预算绩效管理实施办法》（清政办发〔2022〕22号），进一步提高我县指标体系建设。制定《衡南县财政局关于开展2021年度财政资金绩效自评工作的通知》（清财绩〔2022〕32号），对全县86个一级预算单位2021年整体支出做出自评报告，并进行打分，36个专项资金的绩效评价报告在县政府门户网站公开，并将绩效评价结果与预算安排和政策调整相挂钩，绩效一般的项目督促改进，低效无效的削减或取消。</w:t>
      </w:r>
      <w:r>
        <w:rPr>
          <w:rFonts w:ascii="Times New Roman" w:hAnsi="Times New Roman" w:cs="Times New Roman"/>
          <w:b/>
          <w:bCs/>
        </w:rPr>
        <w:t>五是加强国有资产管理。</w:t>
      </w:r>
      <w:r>
        <w:rPr>
          <w:rFonts w:ascii="Times New Roman" w:hAnsi="Times New Roman" w:cs="Times New Roman"/>
        </w:rPr>
        <w:t>出台《衡南县行政事业单位国有资产配置管理办法》、《衡南县行政事业单位通用办公设备和办公家具配置限额标准》及《衡南县行政事业单位国有资产处置管理办法》，进一步健全资产管理制度。制定《衡南县国有企业负责人2021年绩效考核方案》及《衡南县国有企业负责人薪酬及绩效考核管理办法（试行）的通知》，</w:t>
      </w:r>
      <w:r>
        <w:rPr>
          <w:rFonts w:ascii="Times New Roman" w:hAnsi="Times New Roman" w:cs="Times New Roman"/>
          <w:spacing w:val="-6"/>
        </w:rPr>
        <w:t>根据企业负责人薪酬管理制度，开展2021年企业负责人经营绩效考核，主要分为经营绩效和综合评价二大指标体系，按照企业类型设置不同考核内容，科学反映企业负责人经营结果，与企业负责人薪酬考核制度形成“双控”，有效提高企业各层次员工干事的积极性。</w:t>
      </w:r>
      <w:r>
        <w:rPr>
          <w:rFonts w:ascii="Times New Roman" w:hAnsi="Times New Roman" w:cs="Times New Roman"/>
          <w:b/>
          <w:bCs/>
          <w:spacing w:val="-6"/>
        </w:rPr>
        <w:t>六是加强债务管理。</w:t>
      </w:r>
      <w:r>
        <w:rPr>
          <w:rFonts w:ascii="Times New Roman" w:hAnsi="Times New Roman" w:cs="Times New Roman"/>
          <w:spacing w:val="-6"/>
        </w:rPr>
        <w:t>建立健全政府性债务风险应急处置工作机制，按照要求制定债务化解计划，及时足额筹措隐性债务化解资金，全年化解隐性债务5.12亿元。出台《衡南县政府性债务管理暂行办法》（清政办发〔2022〕2号），强化债务风险监测管理，跟踪分析潜在风险，进一步加强政府性债务管理。</w:t>
      </w:r>
    </w:p>
    <w:p>
      <w:pPr>
        <w:spacing w:line="540" w:lineRule="exact"/>
        <w:ind w:firstLine="640" w:firstLineChars="200"/>
        <w:rPr>
          <w:rFonts w:ascii="Times New Roman" w:hAnsi="Times New Roman" w:eastAsia="黑体" w:cs="Times New Roman"/>
        </w:rPr>
      </w:pPr>
      <w:r>
        <w:rPr>
          <w:rFonts w:ascii="Times New Roman" w:hAnsi="Times New Roman" w:eastAsia="黑体" w:cs="Times New Roman"/>
        </w:rPr>
        <w:t>二、2023年我县财政预算草案</w:t>
      </w:r>
    </w:p>
    <w:p>
      <w:pPr>
        <w:spacing w:line="540" w:lineRule="exact"/>
        <w:ind w:firstLine="643" w:firstLineChars="200"/>
        <w:rPr>
          <w:rFonts w:ascii="Times New Roman" w:hAnsi="Times New Roman" w:eastAsia="楷体_GB2312" w:cs="Times New Roman"/>
          <w:b/>
          <w:bCs/>
        </w:rPr>
      </w:pPr>
      <w:r>
        <w:rPr>
          <w:rFonts w:ascii="Times New Roman" w:hAnsi="Times New Roman" w:eastAsia="楷体_GB2312" w:cs="Times New Roman"/>
          <w:b/>
          <w:bCs/>
        </w:rPr>
        <w:t>（一）财政经济形势分析</w:t>
      </w:r>
    </w:p>
    <w:p>
      <w:pPr>
        <w:spacing w:line="54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从有利的方面来看：我国经济韧性强、潜力大、活力足，长期向好的基本面没有变。特别是，随着稳经济一揽子政策和接续措施全面落地见效，疫情政策优化调整，重大项目建设加快落地，市场主体、居民消费意愿和能力复苏活力显现，经济恢复发展呈加快趋势。同时，我县经济营商环境持续优化，引进30多家“高精特”企业入驻衡南，园区经济蓬勃发展，润泽科技、特变电工、东方唐韵等一批重点项目加快建设，财政管理改革走深走实，经济发展内生动力将不断增强。</w:t>
      </w:r>
    </w:p>
    <w:p>
      <w:pPr>
        <w:spacing w:line="54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从不利的方面来看：当前，国际形势错综复杂，国内经济发展的复杂性、不确定性依然存在，稳增长、稳就业、稳物价面临新的挑战，需求收缩、供给冲击和预期转弱三重压力仍然较大，经济风险点增多。而我县产业税收结构不优、抗风险能力弱、财政对上依赖度较高、转移支付增量规模有限，财政收入预期仍存在诸多不确定因素。同时，政府绩效奖改革、机关养老保险、债务还本付息等支出累增，将对财政支出保障形成新的压力。</w:t>
      </w:r>
    </w:p>
    <w:p>
      <w:pPr>
        <w:spacing w:line="540" w:lineRule="exact"/>
        <w:ind w:firstLine="643" w:firstLineChars="200"/>
        <w:rPr>
          <w:rFonts w:ascii="Times New Roman" w:hAnsi="Times New Roman" w:eastAsia="楷体_GB2312" w:cs="Times New Roman"/>
          <w:b/>
          <w:bCs/>
        </w:rPr>
      </w:pPr>
      <w:r>
        <w:rPr>
          <w:rFonts w:ascii="Times New Roman" w:hAnsi="Times New Roman" w:eastAsia="楷体_GB2312" w:cs="Times New Roman"/>
          <w:b/>
          <w:bCs/>
        </w:rPr>
        <w:t>（二）指导思想及基本原则</w:t>
      </w:r>
    </w:p>
    <w:p>
      <w:pPr>
        <w:spacing w:line="540" w:lineRule="exact"/>
        <w:ind w:firstLine="643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1、指导思想。</w:t>
      </w:r>
      <w:r>
        <w:rPr>
          <w:rFonts w:ascii="Times New Roman" w:hAnsi="Times New Roman" w:cs="Times New Roman"/>
        </w:rPr>
        <w:t>坚持以习近平新时代中国特色社会主义思想为指导，全面贯彻落实党的二十大精神，坚持稳中求进工作总基调，坚决落实政府“过紧日子”要求，着力强化政府资源统筹调配，增强财源建设动力，大力优化财政支出结构，提高民生保障能力，切实守牢风险底线，防化重大运行风险，提升财政管理效能，推动全县经济社会高质量发展。</w:t>
      </w:r>
    </w:p>
    <w:p>
      <w:pPr>
        <w:spacing w:line="540" w:lineRule="exact"/>
        <w:ind w:firstLine="643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2、</w:t>
      </w:r>
      <w:r>
        <w:rPr>
          <w:rFonts w:ascii="Times New Roman" w:hAnsi="Times New Roman" w:cs="Times New Roman"/>
          <w:b/>
          <w:bCs/>
          <w:spacing w:val="-11"/>
        </w:rPr>
        <w:t>基本原则。</w:t>
      </w:r>
      <w:r>
        <w:rPr>
          <w:rFonts w:ascii="Times New Roman" w:hAnsi="Times New Roman" w:cs="Times New Roman"/>
          <w:spacing w:val="-11"/>
        </w:rPr>
        <w:t>坚持以收定支，坚持落实过“紧日子”要求，坚持兜牢“三保”底线，坚持综合统筹，坚持绩效管理，坚持风险化解。</w:t>
      </w:r>
    </w:p>
    <w:p>
      <w:pPr>
        <w:spacing w:line="540" w:lineRule="exact"/>
        <w:ind w:firstLine="643" w:firstLineChars="200"/>
        <w:rPr>
          <w:rFonts w:ascii="Times New Roman" w:hAnsi="Times New Roman" w:eastAsia="楷体_GB2312" w:cs="Times New Roman"/>
          <w:b/>
          <w:bCs/>
        </w:rPr>
      </w:pPr>
      <w:r>
        <w:rPr>
          <w:rFonts w:ascii="Times New Roman" w:hAnsi="Times New Roman" w:eastAsia="楷体_GB2312" w:cs="Times New Roman"/>
          <w:b/>
          <w:bCs/>
        </w:rPr>
        <w:t>（三）关于2023年财政预算的主要指标</w:t>
      </w:r>
    </w:p>
    <w:p>
      <w:pPr>
        <w:spacing w:line="54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一般</w:t>
      </w:r>
      <w:r>
        <w:rPr>
          <w:rFonts w:ascii="Times New Roman" w:hAnsi="Times New Roman" w:cs="Times New Roman"/>
          <w:spacing w:val="-6"/>
        </w:rPr>
        <w:t>公共预算收入安排214725万元,比上年增长6.5%，其中：地方收入安排155088万元，比上年增长6%。上划中央收入安排46047万元；上划省收入安排13590万元。地方收入分部门安排情况为：税务部门109188万元，财政部门45900万元。</w:t>
      </w:r>
    </w:p>
    <w:p>
      <w:pPr>
        <w:spacing w:line="54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财政支出安排556226万元（剔除上解支出16692万元），比上年年初预算减少8925万元，减少1.58%。</w:t>
      </w:r>
    </w:p>
    <w:p>
      <w:pPr>
        <w:spacing w:line="54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政府性基金预算。2023年我县政府性基金预算收入安排145500万元，支出安排145500万元。</w:t>
      </w:r>
    </w:p>
    <w:p>
      <w:pPr>
        <w:spacing w:line="54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社会保险基金预算。2023年我县社会保险基金预算收入安排352851万元，支出安排186443万元。</w:t>
      </w:r>
    </w:p>
    <w:p>
      <w:pPr>
        <w:spacing w:line="54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国有资本经营预算。2023年我县国有资本经营预算收入安排229万元，支出安排229万元。</w:t>
      </w:r>
    </w:p>
    <w:p>
      <w:pPr>
        <w:spacing w:line="540" w:lineRule="exact"/>
        <w:ind w:firstLine="643" w:firstLineChars="200"/>
        <w:rPr>
          <w:rFonts w:ascii="Times New Roman" w:hAnsi="Times New Roman" w:eastAsia="楷体_GB2312" w:cs="Times New Roman"/>
          <w:b/>
          <w:bCs/>
        </w:rPr>
      </w:pPr>
      <w:r>
        <w:rPr>
          <w:rFonts w:ascii="Times New Roman" w:hAnsi="Times New Roman" w:eastAsia="楷体_GB2312" w:cs="Times New Roman"/>
          <w:b/>
          <w:bCs/>
        </w:rPr>
        <w:t>（四）关于2023年财政收入预算安排说明</w:t>
      </w:r>
    </w:p>
    <w:p>
      <w:pPr>
        <w:spacing w:line="54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当前，我县财政运行还面临很多困难，多年以来，我县财政对上依赖度一直保持在80%左右，这个趋势在短期内很难改变，加之经济下行，土地收入收窄、刚性支出压力增大、乡村振兴、重点项目建设及产业发展等，都给我县地方财政收入带来不小的挑战。2023年我县一般公共预算收入增幅安排为6.5％，地方收入增幅安排为6%，与全市预期保持持平。</w:t>
      </w:r>
    </w:p>
    <w:p>
      <w:pPr>
        <w:spacing w:line="540" w:lineRule="exact"/>
        <w:ind w:firstLine="643" w:firstLineChars="200"/>
        <w:rPr>
          <w:rFonts w:ascii="Times New Roman" w:hAnsi="Times New Roman" w:eastAsia="楷体_GB2312" w:cs="Times New Roman"/>
          <w:b/>
          <w:bCs/>
        </w:rPr>
      </w:pPr>
      <w:r>
        <w:rPr>
          <w:rFonts w:ascii="Times New Roman" w:hAnsi="Times New Roman" w:eastAsia="楷体_GB2312" w:cs="Times New Roman"/>
          <w:b/>
          <w:bCs/>
        </w:rPr>
        <w:t>（五）关于2023年财政支出预算安排说明</w:t>
      </w:r>
    </w:p>
    <w:p>
      <w:pPr>
        <w:spacing w:line="54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2023年，县财政预算支出安排556226万元。安排重点是：“保基本民生、保工资、保运转、防风险”，突出支持乡村振兴、教育、社会保障和就业、医疗卫生、科学技术支出、住房保障和文化体育等各项民生事业发展。</w:t>
      </w:r>
    </w:p>
    <w:p>
      <w:pPr>
        <w:spacing w:line="54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资金来源情况为：地方收入安排155088万元，转移性收入288971万元，专项补助收入23955万元，上年结转与结余收入12539万元，调入预算稳定调节基金32365万元，调入资金60000万元（以上数据详见附表）。</w:t>
      </w:r>
    </w:p>
    <w:p>
      <w:pPr>
        <w:spacing w:line="540" w:lineRule="exact"/>
        <w:ind w:firstLine="640" w:firstLineChars="200"/>
        <w:rPr>
          <w:rFonts w:ascii="Times New Roman" w:hAnsi="Times New Roman" w:eastAsia="黑体" w:cs="Times New Roman"/>
        </w:rPr>
      </w:pPr>
      <w:r>
        <w:rPr>
          <w:rFonts w:ascii="Times New Roman" w:hAnsi="Times New Roman" w:eastAsia="黑体" w:cs="Times New Roman"/>
        </w:rPr>
        <w:t>三、2023年财政工作重点</w:t>
      </w:r>
    </w:p>
    <w:p>
      <w:pPr>
        <w:spacing w:line="54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2023年是全面贯彻党的二十大精神的开局之年，也是实施“十四五”规划承上启下的关键之年，面对宏观经济普遍承压和巨大的不确定性，我们将坚持稳中求进工作总基调，聚焦重点任务，坚定信心、笃行不怠，积极推进2023年全县财政工作高质量发展。</w:t>
      </w:r>
    </w:p>
    <w:p>
      <w:pPr>
        <w:spacing w:line="540" w:lineRule="exact"/>
        <w:ind w:firstLine="643" w:firstLineChars="200"/>
        <w:rPr>
          <w:rFonts w:ascii="Times New Roman" w:hAnsi="Times New Roman" w:eastAsia="楷体_GB2312" w:cs="Times New Roman"/>
          <w:b/>
          <w:bCs/>
        </w:rPr>
      </w:pPr>
      <w:r>
        <w:rPr>
          <w:rFonts w:ascii="Times New Roman" w:hAnsi="Times New Roman" w:eastAsia="楷体_GB2312" w:cs="Times New Roman"/>
          <w:b/>
          <w:bCs/>
        </w:rPr>
        <w:t>（一）大力推进县域经济高质量增长</w:t>
      </w:r>
    </w:p>
    <w:p>
      <w:pPr>
        <w:spacing w:line="540" w:lineRule="exact"/>
        <w:ind w:firstLine="643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一是加大财源培植力度</w:t>
      </w:r>
      <w:r>
        <w:rPr>
          <w:rFonts w:ascii="Times New Roman" w:hAnsi="Times New Roman" w:cs="Times New Roman"/>
        </w:rPr>
        <w:t>。紧紧围绕县委、县政府“四区一花园”重大战略部署，坚持“项目就是财源”的发展理念，加大招商力度，引进一批“大、高、特”项目，增强我县发展潜力，厚植新兴财源。充分发挥建筑业、物流业相关优惠政策作用，扶持壮大做强建筑、物流双总部经济。全力推进循环经济发展，做强做大湖南华信、马钢智信等企业，确保后续财源上台阶。大力发展电子信息制造主导产业，形成以特变电工、得意电子、高致精工为代表的电子信息产业聚集群，帮助企业实现原地倍增。</w:t>
      </w:r>
      <w:r>
        <w:rPr>
          <w:rFonts w:ascii="Times New Roman" w:hAnsi="Times New Roman" w:cs="Times New Roman"/>
          <w:b/>
          <w:bCs/>
        </w:rPr>
        <w:t>二是加大挖潜堵漏力度。</w:t>
      </w:r>
      <w:r>
        <w:rPr>
          <w:rFonts w:ascii="Times New Roman" w:hAnsi="Times New Roman" w:cs="Times New Roman"/>
        </w:rPr>
        <w:t>全面贯彻落实“三高四新”、“2524”财源建设工程，大力推行成品油税控管理。根据湘政办〔2022〕10号文件精神，实施《衡南县关于不动产登记遗留问题处理的实施意见》政策。积极争取新增债券资金，通过县平台公司包装优质项目，将优质资产注入给平台公司，支持公司良性发展。</w:t>
      </w:r>
      <w:r>
        <w:rPr>
          <w:rFonts w:ascii="Times New Roman" w:hAnsi="Times New Roman" w:cs="Times New Roman"/>
          <w:b/>
          <w:bCs/>
        </w:rPr>
        <w:t>三是加大财税征管力度。</w:t>
      </w:r>
      <w:r>
        <w:rPr>
          <w:rFonts w:ascii="Times New Roman" w:hAnsi="Times New Roman" w:cs="Times New Roman"/>
        </w:rPr>
        <w:t>发挥综合治税信息平台比对作用，狠抓税源分析，查漏补缺。加强税源管控力度，强化评估稽查，抓好重点税种、重点企业、重点行业税收征管。开展收入大清查，加大对契税、耕地占用税、土地使用税、房地产等欠税税收</w:t>
      </w:r>
      <w:r>
        <w:rPr>
          <w:rFonts w:ascii="Times New Roman" w:hAnsi="Times New Roman" w:cs="Times New Roman"/>
          <w:spacing w:val="-6"/>
        </w:rPr>
        <w:t>清理力度。加强非税征管力度，加大国土和政务中心老欠清收力度。全面压实各协税护税单位和乡镇责任，将任务分解到各部门，并纳入绩效考核。强化调度，确保财税各项工作落到实处。</w:t>
      </w:r>
    </w:p>
    <w:p>
      <w:pPr>
        <w:spacing w:line="540" w:lineRule="exact"/>
        <w:ind w:firstLine="643" w:firstLineChars="200"/>
        <w:rPr>
          <w:rFonts w:ascii="Times New Roman" w:hAnsi="Times New Roman" w:eastAsia="楷体_GB2312" w:cs="Times New Roman"/>
          <w:b/>
          <w:bCs/>
        </w:rPr>
      </w:pPr>
      <w:r>
        <w:rPr>
          <w:rFonts w:ascii="Times New Roman" w:hAnsi="Times New Roman" w:eastAsia="楷体_GB2312" w:cs="Times New Roman"/>
          <w:b/>
          <w:bCs/>
        </w:rPr>
        <w:t>（二）着力深化财政支出管理改革</w:t>
      </w:r>
    </w:p>
    <w:p>
      <w:pPr>
        <w:spacing w:line="540" w:lineRule="exact"/>
        <w:ind w:firstLine="643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一是完善财政支出保障标准化建设。</w:t>
      </w:r>
      <w:r>
        <w:rPr>
          <w:rFonts w:ascii="Times New Roman" w:hAnsi="Times New Roman" w:cs="Times New Roman"/>
        </w:rPr>
        <w:t>建立以基本支出标准、项目支出标准、重大基本公共服务支出标准为主体的财政支出标准体系，完善人员、公用经费保障机制，健全政府重大投资项目、民生政策项目审核制度，防止由于各类支出政策累加，造成财政支出需求超出财政可承受能力。</w:t>
      </w:r>
      <w:r>
        <w:rPr>
          <w:rFonts w:ascii="Times New Roman" w:hAnsi="Times New Roman" w:cs="Times New Roman"/>
          <w:b/>
          <w:bCs/>
        </w:rPr>
        <w:t>二是严格落实政府“过紧日子”要求。</w:t>
      </w:r>
      <w:r>
        <w:rPr>
          <w:rFonts w:ascii="Times New Roman" w:hAnsi="Times New Roman" w:cs="Times New Roman"/>
        </w:rPr>
        <w:t>完善节约型财政保障机制，集约节约利用政府资源，严格非生产性支出，降低公务活动成本，构建节约型机关。清理完善财政项目库，取消和压减一批过期、低效、无效项目。强化预算绩效管理，对长期未支出、超标准支出和违反规定支出的项目，及时收回资金，对应项目在绩效评价中定为低效或无效等次，压减或取消今后年度的预算安排。</w:t>
      </w:r>
      <w:r>
        <w:rPr>
          <w:rFonts w:ascii="Times New Roman" w:hAnsi="Times New Roman" w:cs="Times New Roman"/>
          <w:b/>
          <w:bCs/>
        </w:rPr>
        <w:t>三是推进专项资金统筹整合。</w:t>
      </w:r>
      <w:r>
        <w:rPr>
          <w:rFonts w:ascii="Times New Roman" w:hAnsi="Times New Roman" w:cs="Times New Roman"/>
        </w:rPr>
        <w:t>完善重大公共项目建设、信息化建设、修缮费和政府购买服务专项设置，将各单位涉及各类基础设施建设、信息化或各类平台建设、机关院落修缮，以及聘请第三方机构或编外人员，统筹纳入上述专项，预算执行中据实拨付，提高财政资金执行率和精准度。</w:t>
      </w:r>
      <w:r>
        <w:rPr>
          <w:rFonts w:ascii="Times New Roman" w:hAnsi="Times New Roman" w:cs="Times New Roman"/>
          <w:b/>
          <w:bCs/>
        </w:rPr>
        <w:t>四是健全财政评审制度。</w:t>
      </w:r>
      <w:r>
        <w:rPr>
          <w:rFonts w:ascii="Times New Roman" w:hAnsi="Times New Roman" w:cs="Times New Roman"/>
        </w:rPr>
        <w:t>进一步完善投资评审操作规程和评审程序，规范评审业务运行管理，统一评审标准，持续提升评审质效。</w:t>
      </w:r>
      <w:r>
        <w:rPr>
          <w:rFonts w:ascii="Times New Roman" w:hAnsi="Times New Roman" w:cs="Times New Roman"/>
          <w:b/>
          <w:bCs/>
        </w:rPr>
        <w:t>五是加强政府采购管理。</w:t>
      </w:r>
      <w:r>
        <w:rPr>
          <w:rFonts w:ascii="Times New Roman" w:hAnsi="Times New Roman" w:cs="Times New Roman"/>
        </w:rPr>
        <w:t>不断完善政府采购机制，优化采购组织方式，提高采购绩效，</w:t>
      </w:r>
      <w:r>
        <w:rPr>
          <w:rFonts w:ascii="Times New Roman" w:hAnsi="Times New Roman" w:cs="Times New Roman"/>
          <w:spacing w:val="-6"/>
        </w:rPr>
        <w:t>推动绿色采购发展，依法保障各类市场主体公平参与政府采购竞争，持续优化政府采购营商环境。</w:t>
      </w:r>
      <w:r>
        <w:rPr>
          <w:rFonts w:ascii="Times New Roman" w:hAnsi="Times New Roman" w:cs="Times New Roman"/>
          <w:b/>
          <w:bCs/>
          <w:spacing w:val="-6"/>
        </w:rPr>
        <w:t>六是规范预决算公开。</w:t>
      </w:r>
      <w:r>
        <w:rPr>
          <w:rFonts w:ascii="Times New Roman" w:hAnsi="Times New Roman" w:cs="Times New Roman"/>
          <w:spacing w:val="-6"/>
        </w:rPr>
        <w:t>严格按照法定要求、规范格式公开政府和部门的预决算，主动接受人民群众的监督，提升政府预算的透明度，着力推动阳光财政建设。</w:t>
      </w:r>
    </w:p>
    <w:p>
      <w:pPr>
        <w:spacing w:line="540" w:lineRule="exact"/>
        <w:ind w:firstLine="643" w:firstLineChars="200"/>
        <w:rPr>
          <w:rFonts w:ascii="Times New Roman" w:hAnsi="Times New Roman" w:eastAsia="楷体_GB2312" w:cs="Times New Roman"/>
          <w:b/>
          <w:bCs/>
        </w:rPr>
      </w:pPr>
      <w:r>
        <w:rPr>
          <w:rFonts w:ascii="Times New Roman" w:hAnsi="Times New Roman" w:eastAsia="楷体_GB2312" w:cs="Times New Roman"/>
          <w:b/>
          <w:bCs/>
        </w:rPr>
        <w:t>（三）聚力防化财政运行重大风险</w:t>
      </w:r>
    </w:p>
    <w:p>
      <w:pPr>
        <w:spacing w:line="540" w:lineRule="exact"/>
        <w:ind w:firstLine="643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一是强化财政运行风险防控。</w:t>
      </w:r>
      <w:r>
        <w:rPr>
          <w:rFonts w:ascii="Times New Roman" w:hAnsi="Times New Roman" w:cs="Times New Roman"/>
        </w:rPr>
        <w:t>科学制定一般公共预算、政府性基金预算、国有资本经营预算收入预期，严禁以支定收，严禁编列虚假平衡的赤字预算；完善财政保障制度，兜牢兜实“三保”等刚性支出；加强社保基金管理，促进收支平衡。</w:t>
      </w:r>
      <w:r>
        <w:rPr>
          <w:rFonts w:ascii="Times New Roman" w:hAnsi="Times New Roman" w:cs="Times New Roman"/>
          <w:b/>
          <w:bCs/>
        </w:rPr>
        <w:t>二是严格债券资金使用管理。</w:t>
      </w:r>
      <w:r>
        <w:rPr>
          <w:rFonts w:ascii="Times New Roman" w:hAnsi="Times New Roman" w:cs="Times New Roman"/>
        </w:rPr>
        <w:t>严格执行政府债务限额管理和预算管理。提前谋划债券项目储备，理顺部门债券管理的权责关系。认真做好各项审计反馈问题整改工作，并以此为契机建立健全债券资金管理长效机制，统筹兼顾债券项目实施与全县经济社会大局稳定，突出做好债券发行的项目储备、项目审核、申报发行、资金监管等工作，用好用活债券资金，有效规避财政运行风险，切实发挥政府债券对地方扩内需、稳增长、惠民生的促进作用。</w:t>
      </w:r>
      <w:r>
        <w:rPr>
          <w:rFonts w:ascii="Times New Roman" w:hAnsi="Times New Roman" w:cs="Times New Roman"/>
          <w:b/>
          <w:bCs/>
        </w:rPr>
        <w:t>三是提升国库库款管理水平。</w:t>
      </w:r>
      <w:r>
        <w:rPr>
          <w:rFonts w:ascii="Times New Roman" w:hAnsi="Times New Roman" w:cs="Times New Roman"/>
        </w:rPr>
        <w:t>严格支出保障顺序，确保库款保障系数水平维持在合理区间；完善库款调度机制，规范库款往来，提高库款调度和转移支付吻合度；加强国库暂付款管理，年底实行存量控制、只减不增；严禁将库款资金违规拨入财政专户、特设账户，定期清理违规资金并全额收回财政统筹。</w:t>
      </w:r>
      <w:r>
        <w:rPr>
          <w:rFonts w:ascii="Times New Roman" w:hAnsi="Times New Roman" w:cs="Times New Roman"/>
          <w:b/>
          <w:bCs/>
          <w:color w:val="000000" w:themeColor="text1"/>
          <w14:textFill>
            <w14:solidFill>
              <w14:schemeClr w14:val="tx1"/>
            </w14:solidFill>
          </w14:textFill>
        </w:rPr>
        <w:t>四是强化预算绩效运用。</w:t>
      </w:r>
      <w:r>
        <w:rPr>
          <w:rFonts w:ascii="Times New Roman" w:hAnsi="Times New Roman" w:cs="Times New Roman"/>
        </w:rPr>
        <w:t>对重大政策、重点项目开展事前绩效评估和财政重点绩效运行监控，用好绩效评价结果，形成评价、反馈、整改、提升良性循环。</w:t>
      </w:r>
    </w:p>
    <w:p>
      <w:pPr>
        <w:spacing w:line="54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各位代表，2023年我们将在县委的坚强领导下，在县人大、县政协的监督支持下，守正创新，埋头苦干，扛牢政治责任，弘扬斗争精神，为建设现代化新衡南和加快建成“四区一花园”作出新的更大贡献！</w:t>
      </w:r>
    </w:p>
    <w:p>
      <w:pPr>
        <w:spacing w:line="220" w:lineRule="exact"/>
        <w:ind w:firstLine="640" w:firstLineChars="200"/>
        <w:rPr>
          <w:rFonts w:ascii="Times New Roman" w:hAnsi="Times New Roman" w:cs="Times New Roman"/>
        </w:rPr>
      </w:pPr>
    </w:p>
    <w:p>
      <w:pPr>
        <w:spacing w:line="56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附件：1、2022年衡南县财政收入完成情况表</w:t>
      </w:r>
    </w:p>
    <w:p>
      <w:pPr>
        <w:spacing w:line="560" w:lineRule="exact"/>
        <w:ind w:firstLine="1600" w:firstLineChars="5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2、2022年衡南县财政支出完成情况表</w:t>
      </w:r>
    </w:p>
    <w:p>
      <w:pPr>
        <w:spacing w:line="560" w:lineRule="exact"/>
        <w:ind w:firstLine="1600" w:firstLineChars="5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3、2023年衡南县财政收入预算表（草案）</w:t>
      </w:r>
    </w:p>
    <w:p>
      <w:pPr>
        <w:spacing w:line="560" w:lineRule="exact"/>
        <w:ind w:firstLine="1600" w:firstLineChars="5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4、2023年衡南县财政支出预算表（草案）</w:t>
      </w:r>
    </w:p>
    <w:p>
      <w:pPr>
        <w:spacing w:line="560" w:lineRule="exact"/>
        <w:ind w:firstLine="1600" w:firstLineChars="5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5、2023年衡南县财政收支平衡表（草案）</w:t>
      </w:r>
    </w:p>
    <w:p>
      <w:pPr>
        <w:spacing w:line="560" w:lineRule="exact"/>
        <w:ind w:firstLine="1600" w:firstLineChars="5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6、2023年衡南县国有资本经营预算表（草案）</w:t>
      </w:r>
    </w:p>
    <w:p>
      <w:pPr>
        <w:spacing w:line="560" w:lineRule="exact"/>
        <w:ind w:firstLine="1600" w:firstLineChars="5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7、2023年衡南县政府性基金预算表（草案）</w:t>
      </w:r>
    </w:p>
    <w:p>
      <w:pPr>
        <w:spacing w:line="560" w:lineRule="exact"/>
        <w:ind w:firstLine="1600" w:firstLineChars="5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8、2023年衡南县社会保险基金预算表（草案）</w:t>
      </w:r>
    </w:p>
    <w:p>
      <w:pPr>
        <w:pStyle w:val="2"/>
        <w:ind w:left="640" w:firstLine="600"/>
        <w:rPr>
          <w:rFonts w:ascii="Times New Roman" w:hAnsi="Times New Roman" w:cs="Times New Roman"/>
        </w:rPr>
      </w:pPr>
    </w:p>
    <w:p>
      <w:pPr>
        <w:spacing w:line="880" w:lineRule="exact"/>
        <w:rPr>
          <w:rFonts w:ascii="Times New Roman" w:hAnsi="Times New Roman" w:cs="Times New Roman"/>
          <w:u w:val="single"/>
        </w:rPr>
      </w:pPr>
    </w:p>
    <w:p>
      <w:pPr>
        <w:spacing w:line="880" w:lineRule="exact"/>
        <w:rPr>
          <w:rFonts w:ascii="Times New Roman" w:hAnsi="Times New Roman" w:cs="Times New Roman"/>
          <w:u w:val="single"/>
        </w:rPr>
      </w:pPr>
    </w:p>
    <w:p>
      <w:pPr>
        <w:spacing w:line="880" w:lineRule="exact"/>
        <w:rPr>
          <w:rFonts w:ascii="Times New Roman" w:hAnsi="Times New Roman" w:cs="Times New Roman"/>
          <w:u w:val="single"/>
        </w:rPr>
      </w:pPr>
    </w:p>
    <w:p>
      <w:pPr>
        <w:spacing w:line="880" w:lineRule="exact"/>
        <w:rPr>
          <w:rFonts w:hint="eastAsia" w:ascii="Times New Roman" w:hAnsi="Times New Roman" w:cs="Times New Roman"/>
          <w:u w:val="single"/>
        </w:rPr>
      </w:pPr>
    </w:p>
    <w:p>
      <w:pPr>
        <w:pStyle w:val="2"/>
        <w:rPr>
          <w:rFonts w:hint="eastAsia"/>
        </w:rPr>
      </w:pPr>
      <w:bookmarkStart w:id="0" w:name="_GoBack"/>
      <w:bookmarkEnd w:id="0"/>
    </w:p>
    <w:p>
      <w:pPr>
        <w:spacing w:line="880" w:lineRule="exact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 xml:space="preserve">                                                      </w:t>
      </w:r>
    </w:p>
    <w:p>
      <w:pPr>
        <w:spacing w:line="620" w:lineRule="exact"/>
        <w:ind w:left="464" w:hanging="464" w:hangingChars="145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 xml:space="preserve">县十八届人大三次会议秘书处            2023年3月6日印  </w:t>
      </w:r>
    </w:p>
    <w:p>
      <w:pPr>
        <w:spacing w:line="50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 xml:space="preserve">                                          共印1000份  </w:t>
      </w:r>
    </w:p>
    <w:p>
      <w:pPr>
        <w:spacing w:line="420" w:lineRule="exact"/>
        <w:rPr>
          <w:rFonts w:ascii="Times New Roman" w:hAnsi="Times New Roman" w:eastAsia="黑体" w:cs="Times New Roman"/>
        </w:rPr>
      </w:pPr>
      <w:r>
        <w:rPr>
          <w:rFonts w:ascii="Times New Roman" w:hAnsi="Times New Roman" w:eastAsia="黑体" w:cs="Times New Roman"/>
        </w:rPr>
        <w:t>附件1</w:t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</w:p>
    <w:p>
      <w:pPr>
        <w:spacing w:line="500" w:lineRule="exact"/>
        <w:jc w:val="center"/>
        <w:rPr>
          <w:rFonts w:ascii="Times New Roman" w:hAnsi="Times New Roman" w:eastAsia="华文中宋" w:cs="Times New Roman"/>
          <w:sz w:val="42"/>
          <w:szCs w:val="42"/>
        </w:rPr>
      </w:pPr>
      <w:r>
        <w:rPr>
          <w:rFonts w:ascii="Times New Roman" w:hAnsi="Times New Roman" w:eastAsia="华文中宋" w:cs="Times New Roman"/>
          <w:sz w:val="42"/>
          <w:szCs w:val="42"/>
        </w:rPr>
        <w:t>2022年衡南县财政收入完成情况表</w:t>
      </w:r>
    </w:p>
    <w:p>
      <w:pPr>
        <w:spacing w:line="400" w:lineRule="exac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单位：万元</w:t>
      </w:r>
    </w:p>
    <w:tbl>
      <w:tblPr>
        <w:tblStyle w:val="8"/>
        <w:tblW w:w="8590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5"/>
        <w:gridCol w:w="1215"/>
        <w:gridCol w:w="1110"/>
        <w:gridCol w:w="1155"/>
        <w:gridCol w:w="1005"/>
        <w:gridCol w:w="10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Style w:val="13"/>
                <w:rFonts w:hint="default" w:ascii="Times New Roman" w:hAnsi="Times New Roman" w:eastAsia="黑体" w:cs="Times New Roman"/>
                <w:lang w:bidi="ar"/>
              </w:rPr>
              <w:t>项</w:t>
            </w:r>
            <w:r>
              <w:rPr>
                <w:rStyle w:val="14"/>
                <w:rFonts w:eastAsia="黑体"/>
                <w:lang w:bidi="ar"/>
              </w:rPr>
              <w:t xml:space="preserve">    </w:t>
            </w:r>
            <w:r>
              <w:rPr>
                <w:rStyle w:val="13"/>
                <w:rFonts w:hint="default" w:ascii="Times New Roman" w:hAnsi="Times New Roman" w:eastAsia="黑体" w:cs="Times New Roman"/>
                <w:lang w:bidi="ar"/>
              </w:rPr>
              <w:t>目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2022</w:t>
            </w:r>
            <w:r>
              <w:rPr>
                <w:rStyle w:val="13"/>
                <w:rFonts w:hint="default" w:ascii="Times New Roman" w:hAnsi="Times New Roman" w:eastAsia="黑体" w:cs="Times New Roman"/>
                <w:lang w:bidi="ar"/>
              </w:rPr>
              <w:t>年</w:t>
            </w:r>
            <w:r>
              <w:rPr>
                <w:rStyle w:val="14"/>
                <w:rFonts w:eastAsia="黑体"/>
                <w:lang w:bidi="ar"/>
              </w:rPr>
              <w:br w:type="textWrapping"/>
            </w:r>
            <w:r>
              <w:rPr>
                <w:rStyle w:val="13"/>
                <w:rFonts w:hint="default" w:ascii="Times New Roman" w:hAnsi="Times New Roman" w:eastAsia="黑体" w:cs="Times New Roman"/>
                <w:lang w:bidi="ar"/>
              </w:rPr>
              <w:t>完成数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2021</w:t>
            </w:r>
            <w:r>
              <w:rPr>
                <w:rStyle w:val="13"/>
                <w:rFonts w:hint="default" w:ascii="Times New Roman" w:hAnsi="Times New Roman" w:eastAsia="黑体" w:cs="Times New Roman"/>
                <w:lang w:bidi="ar"/>
              </w:rPr>
              <w:t>年</w:t>
            </w:r>
            <w:r>
              <w:rPr>
                <w:rStyle w:val="14"/>
                <w:rFonts w:eastAsia="黑体"/>
                <w:lang w:bidi="ar"/>
              </w:rPr>
              <w:br w:type="textWrapping"/>
            </w:r>
            <w:r>
              <w:rPr>
                <w:rStyle w:val="13"/>
                <w:rFonts w:hint="default" w:ascii="Times New Roman" w:hAnsi="Times New Roman" w:eastAsia="黑体" w:cs="Times New Roman"/>
                <w:lang w:bidi="ar"/>
              </w:rPr>
              <w:t>完成数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Style w:val="13"/>
                <w:rFonts w:hint="default" w:ascii="Times New Roman" w:hAnsi="Times New Roman" w:eastAsia="黑体" w:cs="Times New Roman"/>
                <w:lang w:bidi="ar"/>
              </w:rPr>
              <w:t>比上年</w:t>
            </w:r>
            <w:r>
              <w:rPr>
                <w:rStyle w:val="14"/>
                <w:rFonts w:eastAsia="黑体"/>
                <w:lang w:bidi="ar"/>
              </w:rPr>
              <w:br w:type="textWrapping"/>
            </w:r>
            <w:r>
              <w:rPr>
                <w:rStyle w:val="13"/>
                <w:rFonts w:hint="default" w:ascii="Times New Roman" w:hAnsi="Times New Roman" w:eastAsia="黑体" w:cs="Times New Roman"/>
                <w:lang w:bidi="ar"/>
              </w:rPr>
              <w:t>增减额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Style w:val="13"/>
                <w:rFonts w:hint="default" w:ascii="Times New Roman" w:hAnsi="Times New Roman" w:eastAsia="黑体" w:cs="Times New Roman"/>
                <w:lang w:bidi="ar"/>
              </w:rPr>
              <w:t>比上年</w:t>
            </w:r>
            <w:r>
              <w:rPr>
                <w:rStyle w:val="14"/>
                <w:rFonts w:eastAsia="黑体"/>
                <w:lang w:bidi="ar"/>
              </w:rPr>
              <w:br w:type="textWrapping"/>
            </w:r>
            <w:r>
              <w:rPr>
                <w:rStyle w:val="13"/>
                <w:rFonts w:hint="default" w:ascii="Times New Roman" w:hAnsi="Times New Roman" w:eastAsia="黑体" w:cs="Times New Roman"/>
                <w:lang w:bidi="ar"/>
              </w:rPr>
              <w:t>增减</w:t>
            </w:r>
            <w:r>
              <w:rPr>
                <w:rStyle w:val="14"/>
                <w:rFonts w:eastAsia="黑体"/>
                <w:lang w:bidi="ar"/>
              </w:rPr>
              <w:t>%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Style w:val="13"/>
                <w:rFonts w:hint="default" w:ascii="Times New Roman" w:hAnsi="Times New Roman" w:eastAsia="黑体" w:cs="Times New Roman"/>
                <w:lang w:bidi="ar"/>
              </w:rPr>
              <w:t>备</w:t>
            </w:r>
            <w:r>
              <w:rPr>
                <w:rStyle w:val="14"/>
                <w:rFonts w:eastAsia="黑体"/>
                <w:lang w:bidi="ar"/>
              </w:rPr>
              <w:t xml:space="preserve">  </w:t>
            </w:r>
            <w:r>
              <w:rPr>
                <w:rStyle w:val="13"/>
                <w:rFonts w:hint="default" w:ascii="Times New Roman" w:hAnsi="Times New Roman" w:eastAsia="黑体" w:cs="Times New Roman"/>
                <w:lang w:bidi="ar"/>
              </w:rPr>
              <w:t>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15"/>
                <w:rFonts w:hint="default" w:ascii="Times New Roman" w:hAnsi="Times New Roman" w:cs="Times New Roman"/>
                <w:sz w:val="20"/>
                <w:szCs w:val="20"/>
                <w:lang w:bidi="ar"/>
              </w:rPr>
              <w:t>一、地方收入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145775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127913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17862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13.96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</w:t>
            </w: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、税收收入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102299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91533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10766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11.76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国内增值税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20927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22867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-1940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-8.48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企业所得税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5337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7287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-1950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-26.76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个人所得税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1731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2166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-435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-20.08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资源税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1661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1329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332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24.98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城市维护建设税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2249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3200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-951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-29.72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房产税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1921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1716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205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11.95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印花税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1281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1166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115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9.86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城镇土地使用税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4954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5424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-470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-8.67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土地增值税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42965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31141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11824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37.97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车船税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997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82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8.22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耕地占用税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7577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2415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5162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213.75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契税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9056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10739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-1683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-15.67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烟叶税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1410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1012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398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39.3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环境保护税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77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</w:t>
            </w: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、非税收入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43476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36380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7096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19.51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专项收入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8042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7015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1027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14.64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行政事业性收费收入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2336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6542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-4206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-64.29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罚没收入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16953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10479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6474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61.78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国有资本经营收入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3990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3990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国有资源</w:t>
            </w:r>
            <w:r>
              <w:rPr>
                <w:rStyle w:val="14"/>
                <w:rFonts w:eastAsia="宋体"/>
                <w:sz w:val="20"/>
                <w:szCs w:val="20"/>
                <w:lang w:bidi="ar"/>
              </w:rPr>
              <w:t>(</w:t>
            </w: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资产</w:t>
            </w:r>
            <w:r>
              <w:rPr>
                <w:rStyle w:val="14"/>
                <w:rFonts w:eastAsia="宋体"/>
                <w:sz w:val="20"/>
                <w:szCs w:val="20"/>
                <w:lang w:bidi="ar"/>
              </w:rPr>
              <w:t>)</w:t>
            </w: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有偿使用收入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9658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8554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1104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12.91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其他收入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2497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3790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-1293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-34.12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15"/>
                <w:rFonts w:hint="default" w:ascii="Times New Roman" w:hAnsi="Times New Roman" w:cs="Times New Roman"/>
                <w:sz w:val="20"/>
                <w:szCs w:val="20"/>
                <w:lang w:bidi="ar"/>
              </w:rPr>
              <w:t>二、上划中央收入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43068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51952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-8884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-17.10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上划中央</w:t>
            </w:r>
            <w:r>
              <w:rPr>
                <w:rStyle w:val="14"/>
                <w:rFonts w:eastAsia="宋体"/>
                <w:sz w:val="20"/>
                <w:szCs w:val="20"/>
                <w:lang w:bidi="ar"/>
              </w:rPr>
              <w:t>“</w:t>
            </w: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两税</w:t>
            </w:r>
            <w:r>
              <w:rPr>
                <w:rStyle w:val="14"/>
                <w:rFonts w:eastAsia="宋体"/>
                <w:sz w:val="20"/>
                <w:szCs w:val="20"/>
                <w:lang w:bidi="ar"/>
              </w:rPr>
              <w:t>”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27923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31694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-3771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-11.90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上划中央所得税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15145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20258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-5113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-25.24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15"/>
                <w:rFonts w:hint="default" w:ascii="Times New Roman" w:hAnsi="Times New Roman" w:cs="Times New Roman"/>
                <w:sz w:val="20"/>
                <w:szCs w:val="20"/>
                <w:lang w:bidi="ar"/>
              </w:rPr>
              <w:t>三、上划省收入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12747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14062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-1315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-9.35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上划省增值税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6976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7210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-234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-3.25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上划所得税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3029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4052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-1023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-25.25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上划资源税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443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111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25.06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上划土地使用税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2123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2325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-202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-8.69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13"/>
                <w:rFonts w:hint="default" w:ascii="Times New Roman" w:hAnsi="Times New Roman" w:cs="Times New Roman"/>
                <w:sz w:val="20"/>
                <w:szCs w:val="20"/>
                <w:lang w:bidi="ar"/>
              </w:rPr>
              <w:t>上划省级环境保护税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33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103.13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3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15"/>
                <w:rFonts w:hint="default" w:ascii="Times New Roman" w:hAnsi="Times New Roman" w:cs="Times New Roman"/>
                <w:sz w:val="20"/>
                <w:szCs w:val="20"/>
                <w:lang w:bidi="ar"/>
              </w:rPr>
              <w:t>一般公共预算收入合计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201590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193927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7663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3.95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</w:tbl>
    <w:p>
      <w:pPr>
        <w:spacing w:line="500" w:lineRule="exact"/>
        <w:rPr>
          <w:rFonts w:ascii="Times New Roman" w:hAnsi="Times New Roman" w:eastAsia="黑体" w:cs="Times New Roman"/>
        </w:rPr>
      </w:pPr>
      <w:r>
        <w:rPr>
          <w:rFonts w:ascii="Times New Roman" w:hAnsi="Times New Roman" w:eastAsia="黑体" w:cs="Times New Roman"/>
        </w:rPr>
        <w:t>附件2</w:t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</w:p>
    <w:p>
      <w:pPr>
        <w:spacing w:line="500" w:lineRule="exact"/>
        <w:jc w:val="center"/>
        <w:rPr>
          <w:rFonts w:ascii="Times New Roman" w:hAnsi="Times New Roman" w:eastAsia="华文中宋" w:cs="Times New Roman"/>
          <w:sz w:val="42"/>
          <w:szCs w:val="42"/>
        </w:rPr>
      </w:pPr>
      <w:r>
        <w:rPr>
          <w:rFonts w:ascii="Times New Roman" w:hAnsi="Times New Roman" w:eastAsia="华文中宋" w:cs="Times New Roman"/>
          <w:sz w:val="42"/>
          <w:szCs w:val="42"/>
        </w:rPr>
        <w:t>2022年衡南县财政支出完成情况表</w:t>
      </w:r>
    </w:p>
    <w:p>
      <w:pPr>
        <w:spacing w:line="500" w:lineRule="exac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单位：万元</w:t>
      </w:r>
    </w:p>
    <w:tbl>
      <w:tblPr>
        <w:tblStyle w:val="8"/>
        <w:tblW w:w="8482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14"/>
        <w:gridCol w:w="1050"/>
        <w:gridCol w:w="1095"/>
        <w:gridCol w:w="1110"/>
        <w:gridCol w:w="1065"/>
        <w:gridCol w:w="94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项    目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2022年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br w:type="textWrapping"/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完成数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2021年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br w:type="textWrapping"/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完成数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比上年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br w:type="textWrapping"/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增减额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比上年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br w:type="textWrapping"/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增减%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备  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一、一般公共服务支出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74858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55292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19566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35.39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二、国防支出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261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-36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-12.1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三、公共安全支出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20972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19258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1714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8.90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四、教育支出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114578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109955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4623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4.20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五、科学技术支出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10279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6539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3740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57.2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六、文化旅游体育与传媒支出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4503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6378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-1875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-29.40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七、社会保障和就业支出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101675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129697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-28022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-21.61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八、卫生健康支出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94076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92081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1995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2.17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九、节能环保支出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8446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7183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1263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17.58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十、城乡社区支出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46854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17062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29792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174.61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十一、农林水支出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109755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104291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5464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5.24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十二、交通运输支出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21892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15662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6230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39.78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十三、资源勘探信息等支出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2806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6619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-3813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-57.61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十四、商业服务业等支出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3711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4712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-1001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-21.24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十五、金融支出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633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578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1050.91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十六、自然资源海洋气象等支出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6040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4529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1511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33.4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十七、住房保障支出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18507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25431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-6924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-27.23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十八、粮油物资储备支出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3000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3881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-881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-22.70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十九、灾害防治及应急管理支出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3936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3513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423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12.04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二十、债务付息支出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9581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9225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356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3.86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二十一、其他支出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1270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570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81.43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1" w:firstLineChars="100"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16"/>
                <w:rFonts w:hint="default" w:ascii="Times New Roman" w:hAnsi="Times New Roman" w:cs="Times New Roman"/>
                <w:sz w:val="20"/>
                <w:szCs w:val="20"/>
                <w:lang w:bidi="ar"/>
              </w:rPr>
              <w:t>一般公共预算支出合计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657633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622360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35273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5.67</w:t>
            </w:r>
          </w:p>
        </w:tc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</w:tbl>
    <w:p>
      <w:pPr>
        <w:spacing w:line="400" w:lineRule="exact"/>
        <w:rPr>
          <w:rFonts w:ascii="Times New Roman" w:hAnsi="Times New Roman" w:eastAsia="黑体" w:cs="Times New Roman"/>
        </w:rPr>
      </w:pPr>
      <w:r>
        <w:rPr>
          <w:rFonts w:ascii="Times New Roman" w:hAnsi="Times New Roman" w:eastAsia="黑体" w:cs="Times New Roman"/>
        </w:rPr>
        <w:t>附件3</w:t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</w:p>
    <w:p>
      <w:pPr>
        <w:spacing w:line="480" w:lineRule="exact"/>
        <w:jc w:val="center"/>
        <w:rPr>
          <w:rFonts w:ascii="Times New Roman" w:hAnsi="Times New Roman" w:eastAsia="华文中宋" w:cs="Times New Roman"/>
          <w:sz w:val="42"/>
          <w:szCs w:val="42"/>
        </w:rPr>
      </w:pPr>
      <w:r>
        <w:rPr>
          <w:rFonts w:ascii="Times New Roman" w:hAnsi="Times New Roman" w:eastAsia="华文中宋" w:cs="Times New Roman"/>
          <w:sz w:val="42"/>
          <w:szCs w:val="42"/>
        </w:rPr>
        <w:t>2023年衡南县财政收入预算表（草案）</w:t>
      </w:r>
    </w:p>
    <w:p>
      <w:pPr>
        <w:spacing w:line="360" w:lineRule="exac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单位：万元</w:t>
      </w:r>
    </w:p>
    <w:tbl>
      <w:tblPr>
        <w:tblStyle w:val="8"/>
        <w:tblW w:w="8608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0"/>
        <w:gridCol w:w="1065"/>
        <w:gridCol w:w="1140"/>
        <w:gridCol w:w="1095"/>
        <w:gridCol w:w="1110"/>
        <w:gridCol w:w="9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项    目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2023年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br w:type="textWrapping"/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预算数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2022年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br w:type="textWrapping"/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完成数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比上年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br w:type="textWrapping"/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增减额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比上年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br w:type="textWrapping"/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增减%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备  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一、地方收入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155088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145775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9313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6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1、税收收入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109188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102299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6889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6.73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国内增值税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22083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20927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1156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营业税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企业所得税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5857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5337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9.74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个人所得税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1891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1731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9.24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资源税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1773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1661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6.74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城市维护建设税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2391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2249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房产税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2037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1921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6.04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印花税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1358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1281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6.01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城镇土地使用税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5252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4955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5.99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土地增值税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45543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42965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2578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车船税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1139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1078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5.66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耕地占用税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8671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7577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14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契税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9599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9056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6.00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烟叶税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1439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1410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2.06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环境保护税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155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151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2.65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2、非税收入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45900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43476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2424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5.58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专项收入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8271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8042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2.85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行政事业性收费收入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2417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2336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3.47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罚没收入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17967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16953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5.98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国有资本经营收入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4331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3990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8.55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国有资源(资产)有偿使用收入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10463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9658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8.34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其他收入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2451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2497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-1.84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二、上划中央收入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46047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43068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2979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6.92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上划中央“两税”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29444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27923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1521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5.45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上划中央所得税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16603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15145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1458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9.63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上划中央营业税清欠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三、上划省收入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13590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12747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843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6.61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上划省增值税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7361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6976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5.52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上划省级清欠营业税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上划所得税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3321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3029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9.64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上划资源税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591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554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6.68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上划土地使用税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2251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2123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6.03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上划省级环境保护税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66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65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1.54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3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一般公共预算收入合计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214725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201590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13135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6.5</w:t>
            </w:r>
          </w:p>
        </w:tc>
        <w:tc>
          <w:tcPr>
            <w:tcW w:w="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</w:tbl>
    <w:p>
      <w:pPr>
        <w:spacing w:line="580" w:lineRule="exact"/>
        <w:rPr>
          <w:rFonts w:ascii="Times New Roman" w:hAnsi="Times New Roman" w:eastAsia="黑体" w:cs="Times New Roman"/>
        </w:rPr>
      </w:pPr>
      <w:r>
        <w:rPr>
          <w:rFonts w:ascii="Times New Roman" w:hAnsi="Times New Roman" w:eastAsia="黑体" w:cs="Times New Roman"/>
        </w:rPr>
        <w:t>附件4</w:t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</w:p>
    <w:p>
      <w:pPr>
        <w:spacing w:line="580" w:lineRule="exact"/>
        <w:jc w:val="center"/>
        <w:rPr>
          <w:rFonts w:ascii="Times New Roman" w:hAnsi="Times New Roman" w:eastAsia="华文中宋" w:cs="Times New Roman"/>
          <w:sz w:val="42"/>
          <w:szCs w:val="42"/>
        </w:rPr>
      </w:pPr>
      <w:r>
        <w:rPr>
          <w:rFonts w:ascii="Times New Roman" w:hAnsi="Times New Roman" w:eastAsia="华文中宋" w:cs="Times New Roman"/>
          <w:sz w:val="42"/>
          <w:szCs w:val="42"/>
        </w:rPr>
        <w:t>2023年衡南县财政支出预算表（草案）</w:t>
      </w:r>
    </w:p>
    <w:p>
      <w:pPr>
        <w:spacing w:line="580" w:lineRule="exac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单位：万元</w:t>
      </w:r>
    </w:p>
    <w:tbl>
      <w:tblPr>
        <w:tblStyle w:val="8"/>
        <w:tblW w:w="8449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14"/>
        <w:gridCol w:w="975"/>
        <w:gridCol w:w="1110"/>
        <w:gridCol w:w="1020"/>
        <w:gridCol w:w="1050"/>
        <w:gridCol w:w="10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项    目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2023年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br w:type="textWrapping"/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预算数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2022年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br w:type="textWrapping"/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完成数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比上年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br w:type="textWrapping"/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增减额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比上年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br w:type="textWrapping"/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增减%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备  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一、一般公共服务支出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67095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74872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-7777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-10.4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二、国防支出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261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25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9.58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三、公共安全支出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18081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20971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-2890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-13.8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四、教育支出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105600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114578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-8978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-7.84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五、科学技术支出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9780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10280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-500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-4.86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六、文化旅游体育与传媒支出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4100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4502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-402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-8.93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七、社会保障和就业支出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91035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101275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-10240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-10.11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八、卫生健康支出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83195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94476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-11281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-11.94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九、节能环保支出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6500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8446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-1946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-23.04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十、城乡社区支出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40331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46854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-6523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-13.92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十一、农林水支出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92711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109756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-17045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-15.5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十二、交通运输支出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21892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-8767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-40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十三、资源勘探信息等支出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2365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2807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-442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-15.75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十四、商业服务业等支出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2613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3711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-1098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-29.59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十五、金融支出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633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-430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-67.93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十六、自然资源海洋气象等支出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4043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6041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-1998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-33.07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十七、住房保障支出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15241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18506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-3265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-17.64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十八、粮油物资储备支出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3439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3000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439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14.63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十九、灾害防治及应急管理支出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3138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3936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-798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-20.27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二十、债务付息支出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9581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277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2.89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二十一、其他支出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1270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-1091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-85.91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3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201" w:firstLineChars="100"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一般公共预算支出合计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572918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657648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-84730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-12.88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</w:tbl>
    <w:p>
      <w:pPr>
        <w:spacing w:line="580" w:lineRule="exact"/>
        <w:rPr>
          <w:rFonts w:ascii="Times New Roman" w:hAnsi="Times New Roman" w:eastAsia="黑体" w:cs="Times New Roman"/>
        </w:rPr>
      </w:pPr>
      <w:r>
        <w:rPr>
          <w:rFonts w:ascii="Times New Roman" w:hAnsi="Times New Roman" w:eastAsia="黑体" w:cs="Times New Roman"/>
        </w:rPr>
        <w:t>附件5</w:t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</w:p>
    <w:p>
      <w:pPr>
        <w:spacing w:line="580" w:lineRule="exact"/>
        <w:jc w:val="center"/>
        <w:rPr>
          <w:rFonts w:ascii="Times New Roman" w:hAnsi="Times New Roman" w:eastAsia="华文中宋" w:cs="Times New Roman"/>
          <w:sz w:val="42"/>
          <w:szCs w:val="42"/>
        </w:rPr>
      </w:pPr>
      <w:r>
        <w:rPr>
          <w:rFonts w:ascii="Times New Roman" w:hAnsi="Times New Roman" w:eastAsia="华文中宋" w:cs="Times New Roman"/>
          <w:sz w:val="42"/>
          <w:szCs w:val="42"/>
        </w:rPr>
        <w:t>2023年衡南县财政收支平衡表（草案）</w:t>
      </w:r>
    </w:p>
    <w:p>
      <w:pPr>
        <w:spacing w:line="580" w:lineRule="exac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单位:万元 </w:t>
      </w:r>
    </w:p>
    <w:tbl>
      <w:tblPr>
        <w:tblStyle w:val="8"/>
        <w:tblW w:w="8605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75"/>
        <w:gridCol w:w="1440"/>
        <w:gridCol w:w="1890"/>
        <w:gridCol w:w="15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5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收　　　　　入</w:t>
            </w:r>
          </w:p>
        </w:tc>
        <w:tc>
          <w:tcPr>
            <w:tcW w:w="33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支　　　　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项</w:t>
            </w:r>
            <w:r>
              <w:rPr>
                <w:rStyle w:val="18"/>
                <w:rFonts w:eastAsia="黑体"/>
                <w:lang w:bidi="ar"/>
              </w:rPr>
              <w:t xml:space="preserve">    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目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2023年预算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项</w:t>
            </w:r>
            <w:r>
              <w:rPr>
                <w:rStyle w:val="18"/>
                <w:rFonts w:eastAsia="黑体"/>
                <w:lang w:bidi="ar"/>
              </w:rPr>
              <w:t xml:space="preserve">    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目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 xml:space="preserve"> 2023年预算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19"/>
                <w:rFonts w:hint="default" w:ascii="Times New Roman" w:hAnsi="Times New Roman" w:cs="Times New Roman"/>
                <w:sz w:val="20"/>
                <w:szCs w:val="20"/>
                <w:lang w:bidi="ar"/>
              </w:rPr>
              <w:t>一、地方收入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155088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19"/>
                <w:rFonts w:hint="default" w:ascii="Times New Roman" w:hAnsi="Times New Roman" w:cs="Times New Roman"/>
                <w:sz w:val="20"/>
                <w:szCs w:val="20"/>
                <w:lang w:bidi="ar"/>
              </w:rPr>
              <w:t>一、一般预算支出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556226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400" w:firstLineChars="2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税收收入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109188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400" w:firstLineChars="2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非税收入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45900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19"/>
                <w:rFonts w:hint="default" w:ascii="Times New Roman" w:hAnsi="Times New Roman" w:cs="Times New Roman"/>
                <w:sz w:val="20"/>
                <w:szCs w:val="20"/>
                <w:lang w:bidi="ar"/>
              </w:rPr>
              <w:t>二、转移性收入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288971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19"/>
                <w:rFonts w:hint="default" w:ascii="Times New Roman" w:hAnsi="Times New Roman" w:cs="Times New Roman"/>
                <w:sz w:val="20"/>
                <w:szCs w:val="20"/>
                <w:lang w:bidi="ar"/>
              </w:rPr>
              <w:t>二、返还性支出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16692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1、返还性收入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13482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400" w:firstLineChars="2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专项上解支出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16692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400" w:firstLineChars="2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增值税消费税返还收入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8382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400" w:firstLineChars="2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其他上解支出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400" w:firstLineChars="2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所得税基数返还收入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223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400" w:firstLineChars="2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成品油税费改革返还收入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2573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400" w:firstLineChars="2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其他税收返还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2304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2、一般性转移支付收入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275489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400" w:firstLineChars="2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均衡性转移支付补助收入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82399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400" w:firstLineChars="2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县级基本财力保障奖补资金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29642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400" w:firstLineChars="2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资源枯竭型城市转移支付补助收入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1111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400" w:firstLineChars="2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产粮大县奖励资金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6704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400" w:firstLineChars="2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其他一般性转移支付收入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155633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19"/>
                <w:rFonts w:hint="default" w:ascii="Times New Roman" w:hAnsi="Times New Roman" w:cs="Times New Roman"/>
                <w:sz w:val="20"/>
                <w:szCs w:val="20"/>
                <w:lang w:bidi="ar"/>
              </w:rPr>
              <w:t>三、专项补助收入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23955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19"/>
                <w:rFonts w:hint="default" w:ascii="Times New Roman" w:hAnsi="Times New Roman" w:cs="Times New Roman"/>
                <w:sz w:val="20"/>
                <w:szCs w:val="20"/>
                <w:lang w:bidi="ar"/>
              </w:rPr>
              <w:t>三、预算结余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19"/>
                <w:rFonts w:hint="default" w:ascii="Times New Roman" w:hAnsi="Times New Roman" w:cs="Times New Roman"/>
                <w:sz w:val="20"/>
                <w:szCs w:val="20"/>
                <w:lang w:bidi="ar"/>
              </w:rPr>
              <w:t>四、上年结转与结余收入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12539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19"/>
                <w:rFonts w:hint="default" w:ascii="Times New Roman" w:hAnsi="Times New Roman" w:cs="Times New Roman"/>
                <w:sz w:val="20"/>
                <w:szCs w:val="20"/>
                <w:lang w:bidi="ar"/>
              </w:rPr>
              <w:t>五、调入预算稳定调节基金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32365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19"/>
                <w:rFonts w:hint="default" w:ascii="Times New Roman" w:hAnsi="Times New Roman" w:cs="Times New Roman"/>
                <w:sz w:val="20"/>
                <w:szCs w:val="20"/>
                <w:lang w:bidi="ar"/>
              </w:rPr>
              <w:t>六、调入资金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60000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3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19"/>
                <w:rFonts w:hint="default" w:ascii="Times New Roman" w:hAnsi="Times New Roman" w:cs="Times New Roman"/>
                <w:sz w:val="20"/>
                <w:szCs w:val="20"/>
                <w:lang w:bidi="ar"/>
              </w:rPr>
              <w:t>收入合计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572918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19"/>
                <w:rFonts w:hint="default" w:ascii="Times New Roman" w:hAnsi="Times New Roman" w:cs="Times New Roman"/>
                <w:sz w:val="20"/>
                <w:szCs w:val="20"/>
                <w:lang w:bidi="ar"/>
              </w:rPr>
              <w:t>支出合计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572918</w:t>
            </w:r>
          </w:p>
        </w:tc>
      </w:tr>
    </w:tbl>
    <w:p>
      <w:pPr>
        <w:spacing w:line="580" w:lineRule="exact"/>
        <w:rPr>
          <w:rFonts w:ascii="Times New Roman" w:hAnsi="Times New Roman" w:eastAsia="黑体" w:cs="Times New Roman"/>
        </w:rPr>
      </w:pPr>
      <w:r>
        <w:rPr>
          <w:rFonts w:ascii="Times New Roman" w:hAnsi="Times New Roman" w:eastAsia="黑体" w:cs="Times New Roman"/>
        </w:rPr>
        <w:t>附件6</w:t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</w:p>
    <w:p>
      <w:pPr>
        <w:spacing w:line="580" w:lineRule="exact"/>
        <w:jc w:val="center"/>
        <w:rPr>
          <w:rFonts w:ascii="Times New Roman" w:hAnsi="Times New Roman" w:eastAsia="华文中宋" w:cs="Times New Roman"/>
          <w:sz w:val="42"/>
          <w:szCs w:val="42"/>
        </w:rPr>
      </w:pPr>
      <w:r>
        <w:rPr>
          <w:rFonts w:ascii="Times New Roman" w:hAnsi="Times New Roman" w:eastAsia="华文中宋" w:cs="Times New Roman"/>
          <w:sz w:val="42"/>
          <w:szCs w:val="42"/>
        </w:rPr>
        <w:t>2023年衡南县国有资本经营预算表（草案）</w:t>
      </w:r>
    </w:p>
    <w:p>
      <w:pPr>
        <w:spacing w:line="580" w:lineRule="exac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单位：万元</w:t>
      </w:r>
    </w:p>
    <w:tbl>
      <w:tblPr>
        <w:tblStyle w:val="8"/>
        <w:tblW w:w="8554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39"/>
        <w:gridCol w:w="915"/>
        <w:gridCol w:w="3315"/>
        <w:gridCol w:w="118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5" w:hRule="exact"/>
        </w:trPr>
        <w:tc>
          <w:tcPr>
            <w:tcW w:w="31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收    入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预算数</w:t>
            </w:r>
          </w:p>
        </w:tc>
        <w:tc>
          <w:tcPr>
            <w:tcW w:w="3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支    出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预算数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5" w:hRule="exact"/>
        </w:trPr>
        <w:tc>
          <w:tcPr>
            <w:tcW w:w="31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一、利润收入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3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一、国有经济结构调整支出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5" w:hRule="exact"/>
        </w:trPr>
        <w:tc>
          <w:tcPr>
            <w:tcW w:w="31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二、股利、股息收入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3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二、公益性设施投资补助支出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5" w:hRule="exact"/>
        </w:trPr>
        <w:tc>
          <w:tcPr>
            <w:tcW w:w="31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三、产权转让收入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3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三、战备性产业发展支出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rPr>
          <w:trHeight w:val="1145" w:hRule="exact"/>
        </w:trPr>
        <w:tc>
          <w:tcPr>
            <w:tcW w:w="31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四、清算收入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3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四、支持科技进步支出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5" w:hRule="exact"/>
        </w:trPr>
        <w:tc>
          <w:tcPr>
            <w:tcW w:w="31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五、其他国有资本经营预算收入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212</w:t>
            </w:r>
          </w:p>
        </w:tc>
        <w:tc>
          <w:tcPr>
            <w:tcW w:w="3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五、改革成本支出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5" w:hRule="exact"/>
        </w:trPr>
        <w:tc>
          <w:tcPr>
            <w:tcW w:w="31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3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六、其他国有资本经营预算支出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229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5" w:hRule="exact"/>
        </w:trPr>
        <w:tc>
          <w:tcPr>
            <w:tcW w:w="31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本年收入合计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212</w:t>
            </w:r>
          </w:p>
        </w:tc>
        <w:tc>
          <w:tcPr>
            <w:tcW w:w="3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本年支出合计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229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5" w:hRule="exact"/>
        </w:trPr>
        <w:tc>
          <w:tcPr>
            <w:tcW w:w="31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上年结转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17</w:t>
            </w:r>
          </w:p>
        </w:tc>
        <w:tc>
          <w:tcPr>
            <w:tcW w:w="3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转移性支出支出总计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5" w:hRule="exact"/>
        </w:trPr>
        <w:tc>
          <w:tcPr>
            <w:tcW w:w="31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1"/>
                <w:szCs w:val="21"/>
              </w:rPr>
            </w:pPr>
            <w:r>
              <w:rPr>
                <w:rStyle w:val="20"/>
                <w:rFonts w:hint="default" w:ascii="Times New Roman" w:hAnsi="Times New Roman" w:cs="Times New Roman"/>
                <w:sz w:val="21"/>
                <w:szCs w:val="21"/>
                <w:lang w:bidi="ar"/>
              </w:rPr>
              <w:t>收入总计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1"/>
                <w:szCs w:val="21"/>
                <w:lang w:bidi="ar"/>
              </w:rPr>
              <w:t>229</w:t>
            </w:r>
          </w:p>
        </w:tc>
        <w:tc>
          <w:tcPr>
            <w:tcW w:w="3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1"/>
                <w:szCs w:val="21"/>
              </w:rPr>
            </w:pPr>
            <w:r>
              <w:rPr>
                <w:rStyle w:val="20"/>
                <w:rFonts w:hint="default" w:ascii="Times New Roman" w:hAnsi="Times New Roman" w:cs="Times New Roman"/>
                <w:sz w:val="21"/>
                <w:szCs w:val="21"/>
                <w:lang w:bidi="ar"/>
              </w:rPr>
              <w:t>支出总计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1"/>
                <w:szCs w:val="21"/>
                <w:lang w:bidi="ar"/>
              </w:rPr>
              <w:t>229</w:t>
            </w:r>
          </w:p>
        </w:tc>
      </w:tr>
    </w:tbl>
    <w:p>
      <w:pPr>
        <w:spacing w:line="580" w:lineRule="exact"/>
        <w:rPr>
          <w:rFonts w:ascii="Times New Roman" w:hAnsi="Times New Roman" w:eastAsia="黑体" w:cs="Times New Roman"/>
        </w:rPr>
      </w:pPr>
      <w:r>
        <w:rPr>
          <w:rFonts w:ascii="Times New Roman" w:hAnsi="Times New Roman" w:eastAsia="黑体" w:cs="Times New Roman"/>
        </w:rPr>
        <w:t>附件7</w:t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  <w:r>
        <w:rPr>
          <w:rFonts w:ascii="Times New Roman" w:hAnsi="Times New Roman" w:eastAsia="黑体" w:cs="Times New Roman"/>
        </w:rPr>
        <w:tab/>
      </w:r>
    </w:p>
    <w:p>
      <w:pPr>
        <w:spacing w:line="580" w:lineRule="exact"/>
        <w:jc w:val="center"/>
        <w:rPr>
          <w:rFonts w:ascii="Times New Roman" w:hAnsi="Times New Roman" w:eastAsia="华文中宋" w:cs="Times New Roman"/>
          <w:sz w:val="42"/>
          <w:szCs w:val="42"/>
        </w:rPr>
      </w:pPr>
      <w:r>
        <w:rPr>
          <w:rFonts w:ascii="Times New Roman" w:hAnsi="Times New Roman" w:eastAsia="华文中宋" w:cs="Times New Roman"/>
          <w:sz w:val="42"/>
          <w:szCs w:val="42"/>
        </w:rPr>
        <w:t>2023年衡南县政府性基金预算表（草案）</w:t>
      </w:r>
    </w:p>
    <w:p>
      <w:pPr>
        <w:spacing w:line="580" w:lineRule="exac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单位：万元 </w:t>
      </w:r>
    </w:p>
    <w:tbl>
      <w:tblPr>
        <w:tblStyle w:val="8"/>
        <w:tblW w:w="8980" w:type="dxa"/>
        <w:tblInd w:w="9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70"/>
        <w:gridCol w:w="1005"/>
        <w:gridCol w:w="4080"/>
        <w:gridCol w:w="112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收</w:t>
            </w:r>
            <w:r>
              <w:rPr>
                <w:rStyle w:val="21"/>
                <w:rFonts w:eastAsia="黑体"/>
                <w:lang w:bidi="ar"/>
              </w:rPr>
              <w:t xml:space="preserve">    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入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预算数</w:t>
            </w: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支</w:t>
            </w:r>
            <w:r>
              <w:rPr>
                <w:rStyle w:val="21"/>
                <w:rFonts w:eastAsia="黑体"/>
                <w:lang w:bidi="ar"/>
              </w:rPr>
              <w:t xml:space="preserve">    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出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2"/>
                <w:szCs w:val="22"/>
                <w:lang w:bidi="ar"/>
              </w:rPr>
              <w:t>预算数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一、国有土地使用权出让收入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51378</w:t>
            </w: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一、社会保障和就业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6302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二、城市基础设施配套费收入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7368</w:t>
            </w: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大中型水库移民后期扶持基金支出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6302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三、其他政府性基金收入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7600</w:t>
            </w: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移民补助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4053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四、地方政府专项债券收入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35000</w:t>
            </w: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基础设施建设和经济发展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2249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五、上级补助收入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10000</w:t>
            </w: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二、城乡社区支出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41677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六、上年结转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34154</w:t>
            </w: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国有土地使用权出让收入安排的支出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22405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征地和拆迁补偿支出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12575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农村基础设施建设支出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其他国有土地使用权出让收入安排的支出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5937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三、农林水支出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1514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大中型水库库区基金支出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1272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ind w:firstLine="200" w:firstLineChars="10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三峡后续工作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242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四、彩票公益金安排的支出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1007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五、债务付息支出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六、其他支出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35000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本年支出合计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85500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调出资金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</w:trPr>
        <w:tc>
          <w:tcPr>
            <w:tcW w:w="2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基金收入小计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145500</w:t>
            </w:r>
          </w:p>
        </w:tc>
        <w:tc>
          <w:tcPr>
            <w:tcW w:w="4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基金支出小计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145500</w:t>
            </w:r>
          </w:p>
        </w:tc>
      </w:tr>
    </w:tbl>
    <w:p>
      <w:pPr>
        <w:spacing w:line="500" w:lineRule="exact"/>
        <w:rPr>
          <w:rFonts w:ascii="Times New Roman" w:hAnsi="Times New Roman" w:eastAsia="黑体" w:cs="Times New Roman"/>
        </w:rPr>
      </w:pPr>
      <w:r>
        <w:rPr>
          <w:rFonts w:ascii="Times New Roman" w:hAnsi="Times New Roman" w:eastAsia="黑体" w:cs="Times New Roman"/>
        </w:rPr>
        <w:t>附件8</w:t>
      </w:r>
      <w:r>
        <w:rPr>
          <w:rFonts w:ascii="Times New Roman" w:hAnsi="Times New Roman" w:eastAsia="黑体" w:cs="Times New Roman"/>
        </w:rPr>
        <w:tab/>
      </w:r>
    </w:p>
    <w:p>
      <w:pPr>
        <w:spacing w:line="500" w:lineRule="exact"/>
        <w:jc w:val="center"/>
        <w:rPr>
          <w:rFonts w:ascii="Times New Roman" w:hAnsi="Times New Roman" w:eastAsia="华文中宋" w:cs="Times New Roman"/>
          <w:sz w:val="42"/>
          <w:szCs w:val="42"/>
        </w:rPr>
      </w:pPr>
      <w:r>
        <w:rPr>
          <w:rFonts w:ascii="Times New Roman" w:hAnsi="Times New Roman" w:eastAsia="华文中宋" w:cs="Times New Roman"/>
          <w:sz w:val="42"/>
          <w:szCs w:val="42"/>
        </w:rPr>
        <w:t>2023年衡南县社会保险基金预算表（草案）</w:t>
      </w:r>
    </w:p>
    <w:p>
      <w:pPr>
        <w:spacing w:line="400" w:lineRule="exac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单位：万元</w:t>
      </w:r>
    </w:p>
    <w:tbl>
      <w:tblPr>
        <w:tblStyle w:val="8"/>
        <w:tblW w:w="9780" w:type="dxa"/>
        <w:tblInd w:w="-56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45"/>
        <w:gridCol w:w="900"/>
        <w:gridCol w:w="3810"/>
        <w:gridCol w:w="82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  <w:tblHeader/>
        </w:trPr>
        <w:tc>
          <w:tcPr>
            <w:tcW w:w="51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eastAsia="黑体" w:cs="Times New Roman"/>
                <w:sz w:val="20"/>
                <w:szCs w:val="20"/>
                <w:lang w:bidi="ar"/>
              </w:rPr>
              <w:t>收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</w:t>
            </w:r>
            <w:r>
              <w:rPr>
                <w:rStyle w:val="22"/>
                <w:rFonts w:hint="default" w:ascii="Times New Roman" w:hAnsi="Times New Roman" w:eastAsia="黑体" w:cs="Times New Roman"/>
                <w:sz w:val="20"/>
                <w:szCs w:val="20"/>
                <w:lang w:bidi="ar"/>
              </w:rPr>
              <w:t>入</w:t>
            </w:r>
          </w:p>
        </w:tc>
        <w:tc>
          <w:tcPr>
            <w:tcW w:w="46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eastAsia="黑体" w:cs="Times New Roman"/>
                <w:sz w:val="20"/>
                <w:szCs w:val="20"/>
                <w:lang w:bidi="ar"/>
              </w:rPr>
              <w:t>支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</w:t>
            </w:r>
            <w:r>
              <w:rPr>
                <w:rStyle w:val="22"/>
                <w:rFonts w:hint="default" w:ascii="Times New Roman" w:hAnsi="Times New Roman" w:eastAsia="黑体" w:cs="Times New Roman"/>
                <w:sz w:val="20"/>
                <w:szCs w:val="20"/>
                <w:lang w:bidi="ar"/>
              </w:rPr>
              <w:t>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  <w:tblHeader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</w:t>
            </w:r>
            <w:r>
              <w:rPr>
                <w:rStyle w:val="22"/>
                <w:rFonts w:hint="default" w:ascii="Times New Roman" w:hAnsi="Times New Roman" w:eastAsia="黑体" w:cs="Times New Roman"/>
                <w:sz w:val="20"/>
                <w:szCs w:val="20"/>
                <w:lang w:bidi="ar"/>
              </w:rPr>
              <w:t>项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</w:t>
            </w:r>
            <w:r>
              <w:rPr>
                <w:rStyle w:val="22"/>
                <w:rFonts w:hint="default" w:ascii="Times New Roman" w:hAnsi="Times New Roman" w:eastAsia="黑体" w:cs="Times New Roman"/>
                <w:sz w:val="20"/>
                <w:szCs w:val="20"/>
                <w:lang w:bidi="ar"/>
              </w:rPr>
              <w:t>目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eastAsia="黑体" w:cs="Times New Roman"/>
                <w:sz w:val="20"/>
                <w:szCs w:val="20"/>
                <w:lang w:bidi="ar"/>
              </w:rPr>
              <w:t>预算数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eastAsia="黑体" w:cs="Times New Roman"/>
                <w:sz w:val="20"/>
                <w:szCs w:val="20"/>
                <w:lang w:bidi="ar"/>
              </w:rPr>
              <w:t>项目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eastAsia="黑体" w:cs="Times New Roman"/>
                <w:sz w:val="20"/>
                <w:szCs w:val="20"/>
                <w:lang w:bidi="ar"/>
              </w:rPr>
              <w:t>预算数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一、机关事业单位基本养老保险基金收入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65118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一、机关事业单位基本养老保险基金支出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60592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机关事业单位基本养老保险费收入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35248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基本养老金支出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59308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机关事业单位基本养老保险基金财政补助收入（本级）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24625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其他机关事业单位基本养老保险基金支出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616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机关事业单位基本养老保险基金利息收入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41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转移支出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668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转移收入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813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　其他收入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上年结余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4383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二、失业保险基金收入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2226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二、失业保险基金支出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2153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失业保险费收入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401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失业保险金支出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失业保险补助收入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334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基本医疗保险费支出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失业保险基金利息收入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稳定岗位补贴支出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158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转移收入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9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其他支出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1860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上年结余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1481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三、职工基本医疗保险基金收入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41338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三、职工基本医疗保险基金支出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23042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职工基本医疗保险基金收入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24815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</w:t>
            </w:r>
            <w:r>
              <w:rPr>
                <w:rFonts w:ascii="Times New Roman" w:hAnsi="Times New Roman" w:eastAsia="宋体" w:cs="Times New Roman"/>
                <w:color w:val="000000"/>
                <w:spacing w:val="-6"/>
                <w:kern w:val="0"/>
                <w:sz w:val="20"/>
                <w:szCs w:val="20"/>
                <w:lang w:bidi="ar"/>
              </w:rPr>
              <w:t xml:space="preserve">  </w:t>
            </w:r>
            <w:r>
              <w:rPr>
                <w:rStyle w:val="22"/>
                <w:rFonts w:hint="default" w:ascii="Times New Roman" w:hAnsi="Times New Roman" w:cs="Times New Roman"/>
                <w:spacing w:val="-6"/>
                <w:sz w:val="20"/>
                <w:szCs w:val="20"/>
                <w:lang w:bidi="ar"/>
              </w:rPr>
              <w:t>基本医疗保险统筹基金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15784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职工基本医疗保险基金利息收入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51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上年结余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16472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四、城乡居民养老保险基金收入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102039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四、城乡居民养老保险基金支出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24988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城乡居民养老保险费收入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8609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养老保险基金支出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24971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城</w:t>
            </w:r>
            <w:r>
              <w:rPr>
                <w:rStyle w:val="22"/>
                <w:rFonts w:hint="default" w:ascii="Times New Roman" w:hAnsi="Times New Roman" w:cs="Times New Roman"/>
                <w:spacing w:val="-6"/>
                <w:sz w:val="20"/>
                <w:szCs w:val="20"/>
                <w:lang w:bidi="ar"/>
              </w:rPr>
              <w:t>乡居民养老保险基金财政补助收入（本级）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25395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其他支出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城乡居民养老保险基金利息收入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156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其他收入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500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转移收入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20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上年结余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67359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五、城乡居民医疗保险基金收入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142130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五、城乡居民医疗保险基金支出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75668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城乡居民医疗保险费收入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29155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医疗保险基金支出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75118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城</w:t>
            </w:r>
            <w:r>
              <w:rPr>
                <w:rStyle w:val="22"/>
                <w:rFonts w:hint="default" w:ascii="Times New Roman" w:hAnsi="Times New Roman" w:cs="Times New Roman"/>
                <w:spacing w:val="-6"/>
                <w:sz w:val="20"/>
                <w:szCs w:val="20"/>
                <w:lang w:bidi="ar"/>
              </w:rPr>
              <w:t>乡居民医疗保险基金财政补助收入（本级）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5519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其他支出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城乡居民医疗保险基金利息收入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260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上级补助收入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47792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支出总计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186443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上年结余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59404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abs>
                <w:tab w:val="center" w:pos="2014"/>
              </w:tabs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 xml:space="preserve">    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收入总计</w:t>
            </w: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ab/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352851</w:t>
            </w:r>
          </w:p>
        </w:tc>
        <w:tc>
          <w:tcPr>
            <w:tcW w:w="3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Style w:val="22"/>
                <w:rFonts w:hint="default" w:ascii="Times New Roman" w:hAnsi="Times New Roman" w:cs="Times New Roman"/>
                <w:sz w:val="20"/>
                <w:szCs w:val="20"/>
                <w:lang w:bidi="ar"/>
              </w:rPr>
              <w:t>滚存结余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166408</w:t>
            </w:r>
          </w:p>
        </w:tc>
      </w:tr>
    </w:tbl>
    <w:p>
      <w:pPr>
        <w:spacing w:line="14" w:lineRule="exact"/>
        <w:rPr>
          <w:rFonts w:ascii="Times New Roman" w:hAnsi="Times New Roman" w:cs="Times New Roman"/>
        </w:rPr>
      </w:pPr>
    </w:p>
    <w:sectPr>
      <w:footerReference r:id="rId3" w:type="default"/>
      <w:pgSz w:w="11906" w:h="16838"/>
      <w:pgMar w:top="1644" w:right="1644" w:bottom="1644" w:left="1644" w:header="851" w:footer="1276" w:gutter="0"/>
      <w:pgNumType w:fmt="numberInDash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6DF81CA-1F91-4AE3-83F4-C87F616C0B06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82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2" w:fontKey="{3C0FC91A-DA7E-40E5-8E65-71EEB21A9277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535CCF99-96EE-4225-AD3D-FAA5ACCA7EC7}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  <w:embedRegular r:id="rId4" w:fontKey="{1051CFF3-87D2-4149-B370-9E85065365E1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sz w:val="22"/>
                              <w:szCs w:val="22"/>
                            </w:rPr>
                          </w:pPr>
                          <w:r>
                            <w:rPr>
                              <w:sz w:val="22"/>
                              <w:szCs w:val="22"/>
                            </w:rPr>
                            <w:fldChar w:fldCharType="begin"/>
                          </w:r>
                          <w:r>
                            <w:rPr>
                              <w:sz w:val="22"/>
                              <w:szCs w:val="22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2"/>
                              <w:szCs w:val="22"/>
                            </w:rPr>
                            <w:fldChar w:fldCharType="separate"/>
                          </w:r>
                          <w:r>
                            <w:rPr>
                              <w:sz w:val="22"/>
                              <w:szCs w:val="22"/>
                            </w:rPr>
                            <w:t>- 1 -</w:t>
                          </w:r>
                          <w:r>
                            <w:rPr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sz w:val="22"/>
                        <w:szCs w:val="22"/>
                      </w:rPr>
                    </w:pPr>
                    <w:r>
                      <w:rPr>
                        <w:sz w:val="22"/>
                        <w:szCs w:val="22"/>
                      </w:rPr>
                      <w:fldChar w:fldCharType="begin"/>
                    </w:r>
                    <w:r>
                      <w:rPr>
                        <w:sz w:val="22"/>
                        <w:szCs w:val="22"/>
                      </w:rPr>
                      <w:instrText xml:space="preserve"> PAGE  \* MERGEFORMAT </w:instrText>
                    </w:r>
                    <w:r>
                      <w:rPr>
                        <w:sz w:val="22"/>
                        <w:szCs w:val="22"/>
                      </w:rPr>
                      <w:fldChar w:fldCharType="separate"/>
                    </w:r>
                    <w:r>
                      <w:rPr>
                        <w:sz w:val="22"/>
                        <w:szCs w:val="22"/>
                      </w:rPr>
                      <w:t>- 1 -</w:t>
                    </w:r>
                    <w:r>
                      <w:rPr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224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M5YzJjYTFjNmRiMmYzNjQ5Mjk1ODQyYWIyNjY1YTUifQ=="/>
  </w:docVars>
  <w:rsids>
    <w:rsidRoot w:val="5F9204E8"/>
    <w:rsid w:val="001F7610"/>
    <w:rsid w:val="005C3DB9"/>
    <w:rsid w:val="006F211A"/>
    <w:rsid w:val="00714F0A"/>
    <w:rsid w:val="007C0F2D"/>
    <w:rsid w:val="00A92F96"/>
    <w:rsid w:val="00C961CB"/>
    <w:rsid w:val="00D108E2"/>
    <w:rsid w:val="00EE56AF"/>
    <w:rsid w:val="00F10C4F"/>
    <w:rsid w:val="015754F6"/>
    <w:rsid w:val="02B4393A"/>
    <w:rsid w:val="03AA2B95"/>
    <w:rsid w:val="066A7A79"/>
    <w:rsid w:val="077B6E57"/>
    <w:rsid w:val="08674270"/>
    <w:rsid w:val="097014F4"/>
    <w:rsid w:val="0AE918B4"/>
    <w:rsid w:val="0BC87EA6"/>
    <w:rsid w:val="0EB03363"/>
    <w:rsid w:val="121D4955"/>
    <w:rsid w:val="12897505"/>
    <w:rsid w:val="16914FA2"/>
    <w:rsid w:val="185D398B"/>
    <w:rsid w:val="18961DEF"/>
    <w:rsid w:val="19AD0713"/>
    <w:rsid w:val="1C227039"/>
    <w:rsid w:val="1EA50B92"/>
    <w:rsid w:val="228329E6"/>
    <w:rsid w:val="236F70A1"/>
    <w:rsid w:val="259319ED"/>
    <w:rsid w:val="259915F3"/>
    <w:rsid w:val="2600773D"/>
    <w:rsid w:val="28893937"/>
    <w:rsid w:val="29D60DFE"/>
    <w:rsid w:val="29DB3913"/>
    <w:rsid w:val="2BD13B0C"/>
    <w:rsid w:val="2C3818FC"/>
    <w:rsid w:val="2EFE2AA0"/>
    <w:rsid w:val="2FB20DF0"/>
    <w:rsid w:val="30F32296"/>
    <w:rsid w:val="315A1274"/>
    <w:rsid w:val="317B377A"/>
    <w:rsid w:val="33447828"/>
    <w:rsid w:val="33C00B55"/>
    <w:rsid w:val="388A6BFA"/>
    <w:rsid w:val="38D076E7"/>
    <w:rsid w:val="3C1F1D34"/>
    <w:rsid w:val="3CA57D76"/>
    <w:rsid w:val="3DAB19AC"/>
    <w:rsid w:val="3E9A6446"/>
    <w:rsid w:val="3FD85478"/>
    <w:rsid w:val="42EB101F"/>
    <w:rsid w:val="44C02694"/>
    <w:rsid w:val="465970A5"/>
    <w:rsid w:val="4A3D7EE6"/>
    <w:rsid w:val="4B8D6619"/>
    <w:rsid w:val="4D2D5673"/>
    <w:rsid w:val="4D2E0486"/>
    <w:rsid w:val="4E160A0C"/>
    <w:rsid w:val="4EAD157E"/>
    <w:rsid w:val="50A339AD"/>
    <w:rsid w:val="56973B5B"/>
    <w:rsid w:val="5779759B"/>
    <w:rsid w:val="587A38BD"/>
    <w:rsid w:val="5B9D075F"/>
    <w:rsid w:val="5F9204E8"/>
    <w:rsid w:val="62826EEB"/>
    <w:rsid w:val="69BB1355"/>
    <w:rsid w:val="69FF66B7"/>
    <w:rsid w:val="6D1548C2"/>
    <w:rsid w:val="6D5B40A3"/>
    <w:rsid w:val="70EB08A5"/>
    <w:rsid w:val="74180545"/>
    <w:rsid w:val="75EF3075"/>
    <w:rsid w:val="760E5F59"/>
    <w:rsid w:val="7610529E"/>
    <w:rsid w:val="773B361B"/>
    <w:rsid w:val="774163D3"/>
    <w:rsid w:val="7BD340CB"/>
    <w:rsid w:val="7E032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仿宋_GB2312" w:hAnsi="仿宋_GB2312" w:eastAsia="仿宋_GB2312" w:cs="仿宋_GB2312"/>
      <w:kern w:val="2"/>
      <w:sz w:val="32"/>
      <w:szCs w:val="32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  <w:rPr>
      <w:sz w:val="30"/>
      <w:szCs w:val="30"/>
    </w:rPr>
  </w:style>
  <w:style w:type="paragraph" w:styleId="4">
    <w:name w:val="Body Text"/>
    <w:basedOn w:val="1"/>
    <w:next w:val="5"/>
    <w:qFormat/>
    <w:uiPriority w:val="0"/>
    <w:pPr>
      <w:spacing w:after="120"/>
    </w:pPr>
  </w:style>
  <w:style w:type="paragraph" w:styleId="5">
    <w:name w:val="toc 5"/>
    <w:basedOn w:val="1"/>
    <w:next w:val="1"/>
    <w:qFormat/>
    <w:uiPriority w:val="0"/>
    <w:pPr>
      <w:ind w:left="1680" w:leftChars="800"/>
    </w:pPr>
    <w:rPr>
      <w:rFonts w:ascii="Times New Roman" w:hAnsi="Times New Roman" w:eastAsia="宋体" w:cs="Times New Roman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10">
    <w:name w:val="font11"/>
    <w:basedOn w:val="9"/>
    <w:qFormat/>
    <w:uiPriority w:val="0"/>
    <w:rPr>
      <w:rFonts w:ascii="黑体" w:hAnsi="宋体" w:eastAsia="黑体" w:cs="黑体"/>
      <w:color w:val="000000"/>
      <w:sz w:val="32"/>
      <w:szCs w:val="32"/>
      <w:u w:val="none"/>
    </w:rPr>
  </w:style>
  <w:style w:type="character" w:customStyle="1" w:styleId="11">
    <w:name w:val="font51"/>
    <w:basedOn w:val="9"/>
    <w:qFormat/>
    <w:uiPriority w:val="0"/>
    <w:rPr>
      <w:rFonts w:hint="default" w:ascii="Times New Roman" w:hAnsi="Times New Roman" w:cs="Times New Roman"/>
      <w:color w:val="000000"/>
      <w:sz w:val="32"/>
      <w:szCs w:val="32"/>
      <w:u w:val="none"/>
    </w:rPr>
  </w:style>
  <w:style w:type="character" w:customStyle="1" w:styleId="12">
    <w:name w:val="font41"/>
    <w:basedOn w:val="9"/>
    <w:qFormat/>
    <w:uiPriority w:val="0"/>
    <w:rPr>
      <w:rFonts w:ascii="方正小标宋_GBK" w:hAnsi="方正小标宋_GBK" w:eastAsia="方正小标宋_GBK" w:cs="方正小标宋_GBK"/>
      <w:color w:val="000000"/>
      <w:sz w:val="36"/>
      <w:szCs w:val="36"/>
      <w:u w:val="none"/>
    </w:rPr>
  </w:style>
  <w:style w:type="character" w:customStyle="1" w:styleId="13">
    <w:name w:val="font71"/>
    <w:basedOn w:val="9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4">
    <w:name w:val="font21"/>
    <w:basedOn w:val="9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15">
    <w:name w:val="font81"/>
    <w:basedOn w:val="9"/>
    <w:qFormat/>
    <w:uiPriority w:val="0"/>
    <w:rPr>
      <w:rFonts w:hint="eastAsia" w:ascii="宋体" w:hAnsi="宋体" w:eastAsia="宋体" w:cs="宋体"/>
      <w:b/>
      <w:bCs/>
      <w:color w:val="000000"/>
      <w:sz w:val="22"/>
      <w:szCs w:val="22"/>
      <w:u w:val="none"/>
    </w:rPr>
  </w:style>
  <w:style w:type="character" w:customStyle="1" w:styleId="16">
    <w:name w:val="font91"/>
    <w:basedOn w:val="9"/>
    <w:qFormat/>
    <w:uiPriority w:val="0"/>
    <w:rPr>
      <w:rFonts w:hint="eastAsia" w:ascii="宋体" w:hAnsi="宋体" w:eastAsia="宋体" w:cs="宋体"/>
      <w:b/>
      <w:bCs/>
      <w:color w:val="000000"/>
      <w:sz w:val="22"/>
      <w:szCs w:val="22"/>
      <w:u w:val="none"/>
    </w:rPr>
  </w:style>
  <w:style w:type="character" w:customStyle="1" w:styleId="17">
    <w:name w:val="font01"/>
    <w:basedOn w:val="9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8">
    <w:name w:val="font61"/>
    <w:basedOn w:val="9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19">
    <w:name w:val="font101"/>
    <w:basedOn w:val="9"/>
    <w:qFormat/>
    <w:uiPriority w:val="0"/>
    <w:rPr>
      <w:rFonts w:hint="eastAsia" w:ascii="宋体" w:hAnsi="宋体" w:eastAsia="宋体" w:cs="宋体"/>
      <w:b/>
      <w:bCs/>
      <w:color w:val="000000"/>
      <w:sz w:val="22"/>
      <w:szCs w:val="22"/>
      <w:u w:val="none"/>
    </w:rPr>
  </w:style>
  <w:style w:type="character" w:customStyle="1" w:styleId="20">
    <w:name w:val="font112"/>
    <w:basedOn w:val="9"/>
    <w:qFormat/>
    <w:uiPriority w:val="0"/>
    <w:rPr>
      <w:rFonts w:hint="eastAsia" w:ascii="宋体" w:hAnsi="宋体" w:eastAsia="宋体" w:cs="宋体"/>
      <w:b/>
      <w:bCs/>
      <w:color w:val="000000"/>
      <w:sz w:val="22"/>
      <w:szCs w:val="22"/>
      <w:u w:val="none"/>
    </w:rPr>
  </w:style>
  <w:style w:type="character" w:customStyle="1" w:styleId="21">
    <w:name w:val="font31"/>
    <w:basedOn w:val="9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22">
    <w:name w:val="font111"/>
    <w:basedOn w:val="9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20</Pages>
  <Words>9675</Words>
  <Characters>12100</Characters>
  <Lines>34</Lines>
  <Paragraphs>27</Paragraphs>
  <TotalTime>185</TotalTime>
  <ScaleCrop>false</ScaleCrop>
  <LinksUpToDate>false</LinksUpToDate>
  <CharactersWithSpaces>12489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2023-02-24T08:09:00Z</dcterms:created>
  <dc:creator>Administrator</dc:creator>
  <cp:lastModifiedBy>WPS_1627093349</cp:lastModifiedBy>
  <cp:lastPrinted>2023-02-24T00:43:00Z</cp:lastPrinted>
  <dcterms:modified xsi:type="dcterms:W3CDTF">2023-03-07T06:35:28Z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A6CB7211306944E7996092CE9971C0F1</vt:lpwstr>
  </property>
</Properties>
</file>