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440" w:lineRule="exact"/>
        <w:jc w:val="center"/>
        <w:outlineLvl w:val="0"/>
        <w:rPr>
          <w:rFonts w:ascii="宋体" w:hAnsi="宋体" w:cs="仿宋"/>
          <w:b/>
          <w:bCs/>
          <w:kern w:val="36"/>
          <w:sz w:val="48"/>
          <w:szCs w:val="48"/>
        </w:rPr>
      </w:pPr>
    </w:p>
    <w:p>
      <w:pPr>
        <w:widowControl/>
        <w:shd w:val="clear" w:color="auto" w:fill="FFFFFF"/>
        <w:spacing w:after="312" w:afterLines="100" w:line="440" w:lineRule="exact"/>
        <w:jc w:val="center"/>
        <w:outlineLvl w:val="0"/>
        <w:rPr>
          <w:rFonts w:ascii="宋体" w:hAnsi="宋体" w:cs="仿宋"/>
          <w:b/>
          <w:bCs/>
          <w:kern w:val="36"/>
          <w:sz w:val="48"/>
          <w:szCs w:val="48"/>
        </w:rPr>
      </w:pPr>
      <w:r>
        <w:rPr>
          <w:rFonts w:hint="eastAsia" w:ascii="宋体" w:hAnsi="宋体" w:cs="仿宋"/>
          <w:b/>
          <w:bCs/>
          <w:kern w:val="36"/>
          <w:sz w:val="40"/>
          <w:szCs w:val="40"/>
        </w:rPr>
        <w:t>衡南县老干部服务中心</w:t>
      </w:r>
      <w:r>
        <w:rPr>
          <w:rFonts w:hint="eastAsia" w:ascii="宋体" w:hAnsi="宋体" w:cs="仿宋"/>
          <w:b/>
          <w:bCs/>
          <w:kern w:val="36"/>
          <w:sz w:val="48"/>
          <w:szCs w:val="48"/>
        </w:rPr>
        <w:t>2019年</w:t>
      </w:r>
    </w:p>
    <w:p>
      <w:pPr>
        <w:widowControl/>
        <w:shd w:val="clear" w:color="auto" w:fill="FFFFFF"/>
        <w:spacing w:after="312" w:afterLines="100" w:line="440" w:lineRule="exact"/>
        <w:jc w:val="center"/>
        <w:outlineLvl w:val="0"/>
        <w:rPr>
          <w:rFonts w:ascii="宋体" w:hAnsi="宋体" w:cs="仿宋"/>
          <w:b/>
          <w:bCs/>
          <w:kern w:val="36"/>
          <w:sz w:val="48"/>
          <w:szCs w:val="48"/>
        </w:rPr>
      </w:pPr>
      <w:r>
        <w:rPr>
          <w:rFonts w:hint="eastAsia" w:ascii="宋体" w:hAnsi="宋体" w:cs="仿宋"/>
          <w:b/>
          <w:bCs/>
          <w:kern w:val="36"/>
          <w:sz w:val="48"/>
          <w:szCs w:val="48"/>
        </w:rPr>
        <w:t>部门预算公开</w:t>
      </w:r>
    </w:p>
    <w:p>
      <w:pPr>
        <w:widowControl/>
        <w:shd w:val="clear" w:color="auto" w:fill="FFFFFF"/>
        <w:spacing w:line="440" w:lineRule="exact"/>
        <w:jc w:val="center"/>
        <w:outlineLvl w:val="0"/>
        <w:rPr>
          <w:b/>
          <w:sz w:val="28"/>
          <w:szCs w:val="28"/>
        </w:rPr>
      </w:pPr>
    </w:p>
    <w:p>
      <w:pPr>
        <w:widowControl/>
        <w:shd w:val="clear" w:color="auto" w:fill="FFFFFF"/>
        <w:spacing w:line="440" w:lineRule="exact"/>
        <w:jc w:val="center"/>
        <w:outlineLvl w:val="0"/>
        <w:rPr>
          <w:b/>
          <w:sz w:val="36"/>
          <w:szCs w:val="36"/>
        </w:rPr>
      </w:pPr>
      <w:r>
        <w:rPr>
          <w:b/>
          <w:sz w:val="36"/>
          <w:szCs w:val="36"/>
        </w:rPr>
        <w:t>目 录</w:t>
      </w:r>
    </w:p>
    <w:p>
      <w:pPr>
        <w:widowControl/>
        <w:shd w:val="clear" w:color="auto" w:fill="FFFFFF"/>
        <w:spacing w:line="440" w:lineRule="exact"/>
        <w:ind w:firstLine="560" w:firstLineChars="200"/>
        <w:outlineLvl w:val="0"/>
        <w:rPr>
          <w:sz w:val="28"/>
          <w:szCs w:val="28"/>
        </w:rPr>
      </w:pPr>
    </w:p>
    <w:p>
      <w:pPr>
        <w:widowControl/>
        <w:shd w:val="clear" w:color="auto" w:fill="FFFFFF"/>
        <w:spacing w:line="440" w:lineRule="exact"/>
        <w:ind w:firstLine="560" w:firstLineChars="200"/>
        <w:outlineLvl w:val="0"/>
        <w:rPr>
          <w:sz w:val="28"/>
          <w:szCs w:val="28"/>
        </w:rPr>
      </w:pPr>
    </w:p>
    <w:p>
      <w:pPr>
        <w:widowControl/>
        <w:shd w:val="clear" w:color="auto" w:fill="FFFFFF"/>
        <w:spacing w:line="440" w:lineRule="exact"/>
        <w:ind w:firstLine="482" w:firstLineChars="200"/>
        <w:outlineLvl w:val="0"/>
        <w:rPr>
          <w:b/>
          <w:sz w:val="24"/>
          <w:szCs w:val="24"/>
        </w:rPr>
      </w:pPr>
      <w:r>
        <w:rPr>
          <w:b/>
          <w:sz w:val="24"/>
          <w:szCs w:val="24"/>
        </w:rPr>
        <w:t>第一部分 20</w:t>
      </w:r>
      <w:r>
        <w:rPr>
          <w:rFonts w:hint="eastAsia"/>
          <w:b/>
          <w:sz w:val="24"/>
          <w:szCs w:val="24"/>
        </w:rPr>
        <w:t>19</w:t>
      </w:r>
      <w:r>
        <w:rPr>
          <w:b/>
          <w:sz w:val="24"/>
          <w:szCs w:val="24"/>
        </w:rPr>
        <w:t xml:space="preserve"> 年部门预算说明</w:t>
      </w:r>
    </w:p>
    <w:p>
      <w:pPr>
        <w:widowControl/>
        <w:shd w:val="clear" w:color="auto" w:fill="FFFFFF"/>
        <w:spacing w:line="440" w:lineRule="exact"/>
        <w:ind w:firstLine="480" w:firstLineChars="200"/>
        <w:outlineLvl w:val="0"/>
        <w:rPr>
          <w:sz w:val="24"/>
          <w:szCs w:val="24"/>
        </w:rPr>
      </w:pPr>
      <w:r>
        <w:rPr>
          <w:rFonts w:hint="eastAsia"/>
          <w:sz w:val="24"/>
          <w:szCs w:val="24"/>
        </w:rPr>
        <w:t>一、部门基本概况</w:t>
      </w:r>
    </w:p>
    <w:p>
      <w:pPr>
        <w:widowControl/>
        <w:shd w:val="clear" w:color="auto" w:fill="FFFFFF"/>
        <w:spacing w:line="440" w:lineRule="exact"/>
        <w:ind w:firstLine="480" w:firstLineChars="200"/>
        <w:outlineLvl w:val="0"/>
        <w:rPr>
          <w:sz w:val="24"/>
          <w:szCs w:val="24"/>
        </w:rPr>
      </w:pPr>
      <w:r>
        <w:rPr>
          <w:rFonts w:hint="eastAsia"/>
          <w:sz w:val="24"/>
          <w:szCs w:val="24"/>
        </w:rPr>
        <w:t>二、部门预算单位构成</w:t>
      </w:r>
    </w:p>
    <w:p>
      <w:pPr>
        <w:widowControl/>
        <w:shd w:val="clear" w:color="auto" w:fill="FFFFFF"/>
        <w:spacing w:line="440" w:lineRule="exact"/>
        <w:ind w:firstLine="480" w:firstLineChars="200"/>
        <w:outlineLvl w:val="0"/>
        <w:rPr>
          <w:sz w:val="24"/>
          <w:szCs w:val="24"/>
        </w:rPr>
      </w:pPr>
      <w:r>
        <w:rPr>
          <w:rFonts w:hint="eastAsia"/>
          <w:sz w:val="24"/>
          <w:szCs w:val="24"/>
        </w:rPr>
        <w:t>三、部门收支总体情况</w:t>
      </w:r>
    </w:p>
    <w:p>
      <w:pPr>
        <w:widowControl/>
        <w:shd w:val="clear" w:color="auto" w:fill="FFFFFF"/>
        <w:spacing w:line="440" w:lineRule="exact"/>
        <w:ind w:firstLine="480" w:firstLineChars="200"/>
        <w:outlineLvl w:val="0"/>
        <w:rPr>
          <w:sz w:val="24"/>
          <w:szCs w:val="24"/>
        </w:rPr>
      </w:pPr>
      <w:r>
        <w:rPr>
          <w:rFonts w:hint="eastAsia"/>
          <w:sz w:val="24"/>
          <w:szCs w:val="24"/>
        </w:rPr>
        <w:t>四、一般公共预算拨款支出预算</w:t>
      </w:r>
    </w:p>
    <w:p>
      <w:pPr>
        <w:widowControl/>
        <w:shd w:val="clear" w:color="auto" w:fill="FFFFFF"/>
        <w:spacing w:line="440" w:lineRule="exact"/>
        <w:ind w:firstLine="480" w:firstLineChars="200"/>
        <w:outlineLvl w:val="0"/>
        <w:rPr>
          <w:sz w:val="24"/>
          <w:szCs w:val="24"/>
        </w:rPr>
      </w:pPr>
      <w:r>
        <w:rPr>
          <w:rFonts w:hint="eastAsia"/>
          <w:sz w:val="24"/>
          <w:szCs w:val="24"/>
        </w:rPr>
        <w:t>五、政府性基金预算支出</w:t>
      </w:r>
    </w:p>
    <w:p>
      <w:pPr>
        <w:widowControl/>
        <w:shd w:val="clear" w:color="auto" w:fill="FFFFFF"/>
        <w:spacing w:line="440" w:lineRule="exact"/>
        <w:ind w:firstLine="480" w:firstLineChars="200"/>
        <w:outlineLvl w:val="0"/>
        <w:rPr>
          <w:sz w:val="24"/>
          <w:szCs w:val="24"/>
        </w:rPr>
      </w:pPr>
      <w:r>
        <w:rPr>
          <w:rFonts w:hint="eastAsia"/>
          <w:sz w:val="24"/>
          <w:szCs w:val="24"/>
        </w:rPr>
        <w:t>六、其他重要事项的情况说明</w:t>
      </w:r>
    </w:p>
    <w:p>
      <w:pPr>
        <w:widowControl/>
        <w:shd w:val="clear" w:color="auto" w:fill="FFFFFF"/>
        <w:spacing w:line="440" w:lineRule="exact"/>
        <w:ind w:firstLine="480" w:firstLineChars="200"/>
        <w:outlineLvl w:val="0"/>
        <w:rPr>
          <w:sz w:val="24"/>
          <w:szCs w:val="24"/>
        </w:rPr>
      </w:pPr>
      <w:r>
        <w:rPr>
          <w:rFonts w:hint="eastAsia"/>
          <w:sz w:val="24"/>
          <w:szCs w:val="24"/>
        </w:rPr>
        <w:t>七、名词解释</w:t>
      </w:r>
    </w:p>
    <w:p>
      <w:pPr>
        <w:widowControl/>
        <w:shd w:val="clear" w:color="auto" w:fill="FFFFFF"/>
        <w:spacing w:line="440" w:lineRule="exact"/>
        <w:ind w:firstLine="480" w:firstLineChars="200"/>
        <w:outlineLvl w:val="0"/>
        <w:rPr>
          <w:sz w:val="24"/>
          <w:szCs w:val="24"/>
        </w:rPr>
      </w:pPr>
    </w:p>
    <w:p>
      <w:pPr>
        <w:widowControl/>
        <w:shd w:val="clear" w:color="auto" w:fill="FFFFFF"/>
        <w:spacing w:line="440" w:lineRule="exact"/>
        <w:ind w:firstLine="482" w:firstLineChars="200"/>
        <w:outlineLvl w:val="0"/>
        <w:rPr>
          <w:b/>
          <w:sz w:val="24"/>
          <w:szCs w:val="24"/>
        </w:rPr>
      </w:pPr>
      <w:r>
        <w:rPr>
          <w:b/>
          <w:sz w:val="24"/>
          <w:szCs w:val="24"/>
        </w:rPr>
        <w:t>第二部分 20</w:t>
      </w:r>
      <w:r>
        <w:rPr>
          <w:rFonts w:hint="eastAsia"/>
          <w:b/>
          <w:sz w:val="24"/>
          <w:szCs w:val="24"/>
        </w:rPr>
        <w:t>19</w:t>
      </w:r>
      <w:r>
        <w:rPr>
          <w:b/>
          <w:sz w:val="24"/>
          <w:szCs w:val="24"/>
        </w:rPr>
        <w:t xml:space="preserve"> 年部门预算表</w:t>
      </w:r>
    </w:p>
    <w:p>
      <w:pPr>
        <w:widowControl/>
        <w:shd w:val="clear" w:color="auto" w:fill="FFFFFF"/>
        <w:spacing w:line="440" w:lineRule="exact"/>
        <w:ind w:firstLine="480" w:firstLineChars="200"/>
        <w:outlineLvl w:val="0"/>
        <w:rPr>
          <w:sz w:val="24"/>
          <w:szCs w:val="24"/>
        </w:rPr>
      </w:pPr>
      <w:r>
        <w:rPr>
          <w:rFonts w:hint="eastAsia"/>
          <w:sz w:val="24"/>
          <w:szCs w:val="24"/>
        </w:rPr>
        <w:t>1、部门收支总体情况表</w:t>
      </w:r>
      <w:r>
        <w:rPr>
          <w:rFonts w:hint="eastAsia"/>
          <w:sz w:val="24"/>
          <w:szCs w:val="24"/>
        </w:rPr>
        <w:br w:type="textWrapping"/>
      </w:r>
      <w:r>
        <w:rPr>
          <w:rFonts w:hint="eastAsia"/>
          <w:sz w:val="24"/>
          <w:szCs w:val="24"/>
        </w:rPr>
        <w:t>　　2、部门收入总体情况表</w:t>
      </w:r>
      <w:r>
        <w:rPr>
          <w:rFonts w:hint="eastAsia"/>
          <w:sz w:val="24"/>
          <w:szCs w:val="24"/>
        </w:rPr>
        <w:br w:type="textWrapping"/>
      </w:r>
      <w:r>
        <w:rPr>
          <w:rFonts w:hint="eastAsia"/>
          <w:sz w:val="24"/>
          <w:szCs w:val="24"/>
        </w:rPr>
        <w:t>　　3、部门支出总体情况表</w:t>
      </w:r>
      <w:r>
        <w:rPr>
          <w:rFonts w:hint="eastAsia"/>
          <w:sz w:val="24"/>
          <w:szCs w:val="24"/>
        </w:rPr>
        <w:br w:type="textWrapping"/>
      </w:r>
      <w:r>
        <w:rPr>
          <w:rFonts w:hint="eastAsia"/>
          <w:sz w:val="24"/>
          <w:szCs w:val="24"/>
        </w:rPr>
        <w:t>　　4、部门支出总表（按部门预算经济分类）</w:t>
      </w:r>
      <w:r>
        <w:rPr>
          <w:rFonts w:hint="eastAsia"/>
          <w:sz w:val="24"/>
          <w:szCs w:val="24"/>
        </w:rPr>
        <w:br w:type="textWrapping"/>
      </w:r>
      <w:r>
        <w:rPr>
          <w:rFonts w:hint="eastAsia"/>
          <w:sz w:val="24"/>
          <w:szCs w:val="24"/>
        </w:rPr>
        <w:t>　　5、部门支出总表（按政府预算经济分类）</w:t>
      </w:r>
      <w:r>
        <w:rPr>
          <w:rFonts w:hint="eastAsia"/>
          <w:sz w:val="24"/>
          <w:szCs w:val="24"/>
        </w:rPr>
        <w:br w:type="textWrapping"/>
      </w:r>
      <w:r>
        <w:rPr>
          <w:rFonts w:hint="eastAsia"/>
          <w:sz w:val="24"/>
          <w:szCs w:val="24"/>
        </w:rPr>
        <w:t>　　6、基本支出预算明细表－工资福利支出（按部门预算经济分类）</w:t>
      </w:r>
      <w:r>
        <w:rPr>
          <w:rFonts w:hint="eastAsia"/>
          <w:sz w:val="24"/>
          <w:szCs w:val="24"/>
        </w:rPr>
        <w:br w:type="textWrapping"/>
      </w:r>
      <w:r>
        <w:rPr>
          <w:rFonts w:hint="eastAsia"/>
          <w:sz w:val="24"/>
          <w:szCs w:val="24"/>
        </w:rPr>
        <w:t>　　7、基本支出预算明细表－工资福利支出（按政府预算经济分类）</w:t>
      </w:r>
      <w:r>
        <w:rPr>
          <w:rFonts w:hint="eastAsia"/>
          <w:sz w:val="24"/>
          <w:szCs w:val="24"/>
        </w:rPr>
        <w:br w:type="textWrapping"/>
      </w:r>
      <w:r>
        <w:rPr>
          <w:rFonts w:hint="eastAsia"/>
          <w:sz w:val="24"/>
          <w:szCs w:val="24"/>
        </w:rPr>
        <w:t>　　8、基本支出预算明细表－商品和服务支出（按部门预算经济分类）</w:t>
      </w:r>
      <w:r>
        <w:rPr>
          <w:rFonts w:hint="eastAsia"/>
          <w:sz w:val="24"/>
          <w:szCs w:val="24"/>
        </w:rPr>
        <w:br w:type="textWrapping"/>
      </w:r>
      <w:r>
        <w:rPr>
          <w:rFonts w:hint="eastAsia"/>
          <w:sz w:val="24"/>
          <w:szCs w:val="24"/>
        </w:rPr>
        <w:t>　　9、基本支出预算明细表－商品和服务支出（按政府预算经济分类）</w:t>
      </w:r>
      <w:r>
        <w:rPr>
          <w:rFonts w:hint="eastAsia"/>
          <w:sz w:val="24"/>
          <w:szCs w:val="24"/>
        </w:rPr>
        <w:br w:type="textWrapping"/>
      </w:r>
      <w:r>
        <w:rPr>
          <w:rFonts w:hint="eastAsia"/>
          <w:sz w:val="24"/>
          <w:szCs w:val="24"/>
        </w:rPr>
        <w:t>　　10、基本支出预算明细表－对个人和家庭的补助（按部门预算经济分类）</w:t>
      </w:r>
      <w:r>
        <w:rPr>
          <w:rFonts w:hint="eastAsia"/>
          <w:sz w:val="24"/>
          <w:szCs w:val="24"/>
        </w:rPr>
        <w:br w:type="textWrapping"/>
      </w:r>
      <w:r>
        <w:rPr>
          <w:rFonts w:hint="eastAsia"/>
          <w:sz w:val="24"/>
          <w:szCs w:val="24"/>
        </w:rPr>
        <w:t>　　11、基本支出预算明细表－对个人和家庭的补助（按政府预算经济分类）</w:t>
      </w:r>
      <w:r>
        <w:rPr>
          <w:rFonts w:hint="eastAsia"/>
          <w:sz w:val="24"/>
          <w:szCs w:val="24"/>
        </w:rPr>
        <w:br w:type="textWrapping"/>
      </w:r>
      <w:r>
        <w:rPr>
          <w:rFonts w:hint="eastAsia"/>
          <w:sz w:val="24"/>
          <w:szCs w:val="24"/>
        </w:rPr>
        <w:t>　　12、财政拨款收支总体情况表</w:t>
      </w:r>
      <w:r>
        <w:rPr>
          <w:rFonts w:hint="eastAsia"/>
          <w:sz w:val="24"/>
          <w:szCs w:val="24"/>
        </w:rPr>
        <w:br w:type="textWrapping"/>
      </w:r>
      <w:r>
        <w:rPr>
          <w:rFonts w:hint="eastAsia"/>
          <w:sz w:val="24"/>
          <w:szCs w:val="24"/>
        </w:rPr>
        <w:t>　　13、一般公共预算支出情况表</w:t>
      </w:r>
      <w:r>
        <w:rPr>
          <w:rFonts w:hint="eastAsia"/>
          <w:sz w:val="24"/>
          <w:szCs w:val="24"/>
        </w:rPr>
        <w:br w:type="textWrapping"/>
      </w:r>
      <w:r>
        <w:rPr>
          <w:rFonts w:hint="eastAsia"/>
          <w:sz w:val="24"/>
          <w:szCs w:val="24"/>
        </w:rPr>
        <w:t>　　14、一般公共预算基本支出情况表</w:t>
      </w:r>
      <w:r>
        <w:rPr>
          <w:rFonts w:hint="eastAsia"/>
          <w:sz w:val="24"/>
          <w:szCs w:val="24"/>
        </w:rPr>
        <w:br w:type="textWrapping"/>
      </w:r>
      <w:r>
        <w:rPr>
          <w:rFonts w:hint="eastAsia"/>
          <w:sz w:val="24"/>
          <w:szCs w:val="24"/>
        </w:rPr>
        <w:t>　　15、一般公共预算基本支出预算明细表－工资福利支出（按部门预算经济分类）</w:t>
      </w:r>
      <w:r>
        <w:rPr>
          <w:rFonts w:hint="eastAsia"/>
          <w:sz w:val="24"/>
          <w:szCs w:val="24"/>
        </w:rPr>
        <w:br w:type="textWrapping"/>
      </w:r>
      <w:r>
        <w:rPr>
          <w:rFonts w:hint="eastAsia"/>
          <w:sz w:val="24"/>
          <w:szCs w:val="24"/>
        </w:rPr>
        <w:t>　　16、一般公共预算基本支出预算明细表－工资福利支出（按政府预算经济分类）</w:t>
      </w:r>
      <w:r>
        <w:rPr>
          <w:rFonts w:hint="eastAsia"/>
          <w:sz w:val="24"/>
          <w:szCs w:val="24"/>
        </w:rPr>
        <w:br w:type="textWrapping"/>
      </w:r>
      <w:r>
        <w:rPr>
          <w:rFonts w:hint="eastAsia"/>
          <w:sz w:val="24"/>
          <w:szCs w:val="24"/>
        </w:rPr>
        <w:t>　　17、一般公共预算基本支出预算明细表－商品和服务支出（按部门预算经济分类）</w:t>
      </w:r>
      <w:r>
        <w:rPr>
          <w:rFonts w:hint="eastAsia"/>
          <w:sz w:val="24"/>
          <w:szCs w:val="24"/>
        </w:rPr>
        <w:br w:type="textWrapping"/>
      </w:r>
      <w:r>
        <w:rPr>
          <w:rFonts w:hint="eastAsia"/>
          <w:sz w:val="24"/>
          <w:szCs w:val="24"/>
        </w:rPr>
        <w:t>　　18、一般公共预算基本支出预算明细表－商品和服务支出（按政府预算经济分类）</w:t>
      </w:r>
      <w:r>
        <w:rPr>
          <w:rFonts w:hint="eastAsia"/>
          <w:sz w:val="24"/>
          <w:szCs w:val="24"/>
        </w:rPr>
        <w:br w:type="textWrapping"/>
      </w:r>
      <w:r>
        <w:rPr>
          <w:rFonts w:hint="eastAsia"/>
          <w:sz w:val="24"/>
          <w:szCs w:val="24"/>
        </w:rPr>
        <w:t>　　19、一般公共预算基本支出预算明细表－对个人和家庭的补助（按部门预算经济分类）</w:t>
      </w:r>
      <w:r>
        <w:rPr>
          <w:rFonts w:hint="eastAsia"/>
          <w:sz w:val="24"/>
          <w:szCs w:val="24"/>
        </w:rPr>
        <w:br w:type="textWrapping"/>
      </w:r>
      <w:r>
        <w:rPr>
          <w:rFonts w:hint="eastAsia"/>
          <w:sz w:val="24"/>
          <w:szCs w:val="24"/>
        </w:rPr>
        <w:t>　　20、一般公共预算基本支出预算明细表－对个人和家庭的补助（按政府预算经济分类）</w:t>
      </w:r>
      <w:r>
        <w:rPr>
          <w:rFonts w:hint="eastAsia"/>
          <w:sz w:val="24"/>
          <w:szCs w:val="24"/>
        </w:rPr>
        <w:br w:type="textWrapping"/>
      </w:r>
      <w:r>
        <w:rPr>
          <w:rFonts w:hint="eastAsia"/>
          <w:sz w:val="24"/>
          <w:szCs w:val="24"/>
        </w:rPr>
        <w:t>　　21、一般公共预算拨款－－经费拨款预算表（按部门预算经济分类）</w:t>
      </w:r>
      <w:r>
        <w:rPr>
          <w:rFonts w:hint="eastAsia"/>
          <w:sz w:val="24"/>
          <w:szCs w:val="24"/>
        </w:rPr>
        <w:br w:type="textWrapping"/>
      </w:r>
      <w:r>
        <w:rPr>
          <w:rFonts w:hint="eastAsia"/>
          <w:sz w:val="24"/>
          <w:szCs w:val="24"/>
        </w:rPr>
        <w:t>　　22、一般公共预算拨款－－经费拨款预算表（按政府预算经济分类）</w:t>
      </w:r>
      <w:r>
        <w:rPr>
          <w:rFonts w:hint="eastAsia"/>
          <w:sz w:val="24"/>
          <w:szCs w:val="24"/>
        </w:rPr>
        <w:br w:type="textWrapping"/>
      </w:r>
      <w:r>
        <w:rPr>
          <w:rFonts w:hint="eastAsia"/>
          <w:sz w:val="24"/>
          <w:szCs w:val="24"/>
        </w:rPr>
        <w:t>　　23、</w:t>
      </w:r>
      <w:r>
        <w:rPr>
          <w:rFonts w:hint="eastAsia"/>
          <w:sz w:val="24"/>
          <w:szCs w:val="24"/>
        </w:rPr>
        <w:tab/>
      </w:r>
      <w:r>
        <w:rPr>
          <w:rFonts w:hint="eastAsia"/>
          <w:sz w:val="24"/>
          <w:szCs w:val="24"/>
        </w:rPr>
        <w:t>政府性基金预算支出情况表（按部门预算经济分类）</w:t>
      </w:r>
    </w:p>
    <w:p>
      <w:pPr>
        <w:widowControl/>
        <w:shd w:val="clear" w:color="auto" w:fill="FFFFFF"/>
        <w:spacing w:line="440" w:lineRule="exact"/>
        <w:ind w:firstLine="480" w:firstLineChars="200"/>
        <w:outlineLvl w:val="0"/>
        <w:rPr>
          <w:sz w:val="24"/>
          <w:szCs w:val="24"/>
        </w:rPr>
      </w:pPr>
      <w:r>
        <w:rPr>
          <w:rFonts w:hint="eastAsia"/>
          <w:sz w:val="24"/>
          <w:szCs w:val="24"/>
        </w:rPr>
        <w:t>24、</w:t>
      </w:r>
      <w:r>
        <w:rPr>
          <w:rFonts w:hint="eastAsia"/>
          <w:sz w:val="24"/>
          <w:szCs w:val="24"/>
        </w:rPr>
        <w:tab/>
      </w:r>
      <w:r>
        <w:rPr>
          <w:rFonts w:hint="eastAsia"/>
          <w:sz w:val="24"/>
          <w:szCs w:val="24"/>
        </w:rPr>
        <w:t>政府性基金预算支出情况表（按政府预算经济分类）</w:t>
      </w:r>
    </w:p>
    <w:p>
      <w:pPr>
        <w:widowControl/>
        <w:shd w:val="clear" w:color="auto" w:fill="FFFFFF"/>
        <w:spacing w:line="440" w:lineRule="exact"/>
        <w:ind w:firstLine="480" w:firstLineChars="200"/>
        <w:outlineLvl w:val="0"/>
        <w:rPr>
          <w:sz w:val="24"/>
          <w:szCs w:val="24"/>
        </w:rPr>
      </w:pPr>
      <w:r>
        <w:rPr>
          <w:rFonts w:hint="eastAsia"/>
          <w:sz w:val="24"/>
          <w:szCs w:val="24"/>
        </w:rPr>
        <w:t>25、</w:t>
      </w:r>
      <w:r>
        <w:rPr>
          <w:rFonts w:hint="eastAsia"/>
          <w:sz w:val="24"/>
          <w:szCs w:val="24"/>
        </w:rPr>
        <w:tab/>
      </w:r>
      <w:r>
        <w:rPr>
          <w:rFonts w:hint="eastAsia"/>
          <w:sz w:val="24"/>
          <w:szCs w:val="24"/>
        </w:rPr>
        <w:t>一般公共预算“三公”经费预算表</w:t>
      </w:r>
    </w:p>
    <w:p>
      <w:pPr>
        <w:widowControl/>
        <w:shd w:val="clear" w:color="auto" w:fill="FFFFFF"/>
        <w:spacing w:line="440" w:lineRule="exact"/>
        <w:ind w:firstLine="480" w:firstLineChars="200"/>
        <w:outlineLvl w:val="0"/>
        <w:rPr>
          <w:rFonts w:ascii="仿宋" w:hAnsi="仿宋" w:eastAsia="仿宋" w:cs="仿宋"/>
          <w:sz w:val="32"/>
          <w:szCs w:val="32"/>
        </w:rPr>
      </w:pPr>
      <w:r>
        <w:rPr>
          <w:rFonts w:hint="eastAsia"/>
          <w:sz w:val="24"/>
          <w:szCs w:val="24"/>
        </w:rPr>
        <w:t>注：以上部门预算报表中，空表表示本部门无相关收支情况。</w:t>
      </w:r>
    </w:p>
    <w:p>
      <w:pPr>
        <w:rPr>
          <w:rFonts w:ascii="仿宋" w:hAnsi="仿宋" w:eastAsia="仿宋" w:cs="仿宋"/>
          <w:sz w:val="32"/>
          <w:szCs w:val="32"/>
        </w:rPr>
      </w:pPr>
    </w:p>
    <w:p/>
    <w:p/>
    <w:p/>
    <w:p/>
    <w:p/>
    <w:p/>
    <w:p/>
    <w:p/>
    <w:p/>
    <w:p/>
    <w:p/>
    <w:p/>
    <w:p/>
    <w:p/>
    <w:p/>
    <w:p/>
    <w:p/>
    <w:p/>
    <w:p/>
    <w:p/>
    <w:p/>
    <w:p>
      <w:pPr>
        <w:pStyle w:val="2"/>
        <w:widowControl/>
        <w:spacing w:beforeAutospacing="0" w:afterAutospacing="0" w:line="480" w:lineRule="atLeast"/>
        <w:ind w:firstLine="321" w:firstLineChars="100"/>
        <w:jc w:val="both"/>
        <w:rPr>
          <w:rFonts w:ascii="宋体" w:hAnsi="宋体" w:cs="宋体"/>
          <w:b/>
          <w:bCs/>
          <w:color w:val="000000"/>
          <w:sz w:val="44"/>
          <w:szCs w:val="44"/>
        </w:rPr>
      </w:pPr>
      <w:r>
        <w:rPr>
          <w:rFonts w:hint="eastAsia" w:ascii="宋体" w:hAnsi="宋体" w:cs="宋体"/>
          <w:b/>
          <w:bCs/>
          <w:color w:val="000000"/>
          <w:sz w:val="32"/>
          <w:szCs w:val="32"/>
        </w:rPr>
        <w:t>第一部分</w:t>
      </w:r>
    </w:p>
    <w:p>
      <w:pPr>
        <w:pStyle w:val="2"/>
        <w:widowControl/>
        <w:spacing w:beforeAutospacing="0" w:afterAutospacing="0" w:line="480" w:lineRule="atLeast"/>
        <w:jc w:val="center"/>
        <w:rPr>
          <w:rFonts w:ascii="宋体" w:hAnsi="宋体" w:cs="宋体"/>
          <w:color w:val="000000"/>
          <w:sz w:val="30"/>
          <w:szCs w:val="30"/>
        </w:rPr>
      </w:pPr>
      <w:r>
        <w:rPr>
          <w:rFonts w:hint="eastAsia" w:ascii="宋体" w:hAnsi="宋体" w:cs="宋体"/>
          <w:b/>
          <w:bCs/>
          <w:color w:val="000000"/>
          <w:sz w:val="36"/>
          <w:szCs w:val="36"/>
        </w:rPr>
        <w:t>老干局2019年部门预算说明</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一、部门基本概况</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（一）职能职责</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1、贯彻执行</w:t>
      </w:r>
      <w:r>
        <w:rPr>
          <w:rFonts w:hint="eastAsia" w:ascii="宋体" w:hAnsi="宋体" w:cs="宋体"/>
          <w:color w:val="000000"/>
          <w:sz w:val="30"/>
          <w:szCs w:val="30"/>
          <w:lang w:val="en-US" w:eastAsia="zh-CN"/>
        </w:rPr>
        <w:t>党</w:t>
      </w:r>
      <w:r>
        <w:rPr>
          <w:rFonts w:hint="eastAsia" w:ascii="宋体" w:hAnsi="宋体" w:cs="宋体"/>
          <w:color w:val="000000"/>
          <w:sz w:val="30"/>
          <w:szCs w:val="30"/>
        </w:rPr>
        <w:t>中央、国务院和省市委、省市人民政府关于老干部工作的方针、政策、法规，认真做好离休干部和担任实职的副县级以上退休干部的安置、管理工作，并就落实情况进行检查督促。对享受副县级和担任过副科实职以上的原班子成员实行宏观管理</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2、加强调查研究，针对老干部工作中的新情况、新问题，及时提出建设性意见。为县委、县政府制定有关老干部工作的政策、规定提供具体情况和事实依据。</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3、大力宣传和开展尊老、敬老、爱老活动，对老干部开展活动、发挥作用进行指导，总结交流经验。</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4、会同有关部门</w:t>
      </w:r>
      <w:bookmarkStart w:id="0" w:name="_GoBack"/>
      <w:bookmarkEnd w:id="0"/>
      <w:r>
        <w:rPr>
          <w:rFonts w:hint="eastAsia" w:ascii="宋体" w:hAnsi="宋体" w:cs="宋体"/>
          <w:color w:val="000000"/>
          <w:sz w:val="30"/>
          <w:szCs w:val="30"/>
        </w:rPr>
        <w:t>做好老干部的医疗、保健工作，协同有关部门加强对市县定点或直属医院老干部就医用药等保健工作的管理。协助处理老干部逝世后的丧事、遗属照顾等方面的问题。</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5、按照有关规定，做好来县老干部接待服务工作。</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6、负责处理老干部的来信来访并协同有关方面做好老干部的思想政治工作，按政策规定及时处理和解决老同志反映的实际问题和困难，维护社会大局稳定。</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7、指导全县老干部工作人员的业务培训，提高老干部工人员的素质。</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8、承担关心下一代工作委员会的日常工作。</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9、办理县委和县委组织部交办的其他事项。</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（二）机构设置</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单位内设办公室（关心下一代工作委员会办公室与局办公室合署办公）、安置服务股、医疗保健股3个职能股室。</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二、部门预算单位构成</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纳入2019年部门预算编制范围的预算单位包括：</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衡南县老干部局本级和所属事业单位1个即老干部活动中心。</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三、部门收支总体情况</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我单位2019年没有政府性基金预算拨款，国有资本经营预算收入和纳入专户管理的非税收入，拨款收入也没有使用政府性基金预算拨款和国有资本经营预算收入和纳入专户的非税收入拨款安排的支出，收入均为财政经费拨款。</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（一）收入预算：2019年年初预算数242.64万元。其中一般公共预算拨款242.64万元，即经费拨款242.64万元。因收入较去年增加19.62万元。</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（二）支出预算：2019年年初预算数242.64万元，其中：工资福利支出136.95万元，日常商品和服务支出9万元，对个人和家庭补助0.51万元，专项经费96.18万元。支出较去年增加19.62万元，主要是人员工资提标等原因。</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四、一般公共预算拨款支出预算</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２０１９年一般公共预算拨款收入242.64万元，具体安排情况如下：</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基本支出：2019年基本支出年初预算数为146.46，万元，系为保障单位机构正常运转、完成日常工作任务而发生的各项支出，包括用于基本工资、津贴补贴等人员经费以及办公费、印刷费、水电费、办公设备购置等日常公用经费。</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（二）项目支出：</w:t>
      </w:r>
    </w:p>
    <w:p>
      <w:pPr>
        <w:pStyle w:val="2"/>
        <w:widowControl/>
        <w:spacing w:beforeAutospacing="0" w:afterAutospacing="0" w:line="480" w:lineRule="atLeast"/>
        <w:ind w:firstLine="600"/>
        <w:rPr>
          <w:rFonts w:ascii="宋体" w:hAnsi="宋体" w:cs="宋体"/>
          <w:color w:val="000000"/>
          <w:sz w:val="30"/>
          <w:szCs w:val="30"/>
        </w:rPr>
      </w:pPr>
      <w:r>
        <w:rPr>
          <w:rFonts w:hint="eastAsia" w:ascii="宋体" w:hAnsi="宋体" w:cs="宋体"/>
          <w:color w:val="000000"/>
          <w:sz w:val="30"/>
          <w:szCs w:val="30"/>
        </w:rPr>
        <w:t>2019年我局专项项目资金为96.18万元，系保障全县离退休老干部医疗、保健、学习、活动开展等各项工作支出。其中：老干活动中心10万元、离休老干部云集聚会6万元、老干慰问2万元、重阳节走访5万元、老干特殊经费7.49万元、老干管理2万元、老年科协6万元、市区老干活动分中心经费15元、健康修养4.69万元、老干活动经费37万元。</w:t>
      </w:r>
    </w:p>
    <w:p>
      <w:pPr>
        <w:pStyle w:val="2"/>
        <w:widowControl/>
        <w:spacing w:beforeAutospacing="0" w:afterAutospacing="0" w:line="480" w:lineRule="atLeast"/>
        <w:ind w:firstLine="600"/>
        <w:rPr>
          <w:rFonts w:ascii="宋体" w:hAnsi="宋体" w:cs="宋体"/>
          <w:color w:val="000000"/>
          <w:sz w:val="30"/>
          <w:szCs w:val="30"/>
        </w:rPr>
      </w:pPr>
      <w:r>
        <w:rPr>
          <w:rFonts w:hint="eastAsia" w:ascii="宋体" w:hAnsi="宋体" w:cs="宋体"/>
          <w:color w:val="000000"/>
          <w:sz w:val="30"/>
          <w:szCs w:val="30"/>
        </w:rPr>
        <w:t>五、无政府性基金预算支出</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六、其他重要事项的情况说明</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（一）机关运行经费</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2019年单位运转经费242.64万元，其中工资福利支出136.95万元，比2018年增加19.62元，增加8.7%。</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（二）“三公”经费预算</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2019年“三公”经费预算数为5.7万元，较2018年预算数6万元，降低0.3万元，降低5%。其中，公务接待费3.8万元，公务用车购置及运行费1.9万元（其中，公务用车购置费0万元，公务用车运行费1.9万元）,因公出国(境)费0元。2019年“三公”经费预算较2018年减少0.3万元，主要原因是：一是厉行节约，严格财务制度压减公务接待费支出，公务接待费预算比上年减少0.2万元，降低5％；二是加强对公务车辆的管理，严格控制公车使用，公务用车运行维护费预算比上年减少0.1万元，降低0.5%。</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（三）政府采购情况</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2019年单位政府采购预算1.8万元，其中政府采购货物预算1.8万元，政府采购工程支出0万元、政府采购服务支出万元。授予中小企业合同金额0万元，占政府采购支出总额的0%，其中：授予小微企业合同金额0万元，占政府采购支出总额的0%。</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（四）国有资产占用使用情况说明</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截止到2018年12月31日我单位固定资产为13.6万元，主要资产为办公电脑、打印机等通用设备和办公桌椅、会议桌椅、文件柜等办公家具。</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预算绩效目标说明</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本部门整体支出和项目支出实行绩效目标管理，纳入2019年部门整体支出绩效目标的金额为242.64万元，其中，基本支出146.46万元，项目支出96.18万元。</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七、名词解释</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二）“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pStyle w:val="2"/>
        <w:widowControl/>
        <w:spacing w:beforeAutospacing="0" w:afterAutospacing="0" w:line="480" w:lineRule="atLeast"/>
        <w:rPr>
          <w:rFonts w:ascii="宋体" w:hAnsi="宋体" w:cs="宋体"/>
          <w:color w:val="000000"/>
          <w:sz w:val="30"/>
          <w:szCs w:val="30"/>
        </w:rPr>
      </w:pPr>
      <w:r>
        <w:rPr>
          <w:rFonts w:hint="eastAsia" w:ascii="微软雅黑" w:hAnsi="微软雅黑" w:eastAsia="微软雅黑" w:cs="微软雅黑"/>
          <w:color w:val="000000"/>
          <w:sz w:val="30"/>
          <w:szCs w:val="30"/>
        </w:rPr>
        <w:t>　　</w:t>
      </w:r>
    </w:p>
    <w:p>
      <w:pPr>
        <w:pStyle w:val="2"/>
        <w:widowControl/>
        <w:spacing w:beforeAutospacing="0" w:afterAutospacing="0" w:line="480" w:lineRule="atLeast"/>
        <w:ind w:firstLine="602" w:firstLineChars="200"/>
        <w:rPr>
          <w:rFonts w:ascii="宋体" w:hAnsi="宋体" w:cs="宋体"/>
          <w:b/>
          <w:bCs/>
          <w:color w:val="000000"/>
          <w:sz w:val="30"/>
          <w:szCs w:val="30"/>
        </w:rPr>
      </w:pPr>
      <w:r>
        <w:rPr>
          <w:rFonts w:hint="eastAsia" w:ascii="宋体" w:hAnsi="宋体" w:cs="宋体"/>
          <w:b/>
          <w:bCs/>
          <w:color w:val="000000"/>
          <w:sz w:val="30"/>
          <w:szCs w:val="30"/>
        </w:rPr>
        <w:t>第二部分：</w:t>
      </w:r>
    </w:p>
    <w:p>
      <w:pPr>
        <w:pStyle w:val="2"/>
        <w:widowControl/>
        <w:spacing w:beforeAutospacing="0" w:afterAutospacing="0" w:line="480" w:lineRule="atLeast"/>
        <w:rPr>
          <w:rFonts w:ascii="宋体" w:hAnsi="宋体" w:cs="宋体"/>
          <w:color w:val="000000"/>
          <w:sz w:val="30"/>
          <w:szCs w:val="30"/>
        </w:rPr>
      </w:pPr>
      <w:r>
        <w:rPr>
          <w:rFonts w:hint="eastAsia" w:ascii="宋体" w:hAnsi="宋体" w:cs="宋体"/>
          <w:color w:val="000000"/>
          <w:sz w:val="30"/>
          <w:szCs w:val="30"/>
        </w:rPr>
        <w:t>　　部门预算公开的表格情况(附后）</w:t>
      </w:r>
    </w:p>
    <w:p>
      <w:pPr>
        <w:rPr>
          <w:sz w:val="30"/>
          <w:szCs w:val="30"/>
        </w:rPr>
      </w:pPr>
      <w:r>
        <w:rPr>
          <w:rFonts w:hint="eastAsia"/>
          <w:sz w:val="30"/>
          <w:szCs w:val="30"/>
        </w:rPr>
        <w:t>附件：2019年预算公开表（参照市里）（25张表）</w:t>
      </w:r>
    </w:p>
    <w:sectPr>
      <w:pgSz w:w="11906" w:h="16838"/>
      <w:pgMar w:top="1440" w:right="1463" w:bottom="1440"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7E61ED"/>
    <w:rsid w:val="00B45D2A"/>
    <w:rsid w:val="00C07FF0"/>
    <w:rsid w:val="00F845E8"/>
    <w:rsid w:val="18F559DE"/>
    <w:rsid w:val="1C453B73"/>
    <w:rsid w:val="4FBC7D94"/>
    <w:rsid w:val="507E61ED"/>
    <w:rsid w:val="53AC0629"/>
    <w:rsid w:val="663D56E7"/>
    <w:rsid w:val="72203D91"/>
    <w:rsid w:val="75DF2AED"/>
    <w:rsid w:val="772618D1"/>
    <w:rsid w:val="77321E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Layout w:type="fixed"/>
      <w:tblCellMar>
        <w:top w:w="0" w:type="dxa"/>
        <w:left w:w="108" w:type="dxa"/>
        <w:bottom w:w="0" w:type="dxa"/>
        <w:right w:w="108" w:type="dxa"/>
      </w:tblCellMar>
    </w:tblPr>
  </w:style>
  <w:style w:type="paragraph" w:styleId="2">
    <w:name w:val="Normal (Web)"/>
    <w:basedOn w:val="1"/>
    <w:uiPriority w:val="0"/>
    <w:pPr>
      <w:spacing w:beforeAutospacing="1" w:afterAutospacing="1"/>
      <w:jc w:val="left"/>
    </w:pPr>
    <w:rPr>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490</Words>
  <Characters>2797</Characters>
  <Lines>23</Lines>
  <Paragraphs>6</Paragraphs>
  <TotalTime>7</TotalTime>
  <ScaleCrop>false</ScaleCrop>
  <LinksUpToDate>false</LinksUpToDate>
  <CharactersWithSpaces>3281</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2021-06-21T03:06:00Z</dcterms:created>
  <dc:creator>Administrator</dc:creator>
  <cp:lastModifiedBy>茜茜</cp:lastModifiedBy>
  <dcterms:modified xsi:type="dcterms:W3CDTF">2023-04-11T01:19:47Z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C5B89A0EB3A94FA08D0BA04BC3D97E44</vt:lpwstr>
  </property>
</Properties>
</file>