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w:t>
      </w:r>
      <w:r>
        <w:rPr>
          <w:rFonts w:hint="eastAsia"/>
          <w:sz w:val="84"/>
          <w:szCs w:val="84"/>
          <w:lang w:val="en-US" w:eastAsia="zh-CN"/>
        </w:rPr>
        <w:t>20</w:t>
      </w:r>
      <w:r>
        <w:rPr>
          <w:rFonts w:hint="eastAsia"/>
          <w:sz w:val="84"/>
          <w:szCs w:val="84"/>
        </w:rPr>
        <w:t>年度</w:t>
      </w:r>
    </w:p>
    <w:p>
      <w:pPr>
        <w:pStyle w:val="10"/>
        <w:jc w:val="center"/>
        <w:rPr>
          <w:sz w:val="84"/>
          <w:szCs w:val="84"/>
        </w:rPr>
      </w:pPr>
      <w:r>
        <w:rPr>
          <w:rFonts w:hint="eastAsia"/>
          <w:sz w:val="84"/>
          <w:szCs w:val="84"/>
          <w:lang w:eastAsia="zh-CN"/>
        </w:rPr>
        <w:t>衡南县泉湖镇人民政府</w:t>
      </w: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20" w:lineRule="exact"/>
        <w:jc w:val="center"/>
        <w:rPr>
          <w:sz w:val="56"/>
          <w:szCs w:val="56"/>
        </w:rPr>
      </w:pPr>
      <w:r>
        <w:rPr>
          <w:rFonts w:hint="eastAsia"/>
          <w:sz w:val="50"/>
          <w:szCs w:val="50"/>
        </w:rPr>
        <w:t>目录</w:t>
      </w:r>
    </w:p>
    <w:p>
      <w:pPr>
        <w:pStyle w:val="10"/>
        <w:keepNext w:val="0"/>
        <w:keepLines w:val="0"/>
        <w:pageBreakBefore w:val="0"/>
        <w:widowControl w:val="0"/>
        <w:kinsoku/>
        <w:wordWrap/>
        <w:overflowPunct/>
        <w:topLinePunct w:val="0"/>
        <w:bidi w:val="0"/>
        <w:snapToGrid/>
        <w:spacing w:line="500" w:lineRule="exact"/>
        <w:textAlignment w:val="auto"/>
        <w:outlineLvl w:val="9"/>
        <w:rPr>
          <w:rFonts w:hint="eastAsia"/>
          <w:b/>
          <w:sz w:val="10"/>
          <w:szCs w:val="10"/>
        </w:rPr>
      </w:pPr>
    </w:p>
    <w:p>
      <w:pPr>
        <w:pStyle w:val="10"/>
        <w:keepNext w:val="0"/>
        <w:keepLines w:val="0"/>
        <w:pageBreakBefore w:val="0"/>
        <w:widowControl w:val="0"/>
        <w:kinsoku/>
        <w:wordWrap/>
        <w:overflowPunct/>
        <w:topLinePunct w:val="0"/>
        <w:bidi w:val="0"/>
        <w:snapToGrid/>
        <w:spacing w:line="500" w:lineRule="exact"/>
        <w:textAlignment w:val="auto"/>
        <w:outlineLvl w:val="9"/>
        <w:rPr>
          <w:rFonts w:ascii="仿宋_GB2312" w:hAnsi="仿宋_GB2312" w:cs="仿宋_GB2312"/>
          <w:b/>
          <w:sz w:val="26"/>
          <w:szCs w:val="26"/>
        </w:rPr>
      </w:pPr>
      <w:r>
        <w:rPr>
          <w:rFonts w:hint="eastAsia"/>
          <w:b/>
          <w:sz w:val="26"/>
          <w:szCs w:val="26"/>
        </w:rPr>
        <w:t>第一部分衡南县泉湖镇人民政府概况</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一、部门职责</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二、机构设置</w:t>
      </w:r>
    </w:p>
    <w:p>
      <w:pPr>
        <w:pStyle w:val="10"/>
        <w:keepNext w:val="0"/>
        <w:keepLines w:val="0"/>
        <w:pageBreakBefore w:val="0"/>
        <w:widowControl w:val="0"/>
        <w:kinsoku/>
        <w:wordWrap/>
        <w:overflowPunct/>
        <w:topLinePunct w:val="0"/>
        <w:bidi w:val="0"/>
        <w:snapToGrid/>
        <w:spacing w:line="500" w:lineRule="exact"/>
        <w:textAlignment w:val="auto"/>
        <w:outlineLvl w:val="9"/>
        <w:rPr>
          <w:rFonts w:ascii="仿宋_GB2312" w:hAnsi="仿宋_GB2312" w:cs="仿宋_GB2312"/>
          <w:b/>
          <w:sz w:val="26"/>
          <w:szCs w:val="26"/>
        </w:rPr>
      </w:pPr>
      <w:r>
        <w:rPr>
          <w:rFonts w:hint="eastAsia" w:hAnsi="仿宋_GB2312"/>
          <w:b/>
          <w:sz w:val="26"/>
          <w:szCs w:val="26"/>
        </w:rPr>
        <w:t>第二部分</w:t>
      </w:r>
      <w:r>
        <w:rPr>
          <w:rFonts w:hAnsi="仿宋_GB2312"/>
          <w:b/>
          <w:sz w:val="26"/>
          <w:szCs w:val="26"/>
        </w:rPr>
        <w:t>2019</w:t>
      </w:r>
      <w:r>
        <w:rPr>
          <w:rFonts w:hint="eastAsia" w:hAnsi="仿宋_GB2312"/>
          <w:b/>
          <w:sz w:val="26"/>
          <w:szCs w:val="26"/>
        </w:rPr>
        <w:t>年度部门决算表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一、收入支出决算总表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二、收入决算表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三、支出决算表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四、财政拨款收入支出决算总表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五、一般公共预算财政拨款支出决算表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六、一般公共预算财政拨款基本支出决算表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七、一般公共预算财政拨款“三公”经费支出决算表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八、政府性基金预算财政拨款收入支出决算表</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hint="default" w:cs="仿宋_GB2312" w:asciiTheme="minorEastAsia" w:hAnsiTheme="minorEastAsia" w:eastAsiaTheme="minorEastAsia"/>
          <w:sz w:val="26"/>
          <w:szCs w:val="26"/>
          <w:lang w:val="en-US" w:eastAsia="zh-CN"/>
        </w:rPr>
      </w:pPr>
      <w:r>
        <w:rPr>
          <w:rFonts w:hint="eastAsia" w:cs="仿宋_GB2312" w:asciiTheme="minorEastAsia" w:hAnsiTheme="minorEastAsia" w:eastAsiaTheme="minorEastAsia"/>
          <w:sz w:val="26"/>
          <w:szCs w:val="26"/>
          <w:lang w:val="en-US" w:eastAsia="zh-CN"/>
        </w:rPr>
        <w:t>九、国有资本经营预算财政拨款支出决算表</w:t>
      </w:r>
    </w:p>
    <w:p>
      <w:pPr>
        <w:pStyle w:val="10"/>
        <w:keepNext w:val="0"/>
        <w:keepLines w:val="0"/>
        <w:pageBreakBefore w:val="0"/>
        <w:widowControl w:val="0"/>
        <w:kinsoku/>
        <w:wordWrap/>
        <w:overflowPunct/>
        <w:topLinePunct w:val="0"/>
        <w:bidi w:val="0"/>
        <w:snapToGrid/>
        <w:spacing w:line="500" w:lineRule="exact"/>
        <w:textAlignment w:val="auto"/>
        <w:outlineLvl w:val="9"/>
        <w:rPr>
          <w:rFonts w:ascii="仿宋_GB2312" w:hAnsi="仿宋_GB2312" w:cs="仿宋_GB2312"/>
          <w:b/>
          <w:sz w:val="26"/>
          <w:szCs w:val="26"/>
        </w:rPr>
      </w:pPr>
      <w:r>
        <w:rPr>
          <w:rFonts w:hint="eastAsia" w:hAnsi="仿宋_GB2312"/>
          <w:b/>
          <w:sz w:val="26"/>
          <w:szCs w:val="26"/>
        </w:rPr>
        <w:t>第三部分</w:t>
      </w:r>
      <w:r>
        <w:rPr>
          <w:rFonts w:hAnsi="仿宋_GB2312"/>
          <w:b/>
          <w:sz w:val="26"/>
          <w:szCs w:val="26"/>
        </w:rPr>
        <w:t>2019</w:t>
      </w:r>
      <w:r>
        <w:rPr>
          <w:rFonts w:hint="eastAsia" w:hAnsi="仿宋_GB2312"/>
          <w:b/>
          <w:sz w:val="26"/>
          <w:szCs w:val="26"/>
        </w:rPr>
        <w:t>年度部门决算情况说明</w:t>
      </w:r>
    </w:p>
    <w:p>
      <w:pPr>
        <w:pStyle w:val="10"/>
        <w:keepNext w:val="0"/>
        <w:keepLines w:val="0"/>
        <w:pageBreakBefore w:val="0"/>
        <w:widowControl w:val="0"/>
        <w:kinsoku/>
        <w:wordWrap/>
        <w:overflowPunct/>
        <w:topLinePunct w:val="0"/>
        <w:bidi w:val="0"/>
        <w:snapToGrid/>
        <w:spacing w:line="500" w:lineRule="exact"/>
        <w:ind w:firstLine="650" w:firstLineChars="250"/>
        <w:textAlignment w:val="auto"/>
        <w:outlineLvl w:val="9"/>
        <w:rPr>
          <w:rFonts w:cs="仿宋_GB2312" w:asciiTheme="minorEastAsia" w:hAnsiTheme="minorEastAsia" w:eastAsiaTheme="minorEastAsia"/>
          <w:sz w:val="26"/>
          <w:szCs w:val="26"/>
        </w:rPr>
      </w:pPr>
      <w:r>
        <w:rPr>
          <w:rFonts w:cs="仿宋_GB2312" w:asciiTheme="minorEastAsia" w:hAnsiTheme="minorEastAsia" w:eastAsiaTheme="minorEastAsia"/>
          <w:sz w:val="26"/>
          <w:szCs w:val="26"/>
        </w:rPr>
        <w:t>一、收入支出决算总体情况说明</w:t>
      </w:r>
    </w:p>
    <w:p>
      <w:pPr>
        <w:keepNext w:val="0"/>
        <w:keepLines w:val="0"/>
        <w:pageBreakBefore w:val="0"/>
        <w:widowControl w:val="0"/>
        <w:kinsoku/>
        <w:wordWrap/>
        <w:overflowPunct/>
        <w:topLinePunct w:val="0"/>
        <w:bidi w:val="0"/>
        <w:snapToGrid/>
        <w:spacing w:line="500" w:lineRule="exact"/>
        <w:ind w:firstLine="650" w:firstLineChars="250"/>
        <w:jc w:val="left"/>
        <w:textAlignment w:val="auto"/>
        <w:outlineLvl w:val="9"/>
        <w:rPr>
          <w:rFonts w:ascii="仿宋_GB2312" w:hAnsi="仿宋_GB2312" w:cs="仿宋_GB2312"/>
          <w:sz w:val="26"/>
          <w:szCs w:val="26"/>
        </w:rPr>
      </w:pPr>
      <w:r>
        <w:rPr>
          <w:rFonts w:ascii="仿宋_GB2312" w:hAnsi="仿宋_GB2312" w:cs="仿宋_GB2312"/>
          <w:sz w:val="26"/>
          <w:szCs w:val="26"/>
        </w:rPr>
        <w:t>二、收入决算情况说明</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ascii="仿宋_GB2312" w:hAnsi="仿宋_GB2312" w:cs="仿宋_GB2312"/>
          <w:color w:val="000000"/>
          <w:kern w:val="0"/>
          <w:sz w:val="26"/>
          <w:szCs w:val="26"/>
        </w:rPr>
        <w:t>三、支出决算情况说明</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ascii="仿宋_GB2312" w:hAnsi="仿宋_GB2312" w:cs="仿宋_GB2312"/>
          <w:color w:val="000000"/>
          <w:kern w:val="0"/>
          <w:sz w:val="26"/>
          <w:szCs w:val="26"/>
        </w:rPr>
        <w:t>四、财政拨款收入支出决算总体情况说明</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ascii="仿宋_GB2312" w:hAnsi="仿宋_GB2312" w:cs="仿宋_GB2312"/>
          <w:color w:val="000000"/>
          <w:kern w:val="0"/>
          <w:sz w:val="26"/>
          <w:szCs w:val="26"/>
        </w:rPr>
        <w:t>五、一般公共预算财政拨款支出决算情况说明</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ascii="仿宋_GB2312" w:hAnsi="仿宋_GB2312" w:cs="仿宋_GB2312"/>
          <w:color w:val="000000"/>
          <w:kern w:val="0"/>
          <w:sz w:val="26"/>
          <w:szCs w:val="26"/>
        </w:rPr>
        <w:t>六、一般公共预算财政拨款基本支出决算情况说明</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ascii="仿宋_GB2312" w:hAnsi="仿宋_GB2312" w:cs="仿宋_GB2312"/>
          <w:color w:val="000000"/>
          <w:kern w:val="0"/>
          <w:sz w:val="26"/>
          <w:szCs w:val="26"/>
        </w:rPr>
        <w:t>七、一般公共预算财政拨款三公经费支出决算情况说明</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hint="eastAsia" w:ascii="仿宋_GB2312" w:hAnsi="仿宋_GB2312" w:cs="仿宋_GB2312"/>
          <w:color w:val="000000"/>
          <w:kern w:val="0"/>
          <w:sz w:val="26"/>
          <w:szCs w:val="26"/>
        </w:rPr>
        <w:t>八</w:t>
      </w:r>
      <w:r>
        <w:rPr>
          <w:rFonts w:ascii="仿宋_GB2312" w:hAnsi="仿宋_GB2312" w:cs="仿宋_GB2312"/>
          <w:color w:val="000000"/>
          <w:kern w:val="0"/>
          <w:sz w:val="26"/>
          <w:szCs w:val="26"/>
        </w:rPr>
        <w:t>、</w:t>
      </w:r>
      <w:r>
        <w:rPr>
          <w:rFonts w:hint="eastAsia" w:ascii="仿宋_GB2312" w:hAnsi="仿宋_GB2312" w:cs="仿宋_GB2312"/>
          <w:color w:val="000000"/>
          <w:kern w:val="0"/>
          <w:sz w:val="26"/>
          <w:szCs w:val="26"/>
        </w:rPr>
        <w:t>政府性基金预算收入支出决算情况</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hint="eastAsia" w:ascii="仿宋_GB2312" w:hAnsi="仿宋_GB2312" w:cs="仿宋_GB2312"/>
          <w:color w:val="000000"/>
          <w:kern w:val="0"/>
          <w:sz w:val="26"/>
          <w:szCs w:val="26"/>
        </w:rPr>
        <w:t>九</w:t>
      </w:r>
      <w:r>
        <w:rPr>
          <w:rFonts w:ascii="仿宋_GB2312" w:hAnsi="仿宋_GB2312" w:cs="仿宋_GB2312"/>
          <w:color w:val="000000"/>
          <w:kern w:val="0"/>
          <w:sz w:val="26"/>
          <w:szCs w:val="26"/>
        </w:rPr>
        <w:t>、预算绩效情况说明</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50" w:firstLineChars="250"/>
        <w:jc w:val="left"/>
        <w:textAlignment w:val="auto"/>
        <w:outlineLvl w:val="9"/>
        <w:rPr>
          <w:rFonts w:ascii="仿宋_GB2312" w:hAnsi="仿宋_GB2312" w:cs="仿宋_GB2312"/>
          <w:color w:val="000000"/>
          <w:kern w:val="0"/>
          <w:sz w:val="26"/>
          <w:szCs w:val="26"/>
        </w:rPr>
      </w:pPr>
      <w:r>
        <w:rPr>
          <w:rFonts w:hint="eastAsia" w:ascii="仿宋_GB2312" w:hAnsi="仿宋_GB2312" w:cs="仿宋_GB2312"/>
          <w:color w:val="000000"/>
          <w:kern w:val="0"/>
          <w:sz w:val="26"/>
          <w:szCs w:val="26"/>
        </w:rPr>
        <w:t>十</w:t>
      </w:r>
      <w:r>
        <w:rPr>
          <w:rFonts w:ascii="仿宋_GB2312" w:hAnsi="仿宋_GB2312" w:cs="仿宋_GB2312"/>
          <w:color w:val="000000"/>
          <w:kern w:val="0"/>
          <w:sz w:val="26"/>
          <w:szCs w:val="26"/>
        </w:rPr>
        <w:t>、其他重要事项情况说明</w:t>
      </w:r>
    </w:p>
    <w:p>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outlineLvl w:val="9"/>
        <w:rPr>
          <w:rFonts w:ascii="黑体" w:hAnsi="黑体" w:eastAsia="黑体" w:cs="仿宋_GB2312"/>
          <w:b/>
          <w:color w:val="000000"/>
          <w:kern w:val="0"/>
          <w:sz w:val="26"/>
          <w:szCs w:val="26"/>
        </w:rPr>
      </w:pPr>
      <w:r>
        <w:rPr>
          <w:rFonts w:ascii="黑体" w:hAnsi="黑体" w:eastAsia="黑体" w:cs="黑体"/>
          <w:b/>
          <w:color w:val="000000"/>
          <w:kern w:val="0"/>
          <w:sz w:val="26"/>
          <w:szCs w:val="26"/>
        </w:rPr>
        <w:t>第四部分名词解释</w:t>
      </w:r>
    </w:p>
    <w:p>
      <w:pPr>
        <w:keepNext w:val="0"/>
        <w:keepLines w:val="0"/>
        <w:pageBreakBefore w:val="0"/>
        <w:widowControl w:val="0"/>
        <w:kinsoku/>
        <w:wordWrap/>
        <w:overflowPunct/>
        <w:topLinePunct w:val="0"/>
        <w:bidi w:val="0"/>
        <w:snapToGrid/>
        <w:spacing w:line="500" w:lineRule="exact"/>
        <w:jc w:val="left"/>
        <w:textAlignment w:val="auto"/>
        <w:outlineLvl w:val="9"/>
        <w:rPr>
          <w:rFonts w:ascii="黑体" w:hAnsi="黑体" w:eastAsia="黑体" w:cs="黑体"/>
          <w:b/>
          <w:color w:val="000000"/>
          <w:kern w:val="0"/>
          <w:sz w:val="26"/>
          <w:szCs w:val="26"/>
        </w:rPr>
      </w:pPr>
      <w:r>
        <w:rPr>
          <w:rFonts w:ascii="黑体" w:hAnsi="黑体" w:eastAsia="黑体" w:cs="黑体"/>
          <w:b/>
          <w:color w:val="000000"/>
          <w:kern w:val="0"/>
          <w:sz w:val="26"/>
          <w:szCs w:val="26"/>
        </w:rPr>
        <w:t>第五部分附件</w:t>
      </w:r>
    </w:p>
    <w:p>
      <w:pPr>
        <w:pStyle w:val="2"/>
        <w:rPr>
          <w:rFonts w:ascii="黑体" w:hAnsi="黑体" w:eastAsia="黑体" w:cs="黑体"/>
          <w:b/>
          <w:color w:val="000000"/>
          <w:kern w:val="0"/>
          <w:sz w:val="26"/>
          <w:szCs w:val="26"/>
        </w:rPr>
      </w:pPr>
    </w:p>
    <w:p>
      <w:pPr>
        <w:pStyle w:val="2"/>
        <w:rPr>
          <w:rFonts w:ascii="黑体" w:hAnsi="黑体" w:eastAsia="黑体" w:cs="黑体"/>
          <w:b/>
          <w:color w:val="000000"/>
          <w:kern w:val="0"/>
          <w:sz w:val="26"/>
          <w:szCs w:val="26"/>
        </w:rPr>
      </w:pPr>
    </w:p>
    <w:p>
      <w:pPr>
        <w:pStyle w:val="11"/>
        <w:numPr>
          <w:ilvl w:val="0"/>
          <w:numId w:val="1"/>
        </w:numPr>
        <w:ind w:leftChars="0"/>
        <w:jc w:val="center"/>
        <w:rPr>
          <w:rFonts w:hint="eastAsia" w:ascii="黑体" w:hAnsi="黑体" w:eastAsia="黑体"/>
          <w:sz w:val="32"/>
          <w:szCs w:val="32"/>
        </w:rPr>
      </w:pPr>
      <w:r>
        <w:rPr>
          <w:rFonts w:hint="eastAsia" w:ascii="黑体" w:hAnsi="黑体" w:eastAsia="黑体"/>
          <w:sz w:val="32"/>
          <w:szCs w:val="32"/>
        </w:rPr>
        <w:t>衡南县泉湖镇人民政府概况</w:t>
      </w:r>
    </w:p>
    <w:p>
      <w:pPr>
        <w:pStyle w:val="11"/>
        <w:numPr>
          <w:ilvl w:val="0"/>
          <w:numId w:val="0"/>
        </w:numPr>
        <w:jc w:val="both"/>
        <w:rPr>
          <w:rFonts w:hint="eastAsia" w:ascii="黑体" w:hAnsi="黑体" w:eastAsia="黑体"/>
          <w:sz w:val="32"/>
          <w:szCs w:val="32"/>
        </w:rPr>
      </w:pPr>
    </w:p>
    <w:p>
      <w:pPr>
        <w:pStyle w:val="11"/>
        <w:numPr>
          <w:ilvl w:val="0"/>
          <w:numId w:val="2"/>
        </w:numPr>
        <w:ind w:firstLineChars="0"/>
        <w:jc w:val="left"/>
        <w:rPr>
          <w:rFonts w:ascii="黑体" w:hAnsi="黑体" w:eastAsia="黑体"/>
          <w:sz w:val="32"/>
          <w:szCs w:val="32"/>
        </w:rPr>
      </w:pPr>
      <w:r>
        <w:rPr>
          <w:rFonts w:ascii="黑体" w:hAnsi="黑体" w:eastAsia="黑体"/>
          <w:sz w:val="32"/>
          <w:szCs w:val="32"/>
        </w:rPr>
        <w:t>部门职责</w:t>
      </w:r>
    </w:p>
    <w:p>
      <w:pPr>
        <w:ind w:firstLine="800" w:firstLineChars="250"/>
        <w:jc w:val="left"/>
        <w:rPr>
          <w:rFonts w:hint="eastAsia" w:asciiTheme="minorEastAsia" w:hAnsiTheme="minorEastAsia"/>
          <w:sz w:val="32"/>
          <w:szCs w:val="32"/>
        </w:rPr>
      </w:pPr>
      <w:r>
        <w:rPr>
          <w:rFonts w:hint="eastAsia" w:asciiTheme="minorEastAsia" w:hAnsiTheme="minorEastAsia"/>
          <w:sz w:val="32"/>
          <w:szCs w:val="32"/>
        </w:rPr>
        <w:t>1、负责党的路线、方针、政策和国家法律、法规在本行政区域内的宣传、贯彻、落实。加强基层党组织和政权建设，为本地区经济的发展和社会稳定提供政治、社会环境和组织保证。</w:t>
      </w:r>
    </w:p>
    <w:p>
      <w:pPr>
        <w:ind w:firstLine="800" w:firstLineChars="250"/>
        <w:jc w:val="left"/>
        <w:rPr>
          <w:rFonts w:hint="eastAsia" w:asciiTheme="minorEastAsia" w:hAnsiTheme="minorEastAsia"/>
          <w:sz w:val="32"/>
          <w:szCs w:val="32"/>
        </w:rPr>
      </w:pPr>
      <w:r>
        <w:rPr>
          <w:rFonts w:hint="eastAsia" w:asciiTheme="minorEastAsia" w:hAnsiTheme="minorEastAsia"/>
          <w:sz w:val="32"/>
          <w:szCs w:val="32"/>
        </w:rPr>
        <w:t>2、负责制定本行政区域内经济建设和各项社会事业发展的规划，并组织实施。依法管理经济和社会事务，促进本片区两个文明建设。负责本行政区域内的民主与法制建设工作，维护和保障公民的各项合法权利。</w:t>
      </w:r>
    </w:p>
    <w:p>
      <w:pPr>
        <w:ind w:firstLine="800" w:firstLineChars="250"/>
        <w:jc w:val="left"/>
        <w:rPr>
          <w:rFonts w:hint="eastAsia" w:asciiTheme="minorEastAsia" w:hAnsiTheme="minorEastAsia"/>
          <w:sz w:val="32"/>
          <w:szCs w:val="32"/>
        </w:rPr>
      </w:pPr>
      <w:r>
        <w:rPr>
          <w:rFonts w:hint="eastAsia" w:asciiTheme="minorEastAsia" w:hAnsiTheme="minorEastAsia"/>
          <w:sz w:val="32"/>
          <w:szCs w:val="32"/>
        </w:rPr>
        <w:t>3、负责泉湖镇党委、人大、政府、政协联络工委、纪律委员会、人民武装及共青团、妇联等群团组织的日常工作。</w:t>
      </w:r>
    </w:p>
    <w:p>
      <w:pPr>
        <w:ind w:firstLine="800" w:firstLineChars="250"/>
        <w:jc w:val="left"/>
        <w:rPr>
          <w:rFonts w:hint="eastAsia" w:asciiTheme="minorEastAsia" w:hAnsiTheme="minorEastAsia"/>
          <w:sz w:val="32"/>
          <w:szCs w:val="32"/>
        </w:rPr>
      </w:pPr>
      <w:r>
        <w:rPr>
          <w:rFonts w:hint="eastAsia" w:asciiTheme="minorEastAsia" w:hAnsiTheme="minorEastAsia"/>
          <w:sz w:val="32"/>
          <w:szCs w:val="32"/>
        </w:rPr>
        <w:t>4、负责完成上级机关交办的其他工作任务。</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keepNext w:val="0"/>
        <w:keepLines w:val="0"/>
        <w:pageBreakBefore w:val="0"/>
        <w:widowControl/>
        <w:kinsoku/>
        <w:wordWrap/>
        <w:overflowPunct/>
        <w:topLinePunct w:val="0"/>
        <w:autoSpaceDE/>
        <w:autoSpaceDN/>
        <w:bidi w:val="0"/>
        <w:adjustRightInd/>
        <w:snapToGrid/>
        <w:spacing w:line="600" w:lineRule="exact"/>
        <w:ind w:firstLine="643" w:firstLineChars="200"/>
        <w:textAlignment w:val="auto"/>
        <w:outlineLvl w:val="9"/>
        <w:rPr>
          <w:rFonts w:hint="eastAsia" w:asciiTheme="minorEastAsia" w:hAnsiTheme="minorEastAsia"/>
          <w:bCs/>
          <w:kern w:val="0"/>
          <w:sz w:val="32"/>
          <w:szCs w:val="32"/>
          <w:lang w:val="en-US" w:eastAsia="zh-CN"/>
        </w:rPr>
      </w:pPr>
      <w:r>
        <w:rPr>
          <w:rFonts w:hint="eastAsia" w:asciiTheme="minorEastAsia" w:hAnsiTheme="minorEastAsia"/>
          <w:b/>
          <w:bCs w:val="0"/>
          <w:kern w:val="0"/>
          <w:sz w:val="32"/>
          <w:szCs w:val="32"/>
        </w:rPr>
        <w:t>（一）内设机构设置。</w:t>
      </w:r>
      <w:r>
        <w:rPr>
          <w:rFonts w:hint="eastAsia" w:asciiTheme="minorEastAsia" w:hAnsiTheme="minorEastAsia"/>
          <w:bCs/>
          <w:kern w:val="0"/>
          <w:sz w:val="32"/>
          <w:szCs w:val="32"/>
        </w:rPr>
        <w:t>本镇</w:t>
      </w:r>
      <w:r>
        <w:rPr>
          <w:rFonts w:hint="eastAsia" w:asciiTheme="minorEastAsia" w:hAnsiTheme="minorEastAsia"/>
          <w:bCs/>
          <w:kern w:val="0"/>
          <w:sz w:val="32"/>
          <w:szCs w:val="32"/>
          <w:lang w:val="en-US" w:eastAsia="zh-CN"/>
        </w:rPr>
        <w:t>2020年</w:t>
      </w:r>
      <w:r>
        <w:rPr>
          <w:rFonts w:hint="eastAsia" w:asciiTheme="minorEastAsia" w:hAnsiTheme="minorEastAsia"/>
          <w:bCs/>
          <w:kern w:val="0"/>
          <w:sz w:val="32"/>
          <w:szCs w:val="32"/>
        </w:rPr>
        <w:t>内设机构包括：</w:t>
      </w:r>
      <w:r>
        <w:rPr>
          <w:rFonts w:hint="eastAsia" w:asciiTheme="minorEastAsia" w:hAnsiTheme="minorEastAsia"/>
          <w:bCs/>
          <w:kern w:val="0"/>
          <w:sz w:val="32"/>
          <w:szCs w:val="32"/>
          <w:lang w:val="en-US" w:eastAsia="zh-CN"/>
        </w:rPr>
        <w:t>党委、政府、人大、政协及财政所。</w:t>
      </w:r>
    </w:p>
    <w:p>
      <w:pPr>
        <w:keepNext w:val="0"/>
        <w:keepLines w:val="0"/>
        <w:pageBreakBefore w:val="0"/>
        <w:widowControl/>
        <w:kinsoku/>
        <w:wordWrap/>
        <w:overflowPunct/>
        <w:topLinePunct w:val="0"/>
        <w:autoSpaceDE/>
        <w:autoSpaceDN/>
        <w:bidi w:val="0"/>
        <w:adjustRightInd/>
        <w:snapToGrid/>
        <w:spacing w:line="600" w:lineRule="exact"/>
        <w:ind w:firstLine="643" w:firstLineChars="200"/>
        <w:textAlignment w:val="auto"/>
        <w:outlineLvl w:val="9"/>
        <w:rPr>
          <w:rFonts w:ascii="黑体" w:hAnsi="黑体" w:eastAsia="黑体"/>
          <w:sz w:val="28"/>
          <w:szCs w:val="28"/>
        </w:rPr>
      </w:pPr>
      <w:r>
        <w:rPr>
          <w:rFonts w:hint="eastAsia" w:asciiTheme="minorEastAsia" w:hAnsiTheme="minorEastAsia"/>
          <w:b/>
          <w:bCs w:val="0"/>
          <w:kern w:val="0"/>
          <w:sz w:val="32"/>
          <w:szCs w:val="32"/>
        </w:rPr>
        <w:t>（二）决算单位构成。</w:t>
      </w:r>
      <w:r>
        <w:rPr>
          <w:rFonts w:hint="eastAsia" w:asciiTheme="minorEastAsia" w:hAnsiTheme="minorEastAsia"/>
          <w:bCs/>
          <w:kern w:val="0"/>
          <w:sz w:val="32"/>
          <w:szCs w:val="32"/>
        </w:rPr>
        <w:t>衡南县泉湖镇人民政府</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年部门决算汇总公开单位构成：</w:t>
      </w:r>
      <w:r>
        <w:rPr>
          <w:rFonts w:hint="eastAsia" w:asciiTheme="minorEastAsia" w:hAnsiTheme="minorEastAsia"/>
          <w:bCs/>
          <w:kern w:val="0"/>
          <w:sz w:val="32"/>
          <w:szCs w:val="32"/>
          <w:lang w:eastAsia="zh-CN"/>
        </w:rPr>
        <w:t>泉湖镇人民政府</w:t>
      </w:r>
      <w:r>
        <w:rPr>
          <w:rFonts w:hint="eastAsia" w:asciiTheme="minorEastAsia" w:hAnsiTheme="minorEastAsia"/>
          <w:bCs/>
          <w:kern w:val="0"/>
          <w:sz w:val="32"/>
          <w:szCs w:val="32"/>
        </w:rPr>
        <w:t>本级</w:t>
      </w:r>
      <w:r>
        <w:rPr>
          <w:rFonts w:hint="eastAsia" w:asciiTheme="minorEastAsia" w:hAnsiTheme="minorEastAsia"/>
          <w:bCs/>
          <w:kern w:val="0"/>
          <w:sz w:val="32"/>
          <w:szCs w:val="32"/>
          <w:lang w:eastAsia="zh-CN"/>
        </w:rPr>
        <w:t>。本镇为一级预算单位，无下属二级机构及其他。</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rFonts w:hint="default" w:eastAsiaTheme="minorEastAsia"/>
          <w:sz w:val="52"/>
          <w:szCs w:val="52"/>
          <w:lang w:val="en-US" w:eastAsia="zh-CN"/>
        </w:rPr>
      </w:pPr>
      <w:r>
        <w:rPr>
          <w:rFonts w:hint="eastAsia"/>
          <w:sz w:val="52"/>
          <w:szCs w:val="52"/>
          <w:lang w:val="en-US" w:eastAsia="zh-CN"/>
        </w:rPr>
        <w:t>(2020年部门决算公示表附后)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587" w:bottom="1118" w:left="1587" w:header="851" w:footer="992" w:gutter="0"/>
          <w:cols w:space="0" w:num="1"/>
          <w:rtlGutter w:val="0"/>
          <w:docGrid w:type="lines" w:linePitch="312" w:charSpace="0"/>
        </w:sect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w:t>
      </w:r>
      <w:r>
        <w:rPr>
          <w:rFonts w:hint="eastAsia"/>
          <w:sz w:val="70"/>
          <w:szCs w:val="70"/>
          <w:lang w:val="en-US" w:eastAsia="zh-CN"/>
        </w:rPr>
        <w:t>20</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一、收入支出决算总体情况说明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年度收、支总计</w:t>
      </w:r>
      <w:r>
        <w:rPr>
          <w:rFonts w:hint="eastAsia" w:asciiTheme="minorEastAsia" w:hAnsiTheme="minorEastAsia" w:eastAsiaTheme="minorEastAsia"/>
          <w:sz w:val="32"/>
          <w:szCs w:val="32"/>
          <w:lang w:val="en-US" w:eastAsia="zh-CN"/>
        </w:rPr>
        <w:t>1663.25</w:t>
      </w:r>
      <w:r>
        <w:rPr>
          <w:rFonts w:hint="eastAsia" w:asciiTheme="minorEastAsia" w:hAnsiTheme="minorEastAsia" w:eastAsiaTheme="minorEastAsia"/>
          <w:sz w:val="32"/>
          <w:szCs w:val="32"/>
        </w:rPr>
        <w:t>万元。与20</w:t>
      </w:r>
      <w:r>
        <w:rPr>
          <w:rFonts w:hint="eastAsia" w:asciiTheme="minorEastAsia" w:hAnsiTheme="minorEastAsia" w:eastAsiaTheme="minorEastAsia"/>
          <w:sz w:val="32"/>
          <w:szCs w:val="32"/>
          <w:lang w:val="en-US" w:eastAsia="zh-CN"/>
        </w:rPr>
        <w:t>19</w:t>
      </w:r>
      <w:r>
        <w:rPr>
          <w:rFonts w:hint="eastAsia" w:asciiTheme="minorEastAsia" w:hAnsiTheme="minorEastAsia" w:eastAsiaTheme="minorEastAsia"/>
          <w:sz w:val="32"/>
          <w:szCs w:val="32"/>
        </w:rPr>
        <w:t>年</w:t>
      </w:r>
      <w:r>
        <w:rPr>
          <w:rFonts w:hint="eastAsia" w:asciiTheme="minorEastAsia" w:hAnsiTheme="minorEastAsia" w:eastAsiaTheme="minorEastAsia"/>
          <w:sz w:val="32"/>
          <w:szCs w:val="32"/>
          <w:lang w:val="en-US" w:eastAsia="zh-CN"/>
        </w:rPr>
        <w:t>1523.72万元</w:t>
      </w:r>
      <w:r>
        <w:rPr>
          <w:rFonts w:hint="eastAsia" w:asciiTheme="minorEastAsia" w:hAnsiTheme="minorEastAsia" w:eastAsiaTheme="minorEastAsia"/>
          <w:sz w:val="32"/>
          <w:szCs w:val="32"/>
        </w:rPr>
        <w:t>相比，增加</w:t>
      </w:r>
      <w:r>
        <w:rPr>
          <w:rFonts w:hint="eastAsia" w:asciiTheme="minorEastAsia" w:hAnsiTheme="minorEastAsia" w:eastAsiaTheme="minorEastAsia"/>
          <w:sz w:val="32"/>
          <w:szCs w:val="32"/>
          <w:lang w:val="en-US" w:eastAsia="zh-CN"/>
        </w:rPr>
        <w:t>139.53</w:t>
      </w:r>
      <w:r>
        <w:rPr>
          <w:rFonts w:hint="eastAsia" w:asciiTheme="minorEastAsia" w:hAnsiTheme="minorEastAsia" w:eastAsiaTheme="minorEastAsia"/>
          <w:sz w:val="32"/>
          <w:szCs w:val="32"/>
        </w:rPr>
        <w:t>万元，增长</w:t>
      </w:r>
      <w:r>
        <w:rPr>
          <w:rFonts w:hint="eastAsia" w:asciiTheme="minorEastAsia" w:hAnsiTheme="minorEastAsia" w:eastAsiaTheme="minorEastAsia"/>
          <w:sz w:val="32"/>
          <w:szCs w:val="32"/>
          <w:lang w:val="en-US" w:eastAsia="zh-CN"/>
        </w:rPr>
        <w:t>9.16</w:t>
      </w:r>
      <w:r>
        <w:rPr>
          <w:rFonts w:hint="eastAsia" w:asciiTheme="minorEastAsia" w:hAnsiTheme="minorEastAsia" w:eastAsiaTheme="minorEastAsia"/>
          <w:sz w:val="32"/>
          <w:szCs w:val="32"/>
        </w:rPr>
        <w:t>%，主要是因为：（一）</w:t>
      </w:r>
      <w:r>
        <w:rPr>
          <w:rFonts w:hint="eastAsia" w:asciiTheme="minorEastAsia" w:hAnsiTheme="minorEastAsia" w:eastAsiaTheme="minorEastAsia"/>
          <w:sz w:val="32"/>
          <w:szCs w:val="32"/>
          <w:lang w:eastAsia="zh-CN"/>
        </w:rPr>
        <w:t>2020年突发新冠肺炎增加疫情防控资金</w:t>
      </w:r>
      <w:r>
        <w:rPr>
          <w:rFonts w:hint="eastAsia" w:asciiTheme="minorEastAsia" w:hAnsiTheme="minorEastAsia" w:eastAsiaTheme="minorEastAsia"/>
          <w:sz w:val="32"/>
          <w:szCs w:val="32"/>
        </w:rPr>
        <w:t>；（二）</w:t>
      </w:r>
      <w:r>
        <w:rPr>
          <w:rFonts w:hint="eastAsia" w:asciiTheme="minorEastAsia" w:hAnsiTheme="minorEastAsia" w:eastAsiaTheme="minorEastAsia"/>
          <w:sz w:val="32"/>
          <w:szCs w:val="32"/>
          <w:lang w:val="en-US" w:eastAsia="zh-CN"/>
        </w:rPr>
        <w:t>年初结转和结余增加</w:t>
      </w:r>
      <w:r>
        <w:rPr>
          <w:rFonts w:hint="eastAsia" w:asciiTheme="minorEastAsia" w:hAnsiTheme="minorEastAsia" w:eastAsiaTheme="minorEastAsia"/>
          <w:sz w:val="32"/>
          <w:szCs w:val="32"/>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二、收入决算情况说明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1663.25</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1354.85</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81.46</w:t>
      </w:r>
      <w:r>
        <w:rPr>
          <w:rFonts w:hint="eastAsia" w:asciiTheme="minorEastAsia" w:hAnsiTheme="minorEastAsia" w:eastAsiaTheme="minorEastAsia"/>
          <w:sz w:val="32"/>
          <w:szCs w:val="32"/>
        </w:rPr>
        <w:t>%；政府性基金预算财政拨款收入</w:t>
      </w:r>
      <w:r>
        <w:rPr>
          <w:rFonts w:hint="eastAsia" w:asciiTheme="minorEastAsia" w:hAnsiTheme="minorEastAsia" w:eastAsiaTheme="minorEastAsia"/>
          <w:sz w:val="32"/>
          <w:szCs w:val="32"/>
          <w:lang w:val="en-US" w:eastAsia="zh-CN"/>
        </w:rPr>
        <w:t>73.16万元，</w:t>
      </w:r>
      <w:r>
        <w:rPr>
          <w:rFonts w:hint="eastAsia" w:asciiTheme="minorEastAsia" w:hAnsiTheme="minorEastAsia" w:eastAsiaTheme="minorEastAsia"/>
          <w:sz w:val="32"/>
          <w:szCs w:val="32"/>
        </w:rPr>
        <w:t>占</w:t>
      </w:r>
      <w:r>
        <w:rPr>
          <w:rFonts w:hint="eastAsia" w:asciiTheme="minorEastAsia" w:hAnsiTheme="minorEastAsia" w:eastAsiaTheme="minorEastAsia"/>
          <w:sz w:val="32"/>
          <w:szCs w:val="32"/>
          <w:lang w:val="en-US" w:eastAsia="zh-CN"/>
        </w:rPr>
        <w:t>4.4</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年初结转和结余</w:t>
      </w:r>
      <w:r>
        <w:rPr>
          <w:rFonts w:hint="eastAsia" w:asciiTheme="minorEastAsia" w:hAnsiTheme="minorEastAsia" w:eastAsiaTheme="minorEastAsia"/>
          <w:sz w:val="32"/>
          <w:szCs w:val="32"/>
          <w:lang w:val="en-US" w:eastAsia="zh-CN"/>
        </w:rPr>
        <w:t>235.24</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14</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14</w:t>
      </w:r>
      <w:r>
        <w:rPr>
          <w:rFonts w:hint="eastAsia" w:asciiTheme="minorEastAsia" w:hAnsiTheme="minorEastAsia" w:eastAsiaTheme="minorEastAsia"/>
          <w:sz w:val="32"/>
          <w:szCs w:val="32"/>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三、支出决算情况说明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1428.01</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350.89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24</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57</w:t>
      </w:r>
      <w:r>
        <w:rPr>
          <w:rFonts w:hint="eastAsia" w:asciiTheme="minorEastAsia" w:hAnsiTheme="minorEastAsia" w:eastAsiaTheme="minorEastAsia"/>
          <w:sz w:val="32"/>
          <w:szCs w:val="32"/>
        </w:rPr>
        <w:t>%；项目支出</w:t>
      </w:r>
      <w:r>
        <w:rPr>
          <w:rFonts w:hint="eastAsia" w:asciiTheme="minorEastAsia" w:hAnsiTheme="minorEastAsia" w:eastAsiaTheme="minorEastAsia"/>
          <w:sz w:val="32"/>
          <w:szCs w:val="32"/>
          <w:lang w:val="en-US" w:eastAsia="zh-CN"/>
        </w:rPr>
        <w:t>1077.12</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73.43</w:t>
      </w:r>
      <w:r>
        <w:rPr>
          <w:rFonts w:hint="eastAsia" w:asciiTheme="minorEastAsia" w:hAnsiTheme="minorEastAsia" w:eastAsiaTheme="minorEastAsia"/>
          <w:sz w:val="32"/>
          <w:szCs w:val="32"/>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四、财政拨款收入支出决算总体情况说明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 xml:space="preserve"> 20</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年度财政拨款收</w:t>
      </w:r>
      <w:r>
        <w:rPr>
          <w:rFonts w:hint="eastAsia" w:asciiTheme="minorEastAsia" w:hAnsiTheme="minorEastAsia" w:eastAsiaTheme="minorEastAsia"/>
          <w:sz w:val="32"/>
          <w:szCs w:val="32"/>
          <w:lang w:eastAsia="zh-CN"/>
        </w:rPr>
        <w:t>、支</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1354.85</w:t>
      </w:r>
      <w:r>
        <w:rPr>
          <w:rFonts w:hint="eastAsia" w:asciiTheme="minorEastAsia" w:hAnsiTheme="minorEastAsia" w:eastAsiaTheme="minorEastAsia"/>
          <w:sz w:val="32"/>
          <w:szCs w:val="32"/>
        </w:rPr>
        <w:t>万元，与201</w:t>
      </w:r>
      <w:r>
        <w:rPr>
          <w:rFonts w:hint="eastAsia" w:asciiTheme="minorEastAsia" w:hAnsiTheme="minorEastAsia" w:eastAsiaTheme="minorEastAsia"/>
          <w:sz w:val="32"/>
          <w:szCs w:val="32"/>
          <w:lang w:val="en-US" w:eastAsia="zh-CN"/>
        </w:rPr>
        <w:t>9</w:t>
      </w:r>
      <w:r>
        <w:rPr>
          <w:rFonts w:hint="eastAsia" w:asciiTheme="minorEastAsia" w:hAnsiTheme="minorEastAsia" w:eastAsiaTheme="minorEastAsia"/>
          <w:sz w:val="32"/>
          <w:szCs w:val="32"/>
        </w:rPr>
        <w:t>年</w:t>
      </w:r>
      <w:r>
        <w:rPr>
          <w:rFonts w:hint="eastAsia" w:asciiTheme="minorEastAsia" w:hAnsiTheme="minorEastAsia" w:eastAsiaTheme="minorEastAsia"/>
          <w:sz w:val="32"/>
          <w:szCs w:val="32"/>
          <w:lang w:val="en-US" w:eastAsia="zh-CN"/>
        </w:rPr>
        <w:t>1455.47</w:t>
      </w:r>
      <w:r>
        <w:rPr>
          <w:rFonts w:hint="eastAsia" w:asciiTheme="minorEastAsia" w:hAnsiTheme="minorEastAsia" w:eastAsiaTheme="minorEastAsia"/>
          <w:sz w:val="32"/>
          <w:szCs w:val="32"/>
        </w:rPr>
        <w:t>万元相比，</w:t>
      </w:r>
      <w:r>
        <w:rPr>
          <w:rFonts w:hint="eastAsia" w:asciiTheme="minorEastAsia" w:hAnsiTheme="minorEastAsia" w:eastAsiaTheme="minorEastAsia"/>
          <w:sz w:val="32"/>
          <w:szCs w:val="32"/>
          <w:lang w:val="en-US" w:eastAsia="zh-CN"/>
        </w:rPr>
        <w:t>减少100.62</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减少6.91</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 xml:space="preserve"> </w:t>
      </w:r>
      <w:r>
        <w:rPr>
          <w:rFonts w:hint="eastAsia" w:asciiTheme="minorEastAsia" w:hAnsiTheme="minorEastAsia" w:eastAsiaTheme="minorEastAsia"/>
          <w:sz w:val="32"/>
          <w:szCs w:val="32"/>
          <w:lang w:eastAsia="zh-CN"/>
        </w:rPr>
        <w:t>财政拨款</w:t>
      </w:r>
      <w:r>
        <w:rPr>
          <w:rFonts w:hint="eastAsia" w:asciiTheme="minorEastAsia" w:hAnsiTheme="minorEastAsia" w:eastAsiaTheme="minorEastAsia"/>
          <w:sz w:val="32"/>
          <w:szCs w:val="32"/>
          <w:lang w:val="en-US" w:eastAsia="zh-CN"/>
        </w:rPr>
        <w:t>减少</w:t>
      </w:r>
      <w:r>
        <w:rPr>
          <w:rFonts w:hint="eastAsia" w:asciiTheme="minorEastAsia" w:hAnsiTheme="minorEastAsia" w:eastAsiaTheme="minorEastAsia"/>
          <w:sz w:val="32"/>
          <w:szCs w:val="32"/>
          <w:lang w:eastAsia="zh-CN"/>
        </w:rPr>
        <w:t>的主要原因</w:t>
      </w:r>
      <w:r>
        <w:rPr>
          <w:rFonts w:hint="eastAsia" w:asciiTheme="minorEastAsia" w:hAnsiTheme="minorEastAsia" w:eastAsiaTheme="minorEastAsia"/>
          <w:sz w:val="32"/>
          <w:szCs w:val="32"/>
          <w:lang w:val="en-US" w:eastAsia="zh-CN"/>
        </w:rPr>
        <w:t>财政所人员开支纳入财政局决算及人员异动及津贴跨年度支付</w:t>
      </w:r>
      <w:r>
        <w:rPr>
          <w:rFonts w:hint="eastAsia" w:asciiTheme="minorEastAsia" w:hAnsiTheme="minorEastAsia" w:eastAsiaTheme="minorEastAsia"/>
          <w:sz w:val="32"/>
          <w:szCs w:val="32"/>
          <w:lang w:eastAsia="zh-CN"/>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五、一般公共预算财政拨款支出决算情况说明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（一）财政拨款支出决算总体情况</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年度财政拨款支出</w:t>
      </w:r>
      <w:r>
        <w:rPr>
          <w:rFonts w:hint="eastAsia" w:asciiTheme="minorEastAsia" w:hAnsiTheme="minorEastAsia" w:eastAsiaTheme="minorEastAsia"/>
          <w:sz w:val="32"/>
          <w:szCs w:val="32"/>
          <w:lang w:val="en-US" w:eastAsia="zh-CN"/>
        </w:rPr>
        <w:t>1354.85万元，</w:t>
      </w:r>
      <w:r>
        <w:rPr>
          <w:rFonts w:hint="eastAsia" w:asciiTheme="minorEastAsia" w:hAnsiTheme="minorEastAsia" w:eastAsiaTheme="minorEastAsia"/>
          <w:sz w:val="32"/>
          <w:szCs w:val="32"/>
        </w:rPr>
        <w:t>占本年支出合计的</w:t>
      </w:r>
      <w:r>
        <w:rPr>
          <w:rFonts w:hint="eastAsia" w:asciiTheme="minorEastAsia" w:hAnsiTheme="minorEastAsia" w:eastAsiaTheme="minorEastAsia"/>
          <w:sz w:val="32"/>
          <w:szCs w:val="32"/>
          <w:lang w:val="en-US" w:eastAsia="zh-CN"/>
        </w:rPr>
        <w:t>94.87</w:t>
      </w:r>
      <w:r>
        <w:rPr>
          <w:rFonts w:hint="eastAsia" w:asciiTheme="minorEastAsia" w:hAnsiTheme="minorEastAsia" w:eastAsiaTheme="minorEastAsia"/>
          <w:sz w:val="32"/>
          <w:szCs w:val="32"/>
        </w:rPr>
        <w:t>%，与201</w:t>
      </w:r>
      <w:r>
        <w:rPr>
          <w:rFonts w:hint="eastAsia" w:asciiTheme="minorEastAsia" w:hAnsiTheme="minorEastAsia" w:eastAsiaTheme="minorEastAsia"/>
          <w:sz w:val="32"/>
          <w:szCs w:val="32"/>
          <w:lang w:val="en-US" w:eastAsia="zh-CN"/>
        </w:rPr>
        <w:t>9</w:t>
      </w:r>
      <w:r>
        <w:rPr>
          <w:rFonts w:hint="eastAsia" w:asciiTheme="minorEastAsia" w:hAnsiTheme="minorEastAsia" w:eastAsiaTheme="minorEastAsia"/>
          <w:sz w:val="32"/>
          <w:szCs w:val="32"/>
        </w:rPr>
        <w:t>年1359.78万元相比，财政拨款支出</w:t>
      </w:r>
      <w:r>
        <w:rPr>
          <w:rFonts w:hint="eastAsia" w:asciiTheme="minorEastAsia" w:hAnsiTheme="minorEastAsia" w:eastAsiaTheme="minorEastAsia"/>
          <w:sz w:val="32"/>
          <w:szCs w:val="32"/>
          <w:lang w:val="en-US" w:eastAsia="zh-CN"/>
        </w:rPr>
        <w:t>减少4.93</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减少0</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36</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val="en-US" w:eastAsia="zh-CN"/>
        </w:rPr>
        <w:t>财政所人员开支纳入财政局决算</w:t>
      </w:r>
      <w:r>
        <w:rPr>
          <w:rFonts w:hint="eastAsia" w:asciiTheme="minorEastAsia" w:hAnsiTheme="minorEastAsia" w:eastAsiaTheme="minorEastAsia"/>
          <w:sz w:val="32"/>
          <w:szCs w:val="32"/>
          <w:lang w:eastAsia="zh-CN"/>
        </w:rPr>
        <w:t>及</w:t>
      </w:r>
      <w:r>
        <w:rPr>
          <w:rFonts w:hint="eastAsia" w:asciiTheme="minorEastAsia" w:hAnsiTheme="minorEastAsia" w:eastAsiaTheme="minorEastAsia"/>
          <w:sz w:val="32"/>
          <w:szCs w:val="32"/>
          <w:lang w:val="en-US" w:eastAsia="zh-CN"/>
        </w:rPr>
        <w:t>项目资金</w:t>
      </w:r>
      <w:r>
        <w:rPr>
          <w:rFonts w:hint="eastAsia" w:asciiTheme="minorEastAsia" w:hAnsiTheme="minorEastAsia" w:eastAsiaTheme="minorEastAsia"/>
          <w:sz w:val="32"/>
          <w:szCs w:val="32"/>
        </w:rPr>
        <w:t>相应增加。</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（二）财政拨款支出决算结构情况</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年度财政拨款支出13</w:t>
      </w:r>
      <w:r>
        <w:rPr>
          <w:rFonts w:hint="eastAsia" w:asciiTheme="minorEastAsia" w:hAnsiTheme="minorEastAsia" w:eastAsiaTheme="minorEastAsia"/>
          <w:sz w:val="32"/>
          <w:szCs w:val="32"/>
          <w:lang w:val="en-US" w:eastAsia="zh-CN"/>
        </w:rPr>
        <w:t>54</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85</w:t>
      </w:r>
      <w:r>
        <w:rPr>
          <w:rFonts w:hint="eastAsia" w:asciiTheme="minorEastAsia" w:hAnsiTheme="minorEastAsia" w:eastAsiaTheme="minorEastAsia"/>
          <w:sz w:val="32"/>
          <w:szCs w:val="32"/>
        </w:rPr>
        <w:t>万元，主要用于以下方面：一般公共服务支出786.12万元，占</w:t>
      </w:r>
      <w:r>
        <w:rPr>
          <w:rFonts w:hint="eastAsia" w:asciiTheme="minorEastAsia" w:hAnsiTheme="minorEastAsia" w:eastAsiaTheme="minorEastAsia"/>
          <w:sz w:val="32"/>
          <w:szCs w:val="32"/>
          <w:lang w:val="en-US" w:eastAsia="zh-CN"/>
        </w:rPr>
        <w:t>58</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02</w:t>
      </w:r>
      <w:r>
        <w:rPr>
          <w:rFonts w:hint="eastAsia" w:asciiTheme="minorEastAsia" w:hAnsiTheme="minorEastAsia" w:eastAsiaTheme="minorEastAsia"/>
          <w:sz w:val="32"/>
          <w:szCs w:val="32"/>
        </w:rPr>
        <w:t>%，文化旅游体育与传媒支出</w:t>
      </w:r>
      <w:r>
        <w:rPr>
          <w:rFonts w:hint="eastAsia" w:asciiTheme="minorEastAsia" w:hAnsiTheme="minorEastAsia" w:eastAsiaTheme="minorEastAsia"/>
          <w:sz w:val="32"/>
          <w:szCs w:val="32"/>
          <w:lang w:val="en-US" w:eastAsia="zh-CN"/>
        </w:rPr>
        <w:t>8.5</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63</w:t>
      </w:r>
      <w:r>
        <w:rPr>
          <w:rFonts w:hint="eastAsia" w:asciiTheme="minorEastAsia" w:hAnsiTheme="minorEastAsia" w:eastAsiaTheme="minorEastAsia"/>
          <w:sz w:val="32"/>
          <w:szCs w:val="32"/>
        </w:rPr>
        <w:t>%，社会保障和就业支出</w:t>
      </w:r>
      <w:r>
        <w:rPr>
          <w:rFonts w:hint="eastAsia" w:asciiTheme="minorEastAsia" w:hAnsiTheme="minorEastAsia" w:eastAsiaTheme="minorEastAsia"/>
          <w:sz w:val="32"/>
          <w:szCs w:val="32"/>
          <w:lang w:val="en-US" w:eastAsia="zh-CN"/>
        </w:rPr>
        <w:t>38.5</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2.84</w:t>
      </w:r>
      <w:r>
        <w:rPr>
          <w:rFonts w:hint="eastAsia" w:asciiTheme="minorEastAsia" w:hAnsiTheme="minorEastAsia" w:eastAsiaTheme="minorEastAsia"/>
          <w:sz w:val="32"/>
          <w:szCs w:val="32"/>
        </w:rPr>
        <w:t>%，卫生健康支出</w:t>
      </w:r>
      <w:r>
        <w:rPr>
          <w:rFonts w:hint="eastAsia" w:asciiTheme="minorEastAsia" w:hAnsiTheme="minorEastAsia" w:eastAsiaTheme="minorEastAsia"/>
          <w:sz w:val="32"/>
          <w:szCs w:val="32"/>
          <w:lang w:val="en-US" w:eastAsia="zh-CN"/>
        </w:rPr>
        <w:t>10.08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0.75</w:t>
      </w:r>
      <w:r>
        <w:rPr>
          <w:rFonts w:hint="eastAsia" w:asciiTheme="minorEastAsia" w:hAnsiTheme="minorEastAsia" w:eastAsiaTheme="minorEastAsia"/>
          <w:sz w:val="32"/>
          <w:szCs w:val="32"/>
        </w:rPr>
        <w:t>%，住房保障支出</w:t>
      </w:r>
      <w:r>
        <w:rPr>
          <w:rFonts w:hint="eastAsia" w:asciiTheme="minorEastAsia" w:hAnsiTheme="minorEastAsia" w:eastAsiaTheme="minorEastAsia"/>
          <w:sz w:val="32"/>
          <w:szCs w:val="32"/>
          <w:lang w:val="en-US" w:eastAsia="zh-CN"/>
        </w:rPr>
        <w:t>22.39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1.65</w:t>
      </w:r>
      <w:r>
        <w:rPr>
          <w:rFonts w:hint="eastAsia" w:asciiTheme="minorEastAsia" w:hAnsiTheme="minorEastAsia" w:eastAsiaTheme="minorEastAsia"/>
          <w:sz w:val="32"/>
          <w:szCs w:val="32"/>
        </w:rPr>
        <w:t>%，农林水支出</w:t>
      </w:r>
      <w:r>
        <w:rPr>
          <w:rFonts w:hint="eastAsia" w:asciiTheme="minorEastAsia" w:hAnsiTheme="minorEastAsia" w:eastAsiaTheme="minorEastAsia"/>
          <w:sz w:val="32"/>
          <w:szCs w:val="32"/>
          <w:lang w:val="en-US" w:eastAsia="zh-CN"/>
        </w:rPr>
        <w:t>489.26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36</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11</w:t>
      </w:r>
      <w:r>
        <w:rPr>
          <w:rFonts w:hint="eastAsia" w:asciiTheme="minorEastAsia" w:hAnsiTheme="minorEastAsia" w:eastAsiaTheme="minorEastAsia"/>
          <w:sz w:val="32"/>
          <w:szCs w:val="32"/>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（三）财政拨款支出决算具体情况</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年度财政拨款支出年初预算数为</w:t>
      </w:r>
      <w:r>
        <w:rPr>
          <w:rFonts w:hint="eastAsia" w:asciiTheme="minorEastAsia" w:hAnsiTheme="minorEastAsia" w:eastAsiaTheme="minorEastAsia"/>
          <w:sz w:val="32"/>
          <w:szCs w:val="32"/>
          <w:lang w:val="en-US" w:eastAsia="zh-CN"/>
        </w:rPr>
        <w:t>747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66</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1354.85</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181.21</w:t>
      </w:r>
      <w:r>
        <w:rPr>
          <w:rFonts w:hint="eastAsia" w:asciiTheme="minorEastAsia" w:hAnsiTheme="minorEastAsia" w:eastAsiaTheme="minorEastAsia"/>
          <w:sz w:val="32"/>
          <w:szCs w:val="32"/>
        </w:rPr>
        <w:t>%，其中：</w:t>
      </w:r>
    </w:p>
    <w:tbl>
      <w:tblPr>
        <w:tblStyle w:val="6"/>
        <w:tblW w:w="892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2437"/>
        <w:gridCol w:w="886"/>
        <w:gridCol w:w="1057"/>
        <w:gridCol w:w="1103"/>
        <w:gridCol w:w="34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38" w:hRule="atLeast"/>
        </w:trPr>
        <w:tc>
          <w:tcPr>
            <w:tcW w:w="2437" w:type="dxa"/>
            <w:tcBorders>
              <w:top w:val="single" w:color="000000" w:sz="12" w:space="0"/>
              <w:left w:val="single" w:color="000000" w:sz="12" w:space="0"/>
              <w:bottom w:val="single" w:color="000000" w:sz="12" w:space="0"/>
              <w:right w:val="single" w:color="000000" w:sz="12" w:space="0"/>
              <w:tl2br w:val="nil"/>
              <w:tr2bl w:val="nil"/>
            </w:tcBorders>
            <w:vAlign w:val="center"/>
          </w:tcPr>
          <w:p>
            <w:pPr>
              <w:keepNext w:val="0"/>
              <w:keepLines w:val="0"/>
              <w:suppressLineNumbers w:val="0"/>
              <w:spacing w:before="0" w:beforeAutospacing="0" w:after="0" w:afterAutospacing="0"/>
              <w:ind w:left="0" w:right="0"/>
              <w:jc w:val="center"/>
              <w:textAlignment w:val="center"/>
              <w:rPr>
                <w:rFonts w:hint="eastAsia" w:ascii="仿宋" w:hAnsi="仿宋" w:eastAsia="仿宋"/>
                <w:color w:val="000000"/>
                <w:sz w:val="24"/>
                <w:szCs w:val="24"/>
              </w:rPr>
            </w:pPr>
            <w:r>
              <w:rPr>
                <w:rFonts w:hint="eastAsia" w:ascii="仿宋" w:hAnsi="仿宋" w:eastAsia="仿宋"/>
                <w:color w:val="000000"/>
                <w:kern w:val="0"/>
                <w:sz w:val="24"/>
                <w:szCs w:val="24"/>
                <w:lang w:val="en-US" w:eastAsia="zh-CN"/>
              </w:rPr>
              <w:t>科目</w:t>
            </w:r>
          </w:p>
        </w:tc>
        <w:tc>
          <w:tcPr>
            <w:tcW w:w="886" w:type="dxa"/>
            <w:tcBorders>
              <w:top w:val="single" w:color="000000" w:sz="12" w:space="0"/>
              <w:left w:val="nil"/>
              <w:bottom w:val="single" w:color="000000" w:sz="12" w:space="0"/>
              <w:right w:val="single" w:color="000000" w:sz="12" w:space="0"/>
              <w:tl2br w:val="nil"/>
              <w:tr2bl w:val="nil"/>
            </w:tcBorders>
            <w:vAlign w:val="center"/>
          </w:tcPr>
          <w:p>
            <w:pPr>
              <w:keepNext w:val="0"/>
              <w:keepLines w:val="0"/>
              <w:suppressLineNumbers w:val="0"/>
              <w:spacing w:before="0" w:beforeAutospacing="0" w:after="0" w:afterAutospacing="0"/>
              <w:ind w:left="0" w:right="0"/>
              <w:jc w:val="center"/>
              <w:textAlignment w:val="center"/>
              <w:rPr>
                <w:rFonts w:hint="eastAsia" w:ascii="仿宋" w:hAnsi="仿宋" w:eastAsia="仿宋"/>
                <w:color w:val="000000"/>
                <w:sz w:val="24"/>
                <w:szCs w:val="24"/>
              </w:rPr>
            </w:pPr>
            <w:r>
              <w:rPr>
                <w:rFonts w:hint="eastAsia" w:ascii="仿宋" w:hAnsi="仿宋" w:eastAsia="仿宋"/>
                <w:color w:val="000000"/>
                <w:kern w:val="0"/>
                <w:sz w:val="24"/>
                <w:szCs w:val="24"/>
                <w:lang w:val="en-US" w:eastAsia="zh-CN"/>
              </w:rPr>
              <w:t>年初预算（万元）</w:t>
            </w:r>
          </w:p>
        </w:tc>
        <w:tc>
          <w:tcPr>
            <w:tcW w:w="1057" w:type="dxa"/>
            <w:tcBorders>
              <w:top w:val="single" w:color="000000" w:sz="12" w:space="0"/>
              <w:left w:val="nil"/>
              <w:bottom w:val="single" w:color="000000" w:sz="12" w:space="0"/>
              <w:right w:val="single" w:color="000000" w:sz="12" w:space="0"/>
              <w:tl2br w:val="nil"/>
              <w:tr2bl w:val="nil"/>
            </w:tcBorders>
            <w:vAlign w:val="center"/>
          </w:tcPr>
          <w:p>
            <w:pPr>
              <w:keepNext w:val="0"/>
              <w:keepLines w:val="0"/>
              <w:suppressLineNumbers w:val="0"/>
              <w:spacing w:before="0" w:beforeAutospacing="0" w:after="0" w:afterAutospacing="0"/>
              <w:ind w:left="0" w:right="0"/>
              <w:jc w:val="center"/>
              <w:textAlignment w:val="center"/>
              <w:rPr>
                <w:rFonts w:hint="eastAsia" w:ascii="仿宋" w:hAnsi="仿宋" w:eastAsia="仿宋"/>
                <w:color w:val="000000"/>
                <w:sz w:val="24"/>
                <w:szCs w:val="24"/>
              </w:rPr>
            </w:pPr>
            <w:r>
              <w:rPr>
                <w:rFonts w:hint="eastAsia" w:ascii="仿宋" w:hAnsi="仿宋" w:eastAsia="仿宋"/>
                <w:color w:val="000000"/>
                <w:kern w:val="0"/>
                <w:sz w:val="24"/>
                <w:szCs w:val="24"/>
                <w:lang w:val="en-US" w:eastAsia="zh-CN"/>
              </w:rPr>
              <w:t>本年决算（万元）</w:t>
            </w:r>
          </w:p>
        </w:tc>
        <w:tc>
          <w:tcPr>
            <w:tcW w:w="1103" w:type="dxa"/>
            <w:tcBorders>
              <w:top w:val="single" w:color="000000" w:sz="12" w:space="0"/>
              <w:left w:val="nil"/>
              <w:bottom w:val="single" w:color="000000" w:sz="12" w:space="0"/>
              <w:right w:val="single" w:color="000000" w:sz="12" w:space="0"/>
              <w:tl2br w:val="nil"/>
              <w:tr2bl w:val="nil"/>
            </w:tcBorders>
            <w:vAlign w:val="center"/>
          </w:tcPr>
          <w:p>
            <w:pPr>
              <w:keepNext w:val="0"/>
              <w:keepLines w:val="0"/>
              <w:suppressLineNumbers w:val="0"/>
              <w:spacing w:before="0" w:beforeAutospacing="0" w:after="0" w:afterAutospacing="0"/>
              <w:ind w:left="0" w:right="0"/>
              <w:jc w:val="center"/>
              <w:textAlignment w:val="center"/>
              <w:rPr>
                <w:rFonts w:hint="eastAsia" w:ascii="仿宋" w:hAnsi="仿宋" w:eastAsia="仿宋"/>
                <w:color w:val="000000"/>
                <w:sz w:val="24"/>
                <w:szCs w:val="24"/>
              </w:rPr>
            </w:pPr>
            <w:r>
              <w:rPr>
                <w:rFonts w:hint="eastAsia" w:ascii="仿宋" w:hAnsi="仿宋" w:eastAsia="仿宋"/>
                <w:color w:val="000000"/>
                <w:kern w:val="0"/>
                <w:sz w:val="24"/>
                <w:szCs w:val="24"/>
                <w:lang w:val="en-US" w:eastAsia="zh-CN"/>
              </w:rPr>
              <w:t>完成年初预算的（%）</w:t>
            </w:r>
          </w:p>
        </w:tc>
        <w:tc>
          <w:tcPr>
            <w:tcW w:w="3443" w:type="dxa"/>
            <w:tcBorders>
              <w:top w:val="single" w:color="000000" w:sz="12" w:space="0"/>
              <w:left w:val="nil"/>
              <w:bottom w:val="single" w:color="000000" w:sz="12" w:space="0"/>
              <w:right w:val="single" w:color="000000" w:sz="12" w:space="0"/>
              <w:tl2br w:val="nil"/>
              <w:tr2bl w:val="nil"/>
            </w:tcBorders>
            <w:vAlign w:val="center"/>
          </w:tcPr>
          <w:p>
            <w:pPr>
              <w:keepNext w:val="0"/>
              <w:keepLines w:val="0"/>
              <w:suppressLineNumbers w:val="0"/>
              <w:spacing w:before="0" w:beforeAutospacing="0" w:after="0" w:afterAutospacing="0"/>
              <w:ind w:left="0" w:right="0"/>
              <w:jc w:val="center"/>
              <w:textAlignment w:val="center"/>
              <w:rPr>
                <w:rFonts w:hint="eastAsia" w:ascii="仿宋" w:hAnsi="仿宋" w:eastAsia="仿宋"/>
                <w:color w:val="000000"/>
                <w:sz w:val="24"/>
                <w:szCs w:val="24"/>
              </w:rPr>
            </w:pPr>
            <w:r>
              <w:rPr>
                <w:rFonts w:hint="eastAsia" w:ascii="仿宋" w:hAnsi="仿宋" w:eastAsia="仿宋"/>
                <w:color w:val="000000"/>
                <w:kern w:val="0"/>
                <w:sz w:val="24"/>
                <w:szCs w:val="24"/>
                <w:lang w:val="en-US" w:eastAsia="zh-CN"/>
              </w:rPr>
              <w:t>主要原因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2437" w:type="dxa"/>
            <w:tcBorders>
              <w:top w:val="nil"/>
              <w:left w:val="single" w:color="000000" w:sz="12" w:space="0"/>
              <w:bottom w:val="single" w:color="000000" w:sz="12" w:space="0"/>
              <w:right w:val="single" w:color="000000" w:sz="12" w:space="0"/>
              <w:tl2br w:val="nil"/>
              <w:tr2bl w:val="nil"/>
            </w:tcBorders>
            <w:vAlign w:val="top"/>
          </w:tcPr>
          <w:p>
            <w:pPr>
              <w:keepNext w:val="0"/>
              <w:keepLines w:val="0"/>
              <w:suppressLineNumbers w:val="0"/>
              <w:spacing w:before="0" w:beforeAutospacing="0" w:after="0" w:afterAutospacing="0"/>
              <w:ind w:left="0" w:right="0"/>
              <w:jc w:val="center"/>
              <w:textAlignment w:val="top"/>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rPr>
              <w:t>合计</w:t>
            </w:r>
          </w:p>
        </w:tc>
        <w:tc>
          <w:tcPr>
            <w:tcW w:w="886" w:type="dxa"/>
            <w:tcBorders>
              <w:top w:val="nil"/>
              <w:left w:val="nil"/>
              <w:bottom w:val="single" w:color="000000" w:sz="12" w:space="0"/>
              <w:right w:val="single" w:color="000000" w:sz="12" w:space="0"/>
              <w:tl2br w:val="nil"/>
              <w:tr2bl w:val="nil"/>
            </w:tcBorders>
            <w:vAlign w:val="top"/>
          </w:tcPr>
          <w:p>
            <w:pPr>
              <w:keepNext w:val="0"/>
              <w:keepLines w:val="0"/>
              <w:suppressLineNumbers w:val="0"/>
              <w:spacing w:before="0" w:beforeAutospacing="0" w:after="0" w:afterAutospacing="0"/>
              <w:ind w:left="0" w:right="0"/>
              <w:jc w:val="center"/>
              <w:textAlignment w:val="top"/>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rPr>
              <w:t>747.66</w:t>
            </w:r>
          </w:p>
        </w:tc>
        <w:tc>
          <w:tcPr>
            <w:tcW w:w="1057" w:type="dxa"/>
            <w:tcBorders>
              <w:top w:val="nil"/>
              <w:left w:val="nil"/>
              <w:bottom w:val="single" w:color="000000" w:sz="12" w:space="0"/>
              <w:right w:val="single" w:color="000000" w:sz="12" w:space="0"/>
              <w:tl2br w:val="nil"/>
              <w:tr2bl w:val="nil"/>
            </w:tcBorders>
            <w:vAlign w:val="top"/>
          </w:tcPr>
          <w:p>
            <w:pPr>
              <w:keepNext w:val="0"/>
              <w:keepLines w:val="0"/>
              <w:suppressLineNumbers w:val="0"/>
              <w:spacing w:before="0" w:beforeAutospacing="0" w:after="0" w:afterAutospacing="0"/>
              <w:ind w:left="0" w:right="0"/>
              <w:jc w:val="center"/>
              <w:textAlignment w:val="top"/>
              <w:rPr>
                <w:rFonts w:hint="default" w:ascii="仿宋" w:hAnsi="仿宋" w:eastAsia="仿宋" w:cs="仿宋"/>
                <w:color w:val="000000"/>
                <w:sz w:val="24"/>
                <w:szCs w:val="24"/>
                <w:lang w:val="en-US"/>
              </w:rPr>
            </w:pPr>
            <w:r>
              <w:rPr>
                <w:rFonts w:hint="eastAsia" w:ascii="仿宋" w:hAnsi="仿宋" w:eastAsia="仿宋" w:cs="仿宋"/>
                <w:color w:val="000000"/>
                <w:kern w:val="0"/>
                <w:sz w:val="24"/>
                <w:szCs w:val="24"/>
                <w:lang w:val="en-US" w:eastAsia="zh-CN"/>
              </w:rPr>
              <w:t>1354.85</w:t>
            </w:r>
          </w:p>
        </w:tc>
        <w:tc>
          <w:tcPr>
            <w:tcW w:w="1103" w:type="dxa"/>
            <w:tcBorders>
              <w:top w:val="nil"/>
              <w:left w:val="nil"/>
              <w:bottom w:val="single" w:color="000000" w:sz="12" w:space="0"/>
              <w:right w:val="single" w:color="000000" w:sz="12" w:space="0"/>
              <w:tl2br w:val="nil"/>
              <w:tr2bl w:val="nil"/>
            </w:tcBorders>
            <w:vAlign w:val="top"/>
          </w:tcPr>
          <w:p>
            <w:pPr>
              <w:keepNext w:val="0"/>
              <w:keepLines w:val="0"/>
              <w:suppressLineNumbers w:val="0"/>
              <w:spacing w:before="0" w:beforeAutospacing="0" w:after="0" w:afterAutospacing="0"/>
              <w:ind w:left="0" w:right="0"/>
              <w:jc w:val="center"/>
              <w:textAlignment w:val="top"/>
              <w:rPr>
                <w:rFonts w:hint="default" w:ascii="仿宋" w:hAnsi="仿宋" w:eastAsia="仿宋" w:cs="仿宋"/>
                <w:color w:val="000000"/>
                <w:sz w:val="24"/>
                <w:szCs w:val="24"/>
                <w:lang w:val="en-US" w:eastAsia="zh-CN"/>
              </w:rPr>
            </w:pPr>
            <w:r>
              <w:rPr>
                <w:rFonts w:hint="eastAsia" w:ascii="仿宋" w:hAnsi="仿宋" w:eastAsia="仿宋" w:cs="仿宋"/>
                <w:sz w:val="24"/>
                <w:szCs w:val="24"/>
                <w:lang w:val="en-US" w:eastAsia="zh-CN"/>
              </w:rPr>
              <w:t>181.21</w:t>
            </w:r>
          </w:p>
        </w:tc>
        <w:tc>
          <w:tcPr>
            <w:tcW w:w="3443" w:type="dxa"/>
            <w:tcBorders>
              <w:top w:val="nil"/>
              <w:left w:val="nil"/>
              <w:bottom w:val="single" w:color="000000" w:sz="12" w:space="0"/>
              <w:right w:val="single" w:color="000000" w:sz="12" w:space="0"/>
              <w:tl2br w:val="nil"/>
              <w:tr2bl w:val="nil"/>
            </w:tcBorders>
            <w:vAlign w:val="top"/>
          </w:tcPr>
          <w:p>
            <w:pPr>
              <w:keepNext w:val="0"/>
              <w:keepLines w:val="0"/>
              <w:suppressLineNumbers w:val="0"/>
              <w:spacing w:before="0" w:beforeAutospacing="0" w:after="0" w:afterAutospacing="0"/>
              <w:ind w:left="0" w:right="0"/>
              <w:jc w:val="center"/>
              <w:rPr>
                <w:rFonts w:hint="eastAsia" w:ascii="仿宋" w:hAnsi="仿宋" w:eastAsia="仿宋" w:cs="仿宋"/>
                <w:color w:val="00000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45" w:hRule="atLeast"/>
        </w:trPr>
        <w:tc>
          <w:tcPr>
            <w:tcW w:w="2437" w:type="dxa"/>
            <w:tcBorders>
              <w:top w:val="nil"/>
              <w:left w:val="single" w:color="000000" w:sz="12" w:space="0"/>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一般公共服务支出</w:t>
            </w:r>
          </w:p>
        </w:tc>
        <w:tc>
          <w:tcPr>
            <w:tcW w:w="886"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306.64</w:t>
            </w:r>
          </w:p>
        </w:tc>
        <w:tc>
          <w:tcPr>
            <w:tcW w:w="1057"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宋体" w:hAnsi="宋体" w:eastAsia="宋体" w:cs="宋体"/>
                <w:i w:val="0"/>
                <w:color w:val="000000"/>
                <w:kern w:val="0"/>
                <w:sz w:val="24"/>
                <w:szCs w:val="24"/>
                <w:lang w:val="en-US" w:eastAsia="zh-CN" w:bidi="ar"/>
              </w:rPr>
              <w:t>786.12</w:t>
            </w:r>
          </w:p>
        </w:tc>
        <w:tc>
          <w:tcPr>
            <w:tcW w:w="110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rPr>
                <w:rFonts w:hint="eastAsia" w:ascii="仿宋" w:hAnsi="仿宋" w:eastAsia="仿宋" w:cs="仿宋"/>
                <w:color w:val="000000"/>
                <w:sz w:val="24"/>
                <w:szCs w:val="24"/>
                <w:lang w:val="en-US"/>
              </w:rPr>
            </w:pPr>
            <w:r>
              <w:rPr>
                <w:rFonts w:hint="eastAsia" w:ascii="宋体" w:hAnsi="宋体" w:eastAsia="宋体" w:cs="宋体"/>
                <w:i w:val="0"/>
                <w:color w:val="000000"/>
                <w:kern w:val="0"/>
                <w:sz w:val="24"/>
                <w:szCs w:val="24"/>
                <w:lang w:val="en-US" w:eastAsia="zh-CN" w:bidi="ar"/>
              </w:rPr>
              <w:t>156.37</w:t>
            </w:r>
          </w:p>
        </w:tc>
        <w:tc>
          <w:tcPr>
            <w:tcW w:w="344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增加项目资金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29" w:hRule="atLeast"/>
        </w:trPr>
        <w:tc>
          <w:tcPr>
            <w:tcW w:w="2437" w:type="dxa"/>
            <w:tcBorders>
              <w:top w:val="nil"/>
              <w:left w:val="single" w:color="000000" w:sz="12" w:space="0"/>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bidi="ar"/>
              </w:rPr>
              <w:t>文化旅游体育与传媒支出</w:t>
            </w:r>
          </w:p>
        </w:tc>
        <w:tc>
          <w:tcPr>
            <w:tcW w:w="886"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kern w:val="0"/>
                <w:sz w:val="24"/>
                <w:szCs w:val="24"/>
                <w:lang w:val="en-US" w:eastAsia="zh-CN"/>
              </w:rPr>
            </w:pPr>
          </w:p>
        </w:tc>
        <w:tc>
          <w:tcPr>
            <w:tcW w:w="1057"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kern w:val="0"/>
                <w:sz w:val="24"/>
                <w:szCs w:val="24"/>
                <w:lang w:val="en-US" w:eastAsia="zh-CN"/>
              </w:rPr>
            </w:pPr>
            <w:r>
              <w:rPr>
                <w:rFonts w:hint="eastAsia" w:ascii="宋体" w:hAnsi="宋体" w:eastAsia="宋体" w:cs="宋体"/>
                <w:i w:val="0"/>
                <w:color w:val="000000"/>
                <w:kern w:val="0"/>
                <w:sz w:val="24"/>
                <w:szCs w:val="24"/>
                <w:lang w:val="en-US" w:eastAsia="zh-CN" w:bidi="ar"/>
              </w:rPr>
              <w:t>8.5</w:t>
            </w:r>
          </w:p>
        </w:tc>
        <w:tc>
          <w:tcPr>
            <w:tcW w:w="110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kern w:val="0"/>
                <w:sz w:val="24"/>
                <w:szCs w:val="24"/>
                <w:lang w:val="en-US" w:eastAsia="zh-CN"/>
              </w:rPr>
            </w:pPr>
          </w:p>
        </w:tc>
        <w:tc>
          <w:tcPr>
            <w:tcW w:w="344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bidi="ar"/>
              </w:rPr>
              <w:t>项目资金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29" w:hRule="atLeast"/>
        </w:trPr>
        <w:tc>
          <w:tcPr>
            <w:tcW w:w="2437" w:type="dxa"/>
            <w:tcBorders>
              <w:top w:val="nil"/>
              <w:left w:val="single" w:color="000000" w:sz="12" w:space="0"/>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社会保障和就业支出</w:t>
            </w:r>
          </w:p>
        </w:tc>
        <w:tc>
          <w:tcPr>
            <w:tcW w:w="886"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49.09</w:t>
            </w:r>
          </w:p>
        </w:tc>
        <w:tc>
          <w:tcPr>
            <w:tcW w:w="1057"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宋体" w:hAnsi="宋体" w:eastAsia="宋体" w:cs="宋体"/>
                <w:i w:val="0"/>
                <w:color w:val="000000"/>
                <w:kern w:val="0"/>
                <w:sz w:val="24"/>
                <w:szCs w:val="24"/>
                <w:lang w:val="en-US" w:eastAsia="zh-CN" w:bidi="ar"/>
              </w:rPr>
              <w:t>38.5</w:t>
            </w:r>
          </w:p>
        </w:tc>
        <w:tc>
          <w:tcPr>
            <w:tcW w:w="110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lang w:val="en-US"/>
              </w:rPr>
            </w:pPr>
            <w:r>
              <w:rPr>
                <w:rFonts w:hint="eastAsia" w:ascii="宋体" w:hAnsi="宋体" w:eastAsia="宋体" w:cs="宋体"/>
                <w:i w:val="0"/>
                <w:color w:val="000000"/>
                <w:kern w:val="0"/>
                <w:sz w:val="24"/>
                <w:szCs w:val="24"/>
                <w:lang w:val="en-US" w:eastAsia="zh-CN" w:bidi="ar"/>
              </w:rPr>
              <w:t>-21.57</w:t>
            </w:r>
          </w:p>
        </w:tc>
        <w:tc>
          <w:tcPr>
            <w:tcW w:w="344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人员异动，职业年金未拨入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65" w:hRule="atLeast"/>
        </w:trPr>
        <w:tc>
          <w:tcPr>
            <w:tcW w:w="2437" w:type="dxa"/>
            <w:tcBorders>
              <w:top w:val="nil"/>
              <w:left w:val="single" w:color="000000" w:sz="12" w:space="0"/>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卫生健康支出</w:t>
            </w:r>
          </w:p>
        </w:tc>
        <w:tc>
          <w:tcPr>
            <w:tcW w:w="886"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10.08</w:t>
            </w:r>
          </w:p>
        </w:tc>
        <w:tc>
          <w:tcPr>
            <w:tcW w:w="1057"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宋体" w:hAnsi="宋体" w:eastAsia="宋体" w:cs="宋体"/>
                <w:i w:val="0"/>
                <w:color w:val="000000"/>
                <w:kern w:val="0"/>
                <w:sz w:val="24"/>
                <w:szCs w:val="24"/>
                <w:lang w:val="en-US" w:eastAsia="zh-CN" w:bidi="ar"/>
              </w:rPr>
              <w:t>10.08</w:t>
            </w:r>
          </w:p>
        </w:tc>
        <w:tc>
          <w:tcPr>
            <w:tcW w:w="110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lang w:val="en-US"/>
              </w:rPr>
            </w:pPr>
          </w:p>
        </w:tc>
        <w:tc>
          <w:tcPr>
            <w:tcW w:w="344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2437" w:type="dxa"/>
            <w:tcBorders>
              <w:top w:val="nil"/>
              <w:left w:val="single" w:color="000000" w:sz="12" w:space="0"/>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农林水支出</w:t>
            </w:r>
          </w:p>
        </w:tc>
        <w:tc>
          <w:tcPr>
            <w:tcW w:w="886"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372.59</w:t>
            </w:r>
          </w:p>
        </w:tc>
        <w:tc>
          <w:tcPr>
            <w:tcW w:w="1057"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宋体" w:hAnsi="宋体" w:eastAsia="宋体" w:cs="宋体"/>
                <w:i w:val="0"/>
                <w:color w:val="000000"/>
                <w:kern w:val="0"/>
                <w:sz w:val="24"/>
                <w:szCs w:val="24"/>
                <w:lang w:val="en-US" w:eastAsia="zh-CN" w:bidi="ar"/>
              </w:rPr>
              <w:t>489.26</w:t>
            </w:r>
          </w:p>
        </w:tc>
        <w:tc>
          <w:tcPr>
            <w:tcW w:w="110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lang w:val="en-US"/>
              </w:rPr>
            </w:pPr>
            <w:r>
              <w:rPr>
                <w:rFonts w:hint="eastAsia" w:ascii="宋体" w:hAnsi="宋体" w:eastAsia="宋体" w:cs="宋体"/>
                <w:i w:val="0"/>
                <w:color w:val="000000"/>
                <w:kern w:val="0"/>
                <w:sz w:val="24"/>
                <w:szCs w:val="24"/>
                <w:lang w:val="en-US" w:eastAsia="zh-CN" w:bidi="ar"/>
              </w:rPr>
              <w:t>31.31</w:t>
            </w:r>
          </w:p>
        </w:tc>
        <w:tc>
          <w:tcPr>
            <w:tcW w:w="344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支付上年度费用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629" w:hRule="atLeast"/>
        </w:trPr>
        <w:tc>
          <w:tcPr>
            <w:tcW w:w="2437" w:type="dxa"/>
            <w:tcBorders>
              <w:top w:val="nil"/>
              <w:left w:val="single" w:color="000000" w:sz="12" w:space="0"/>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住房保障支出</w:t>
            </w:r>
          </w:p>
        </w:tc>
        <w:tc>
          <w:tcPr>
            <w:tcW w:w="886"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9.26</w:t>
            </w:r>
          </w:p>
        </w:tc>
        <w:tc>
          <w:tcPr>
            <w:tcW w:w="1057"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宋体" w:hAnsi="宋体" w:eastAsia="宋体" w:cs="宋体"/>
                <w:i w:val="0"/>
                <w:color w:val="000000"/>
                <w:kern w:val="0"/>
                <w:sz w:val="24"/>
                <w:szCs w:val="24"/>
                <w:lang w:val="en-US" w:eastAsia="zh-CN" w:bidi="ar"/>
              </w:rPr>
              <w:t>22.39</w:t>
            </w:r>
          </w:p>
        </w:tc>
        <w:tc>
          <w:tcPr>
            <w:tcW w:w="110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lang w:val="en-US"/>
              </w:rPr>
            </w:pPr>
            <w:r>
              <w:rPr>
                <w:rFonts w:hint="eastAsia" w:ascii="宋体" w:hAnsi="宋体" w:eastAsia="宋体" w:cs="宋体"/>
                <w:i w:val="0"/>
                <w:color w:val="000000"/>
                <w:kern w:val="0"/>
                <w:sz w:val="24"/>
                <w:szCs w:val="24"/>
                <w:lang w:val="en-US" w:eastAsia="zh-CN" w:bidi="ar"/>
              </w:rPr>
              <w:t>141.79</w:t>
            </w:r>
          </w:p>
        </w:tc>
        <w:tc>
          <w:tcPr>
            <w:tcW w:w="3443" w:type="dxa"/>
            <w:tcBorders>
              <w:top w:val="nil"/>
              <w:left w:val="nil"/>
              <w:bottom w:val="single" w:color="000000" w:sz="12" w:space="0"/>
              <w:right w:val="single" w:color="000000" w:sz="12" w:space="0"/>
              <w:tl2br w:val="nil"/>
              <w:tr2bl w:val="nil"/>
            </w:tcBorders>
            <w:vAlign w:val="center"/>
          </w:tcPr>
          <w:p>
            <w:pPr>
              <w:keepNext w:val="0"/>
              <w:keepLines w:val="0"/>
              <w:widowControl/>
              <w:suppressLineNumbers w:val="0"/>
              <w:spacing w:before="0" w:beforeLines="0" w:beforeAutospacing="0" w:after="0" w:afterLines="0" w:afterAutospacing="0"/>
              <w:ind w:left="0" w:leftChars="0" w:right="0" w:right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val="en-US" w:eastAsia="zh-CN" w:bidi="ar"/>
              </w:rPr>
              <w:t>人员异动及支付上年度费用</w:t>
            </w:r>
          </w:p>
        </w:tc>
      </w:tr>
    </w:tbl>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六、一般公共预算财政拨款基本支出决算情况说明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年度财政拨款基本支出</w:t>
      </w:r>
      <w:r>
        <w:rPr>
          <w:rFonts w:hint="eastAsia" w:asciiTheme="minorEastAsia" w:hAnsiTheme="minorEastAsia" w:eastAsiaTheme="minorEastAsia"/>
          <w:sz w:val="32"/>
          <w:szCs w:val="32"/>
          <w:lang w:val="en-US" w:eastAsia="zh-CN"/>
        </w:rPr>
        <w:t>350.89</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260.17</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74.15</w:t>
      </w:r>
      <w:r>
        <w:rPr>
          <w:rFonts w:hint="eastAsia" w:asciiTheme="minorEastAsia" w:hAnsiTheme="minorEastAsia" w:eastAsiaTheme="minorEastAsia"/>
          <w:sz w:val="32"/>
          <w:szCs w:val="32"/>
        </w:rPr>
        <w:t>%,主要包括基本工资、津贴补贴、奖金、伙食补助费、机关事业单位养老保险缴费、其他社会保障缴费、住房公积金、医疗费、其他工资福利支出、离休费、抚恤金、其他对个人和家庭的补助支出；公用经费</w:t>
      </w:r>
      <w:r>
        <w:rPr>
          <w:rFonts w:hint="eastAsia" w:asciiTheme="minorEastAsia" w:hAnsiTheme="minorEastAsia" w:eastAsiaTheme="minorEastAsia"/>
          <w:sz w:val="32"/>
          <w:szCs w:val="32"/>
          <w:lang w:val="en-US" w:eastAsia="zh-CN"/>
        </w:rPr>
        <w:t>90.72</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25.85</w:t>
      </w:r>
      <w:r>
        <w:rPr>
          <w:rFonts w:hint="eastAsia" w:asciiTheme="minorEastAsia" w:hAnsiTheme="minorEastAsia" w:eastAsiaTheme="minorEastAsia"/>
          <w:sz w:val="32"/>
          <w:szCs w:val="32"/>
        </w:rPr>
        <w:t>%，主要包括办公费、印刷费、水费、电费、邮电费、差旅费、会议费、培训费、公务接待费、工会经费、福利费、公务用车运行维护费、其他交通费用、其他商品和服务支出、资本性支出。</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七、一般公共预算财政拨款三公经费支出决算情况说明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（一）“三公”经费财政拨款支出决算总体情况说明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Theme="minorEastAsia" w:hAnsiTheme="minorEastAsia" w:eastAsiaTheme="minorEastAsia"/>
          <w:sz w:val="32"/>
          <w:szCs w:val="32"/>
          <w:lang w:val="en-US" w:eastAsia="zh-CN"/>
        </w:rPr>
        <w:t>18.25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4.3</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23</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56</w:t>
      </w:r>
      <w:r>
        <w:rPr>
          <w:rFonts w:hint="eastAsia" w:asciiTheme="minorEastAsia" w:hAnsiTheme="minorEastAsia" w:eastAsiaTheme="minorEastAsia"/>
          <w:sz w:val="32"/>
          <w:szCs w:val="32"/>
        </w:rPr>
        <w:t>%，其中：</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因公出国（境）费预算为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公务接待费预算数为</w:t>
      </w:r>
      <w:r>
        <w:rPr>
          <w:rFonts w:hint="eastAsia" w:asciiTheme="minorEastAsia" w:hAnsiTheme="minorEastAsia" w:eastAsiaTheme="minorEastAsia"/>
          <w:sz w:val="32"/>
          <w:szCs w:val="32"/>
          <w:lang w:val="en-US" w:eastAsia="zh-CN"/>
        </w:rPr>
        <w:t>18.25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4.3</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23.56</w:t>
      </w:r>
      <w:r>
        <w:rPr>
          <w:rFonts w:hint="eastAsia" w:asciiTheme="minorEastAsia" w:hAnsiTheme="minorEastAsia" w:eastAsiaTheme="minorEastAsia"/>
          <w:sz w:val="32"/>
          <w:szCs w:val="32"/>
        </w:rPr>
        <w:t>%，决算数小于年初预算数的主要原因是不断规范公务接待管理，严格控制陪餐人数，有效控制了公务接待费开支。</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公务用车购置及运行费预算数为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（二）“三公”经费财政拨款支出决算具体情况说明</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年度“三公”经费财政拨款支出决算中，公务接待费支出决算</w:t>
      </w:r>
      <w:r>
        <w:rPr>
          <w:rFonts w:hint="eastAsia" w:asciiTheme="minorEastAsia" w:hAnsiTheme="minorEastAsia" w:eastAsiaTheme="minorEastAsia"/>
          <w:sz w:val="32"/>
          <w:szCs w:val="32"/>
          <w:lang w:val="en-US" w:eastAsia="zh-CN"/>
        </w:rPr>
        <w:t>4.3</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%，因公出国（境）费支出决算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%，公务用车购置费及运行维护费支出决算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万元。其中：</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公务接待费支出决算为</w:t>
      </w:r>
      <w:r>
        <w:rPr>
          <w:rFonts w:hint="eastAsia" w:asciiTheme="minorEastAsia" w:hAnsiTheme="minorEastAsia" w:eastAsiaTheme="minorEastAsia"/>
          <w:sz w:val="32"/>
          <w:szCs w:val="32"/>
          <w:lang w:val="en-US" w:eastAsia="zh-CN"/>
        </w:rPr>
        <w:t>4.3</w:t>
      </w:r>
      <w:r>
        <w:rPr>
          <w:rFonts w:hint="eastAsia" w:asciiTheme="minorEastAsia" w:hAnsiTheme="minorEastAsia" w:eastAsiaTheme="minorEastAsia"/>
          <w:sz w:val="32"/>
          <w:szCs w:val="32"/>
        </w:rPr>
        <w:t>万元，主要是用于上级组织和</w:t>
      </w:r>
      <w:r>
        <w:rPr>
          <w:rFonts w:hint="eastAsia" w:asciiTheme="minorEastAsia" w:hAnsiTheme="minorEastAsia" w:eastAsiaTheme="minorEastAsia"/>
          <w:sz w:val="32"/>
          <w:szCs w:val="32"/>
          <w:lang w:eastAsia="zh-CN"/>
        </w:rPr>
        <w:t>部门</w:t>
      </w:r>
      <w:r>
        <w:rPr>
          <w:rFonts w:hint="eastAsia" w:asciiTheme="minorEastAsia" w:hAnsiTheme="minorEastAsia" w:eastAsiaTheme="minorEastAsia"/>
          <w:sz w:val="32"/>
          <w:szCs w:val="32"/>
        </w:rPr>
        <w:t>来</w:t>
      </w:r>
      <w:r>
        <w:rPr>
          <w:rFonts w:hint="eastAsia" w:asciiTheme="minorEastAsia" w:hAnsiTheme="minorEastAsia" w:eastAsiaTheme="minorEastAsia"/>
          <w:sz w:val="32"/>
          <w:szCs w:val="32"/>
          <w:lang w:eastAsia="zh-CN"/>
        </w:rPr>
        <w:t>我镇</w:t>
      </w:r>
      <w:r>
        <w:rPr>
          <w:rFonts w:hint="eastAsia" w:asciiTheme="minorEastAsia" w:hAnsiTheme="minorEastAsia" w:eastAsiaTheme="minorEastAsia"/>
          <w:sz w:val="32"/>
          <w:szCs w:val="32"/>
        </w:rPr>
        <w:t>检查、指导、督导、调研等其他公务活动的接待支出</w:t>
      </w:r>
      <w:r>
        <w:rPr>
          <w:rFonts w:hint="eastAsia" w:asciiTheme="minorEastAsia" w:hAnsiTheme="minorEastAsia" w:eastAsiaTheme="minorEastAsia"/>
          <w:sz w:val="32"/>
          <w:szCs w:val="32"/>
          <w:lang w:eastAsia="zh-CN"/>
        </w:rPr>
        <w:t>，部分来参加会议及</w:t>
      </w:r>
      <w:r>
        <w:rPr>
          <w:rFonts w:hint="eastAsia" w:asciiTheme="minorEastAsia" w:hAnsiTheme="minorEastAsia" w:eastAsiaTheme="minorEastAsia"/>
          <w:sz w:val="32"/>
          <w:szCs w:val="32"/>
          <w:lang w:val="en-US" w:eastAsia="zh-CN"/>
        </w:rPr>
        <w:t>农耕文化节</w:t>
      </w:r>
      <w:r>
        <w:rPr>
          <w:rFonts w:hint="eastAsia" w:asciiTheme="minorEastAsia" w:hAnsiTheme="minorEastAsia" w:eastAsiaTheme="minorEastAsia"/>
          <w:sz w:val="32"/>
          <w:szCs w:val="32"/>
          <w:lang w:eastAsia="zh-CN"/>
        </w:rPr>
        <w:t>的接待费被列入会议费中</w:t>
      </w:r>
      <w:r>
        <w:rPr>
          <w:rFonts w:hint="eastAsia" w:asciiTheme="minorEastAsia" w:hAnsiTheme="minorEastAsia" w:eastAsiaTheme="minorEastAsia"/>
          <w:sz w:val="32"/>
          <w:szCs w:val="32"/>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hint="eastAsia" w:asciiTheme="minorEastAsia" w:hAnsiTheme="minorEastAsia" w:eastAsiaTheme="minorEastAsia"/>
          <w:b/>
          <w:bCs/>
          <w:sz w:val="32"/>
          <w:szCs w:val="32"/>
        </w:rPr>
      </w:pPr>
      <w:r>
        <w:rPr>
          <w:rFonts w:hint="eastAsia" w:asciiTheme="minorEastAsia" w:hAnsiTheme="minorEastAsia" w:eastAsiaTheme="minorEastAsia"/>
          <w:b/>
          <w:bCs/>
          <w:sz w:val="32"/>
          <w:szCs w:val="32"/>
        </w:rPr>
        <w:t>八、政府性基金预算收入支出决算情况</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outlineLvl w:val="9"/>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本单位</w:t>
      </w:r>
      <w:r>
        <w:rPr>
          <w:rFonts w:hint="eastAsia" w:asciiTheme="minorEastAsia" w:hAnsiTheme="minorEastAsia" w:eastAsiaTheme="minorEastAsia"/>
          <w:sz w:val="32"/>
          <w:szCs w:val="32"/>
          <w:lang w:val="en-US" w:eastAsia="zh-CN"/>
        </w:rPr>
        <w:t>2020年</w:t>
      </w:r>
      <w:r>
        <w:rPr>
          <w:rFonts w:hint="eastAsia" w:asciiTheme="minorEastAsia" w:hAnsiTheme="minorEastAsia" w:eastAsiaTheme="minorEastAsia"/>
          <w:sz w:val="32"/>
          <w:szCs w:val="32"/>
        </w:rPr>
        <w:t>政府性基金预算财政拨款收入</w:t>
      </w:r>
      <w:r>
        <w:rPr>
          <w:rFonts w:hint="eastAsia" w:asciiTheme="minorEastAsia" w:hAnsiTheme="minorEastAsia" w:eastAsiaTheme="minorEastAsia"/>
          <w:sz w:val="32"/>
          <w:szCs w:val="32"/>
          <w:lang w:val="en-US" w:eastAsia="zh-CN"/>
        </w:rPr>
        <w:t>73.16万元，是该年度突发新冠肺炎增加疫情防控资金：</w:t>
      </w:r>
      <w:r>
        <w:rPr>
          <w:rFonts w:hint="eastAsia" w:asciiTheme="minorEastAsia" w:hAnsiTheme="minorEastAsia" w:eastAsiaTheme="minorEastAsia"/>
          <w:sz w:val="32"/>
          <w:szCs w:val="32"/>
        </w:rPr>
        <w:t>政府性基金预算财政拨款</w:t>
      </w:r>
      <w:r>
        <w:rPr>
          <w:rFonts w:hint="eastAsia" w:asciiTheme="minorEastAsia" w:hAnsiTheme="minorEastAsia" w:eastAsiaTheme="minorEastAsia"/>
          <w:sz w:val="32"/>
          <w:szCs w:val="32"/>
          <w:lang w:val="en-US" w:eastAsia="zh-CN"/>
        </w:rPr>
        <w:t>支出73.16万元，全部疫情防控开支</w:t>
      </w:r>
      <w:r>
        <w:rPr>
          <w:rFonts w:hint="eastAsia" w:asciiTheme="minorEastAsia" w:hAnsiTheme="minorEastAsia" w:eastAsiaTheme="minorEastAsia"/>
          <w:sz w:val="32"/>
          <w:szCs w:val="32"/>
        </w:rPr>
        <w:t>。</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rPr>
          <w:rFonts w:hAnsi="黑体"/>
          <w:b/>
          <w:sz w:val="32"/>
          <w:szCs w:val="32"/>
        </w:rPr>
      </w:pPr>
      <w:r>
        <w:rPr>
          <w:rFonts w:hint="eastAsia" w:hAnsi="黑体"/>
          <w:b/>
          <w:sz w:val="32"/>
          <w:szCs w:val="32"/>
        </w:rPr>
        <w:t>九、其他重要事项情况说明</w:t>
      </w:r>
    </w:p>
    <w:p>
      <w:pPr>
        <w:ind w:firstLine="486"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8"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w:t>
      </w:r>
      <w:r>
        <w:rPr>
          <w:rFonts w:hint="eastAsia" w:cs="黑体" w:asciiTheme="minorEastAsia" w:hAnsiTheme="minorEastAsia"/>
          <w:color w:val="000000"/>
          <w:kern w:val="0"/>
          <w:sz w:val="32"/>
          <w:szCs w:val="32"/>
          <w:lang w:val="en-US" w:eastAsia="zh-CN"/>
        </w:rPr>
        <w:t>20</w:t>
      </w:r>
      <w:r>
        <w:rPr>
          <w:rFonts w:hint="eastAsia" w:cs="黑体" w:asciiTheme="minorEastAsia" w:hAnsiTheme="minorEastAsia"/>
          <w:color w:val="000000"/>
          <w:kern w:val="0"/>
          <w:sz w:val="32"/>
          <w:szCs w:val="32"/>
        </w:rPr>
        <w:t>年度机关运行经费支出</w:t>
      </w:r>
      <w:r>
        <w:rPr>
          <w:rFonts w:hint="eastAsia" w:cs="黑体" w:asciiTheme="minorEastAsia" w:hAnsiTheme="minorEastAsia"/>
          <w:color w:val="000000"/>
          <w:kern w:val="0"/>
          <w:sz w:val="32"/>
          <w:szCs w:val="32"/>
          <w:lang w:val="en-US" w:eastAsia="zh-CN"/>
        </w:rPr>
        <w:t>90.72</w:t>
      </w:r>
      <w:r>
        <w:rPr>
          <w:rFonts w:hint="eastAsia" w:cs="黑体" w:asciiTheme="minorEastAsia" w:hAnsiTheme="minorEastAsia"/>
          <w:color w:val="000000"/>
          <w:kern w:val="0"/>
          <w:sz w:val="32"/>
          <w:szCs w:val="32"/>
        </w:rPr>
        <w:t>万元，比年初预算数</w:t>
      </w:r>
      <w:r>
        <w:rPr>
          <w:rFonts w:hint="eastAsia" w:cs="黑体" w:asciiTheme="minorEastAsia" w:hAnsiTheme="minorEastAsia"/>
          <w:color w:val="000000"/>
          <w:kern w:val="0"/>
          <w:sz w:val="32"/>
          <w:szCs w:val="32"/>
          <w:lang w:val="en-US" w:eastAsia="zh-CN"/>
        </w:rPr>
        <w:t>减少11.28</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val="en-US" w:eastAsia="zh-CN"/>
        </w:rPr>
        <w:t>减少11.06</w:t>
      </w:r>
      <w:r>
        <w:rPr>
          <w:rFonts w:hint="eastAsia" w:cs="黑体" w:asciiTheme="minorEastAsia" w:hAnsiTheme="minorEastAsia"/>
          <w:color w:val="000000"/>
          <w:kern w:val="0"/>
          <w:sz w:val="32"/>
          <w:szCs w:val="32"/>
        </w:rPr>
        <w:t>%。主要原因是</w:t>
      </w:r>
      <w:r>
        <w:rPr>
          <w:rFonts w:hint="eastAsia" w:cs="黑体" w:asciiTheme="minorEastAsia" w:hAnsiTheme="minorEastAsia"/>
          <w:color w:val="000000"/>
          <w:kern w:val="0"/>
          <w:sz w:val="32"/>
          <w:szCs w:val="32"/>
          <w:lang w:val="en-US" w:eastAsia="zh-CN"/>
        </w:rPr>
        <w:t>严格控制开支。</w:t>
      </w:r>
    </w:p>
    <w:p>
      <w:pPr>
        <w:ind w:firstLine="648"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8" w:firstLineChars="200"/>
        <w:rPr>
          <w:rFonts w:hint="eastAsia" w:cs="黑体" w:asciiTheme="minorEastAsia" w:hAnsiTheme="minorEastAsia"/>
          <w:color w:val="000000"/>
          <w:kern w:val="0"/>
          <w:sz w:val="32"/>
          <w:szCs w:val="32"/>
          <w:lang w:val="en-US" w:eastAsia="zh-CN"/>
        </w:rPr>
      </w:pPr>
      <w:r>
        <w:rPr>
          <w:rFonts w:hint="eastAsia" w:cs="黑体" w:asciiTheme="minorEastAsia" w:hAnsiTheme="minorEastAsia"/>
          <w:color w:val="000000"/>
          <w:kern w:val="0"/>
          <w:sz w:val="32"/>
          <w:szCs w:val="32"/>
        </w:rPr>
        <w:t>20</w:t>
      </w:r>
      <w:r>
        <w:rPr>
          <w:rFonts w:hint="eastAsia" w:cs="黑体" w:asciiTheme="minorEastAsia" w:hAnsiTheme="minorEastAsia"/>
          <w:color w:val="000000"/>
          <w:kern w:val="0"/>
          <w:sz w:val="32"/>
          <w:szCs w:val="32"/>
          <w:lang w:val="en-US" w:eastAsia="zh-CN"/>
        </w:rPr>
        <w:t>20</w:t>
      </w:r>
      <w:r>
        <w:rPr>
          <w:rFonts w:hint="eastAsia" w:cs="黑体" w:asciiTheme="minorEastAsia" w:hAnsiTheme="minorEastAsia"/>
          <w:color w:val="000000"/>
          <w:kern w:val="0"/>
          <w:sz w:val="32"/>
          <w:szCs w:val="32"/>
        </w:rPr>
        <w:t>年本部门开支会议费</w:t>
      </w:r>
      <w:r>
        <w:rPr>
          <w:rFonts w:hint="eastAsia" w:cs="黑体" w:asciiTheme="minorEastAsia" w:hAnsiTheme="minorEastAsia"/>
          <w:color w:val="000000"/>
          <w:kern w:val="0"/>
          <w:sz w:val="32"/>
          <w:szCs w:val="32"/>
          <w:lang w:val="en-US" w:eastAsia="zh-CN"/>
        </w:rPr>
        <w:t>7.84</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w:t>
      </w:r>
      <w:r>
        <w:rPr>
          <w:rFonts w:hint="eastAsia" w:cs="黑体" w:asciiTheme="minorEastAsia" w:hAnsiTheme="minorEastAsia"/>
          <w:color w:val="000000"/>
          <w:kern w:val="0"/>
          <w:sz w:val="32"/>
          <w:szCs w:val="32"/>
          <w:lang w:val="en-US" w:eastAsia="zh-CN"/>
        </w:rPr>
        <w:t>全年召开了第六届第七、八次人大会，泉湖镇第六届第六次党代会等会议外，还</w:t>
      </w:r>
      <w:r>
        <w:rPr>
          <w:rFonts w:hint="eastAsia" w:cs="黑体" w:asciiTheme="minorEastAsia" w:hAnsiTheme="minorEastAsia"/>
          <w:color w:val="000000"/>
          <w:kern w:val="0"/>
          <w:sz w:val="32"/>
          <w:szCs w:val="32"/>
        </w:rPr>
        <w:t>召开</w:t>
      </w:r>
      <w:r>
        <w:rPr>
          <w:rFonts w:hint="eastAsia" w:cs="黑体" w:asciiTheme="minorEastAsia" w:hAnsiTheme="minorEastAsia"/>
          <w:color w:val="000000"/>
          <w:kern w:val="0"/>
          <w:sz w:val="32"/>
          <w:szCs w:val="32"/>
          <w:lang w:eastAsia="zh-CN"/>
        </w:rPr>
        <w:t>“</w:t>
      </w:r>
      <w:r>
        <w:rPr>
          <w:rFonts w:hint="eastAsia" w:cs="黑体" w:asciiTheme="minorEastAsia" w:hAnsiTheme="minorEastAsia"/>
          <w:color w:val="000000"/>
          <w:kern w:val="0"/>
          <w:sz w:val="32"/>
          <w:szCs w:val="32"/>
          <w:lang w:val="en-US" w:eastAsia="zh-CN"/>
        </w:rPr>
        <w:t>二八”农耕文化节大型活动，参会人员约2500人次。</w:t>
      </w:r>
    </w:p>
    <w:p>
      <w:pPr>
        <w:ind w:firstLine="648"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486" w:firstLineChars="15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w:t>
      </w:r>
      <w:r>
        <w:rPr>
          <w:rFonts w:hint="eastAsia" w:cs="黑体" w:asciiTheme="minorEastAsia" w:hAnsiTheme="minorEastAsia"/>
          <w:color w:val="000000"/>
          <w:kern w:val="0"/>
          <w:sz w:val="32"/>
          <w:szCs w:val="32"/>
          <w:lang w:val="en-US" w:eastAsia="zh-CN"/>
        </w:rPr>
        <w:t>20</w:t>
      </w:r>
      <w:r>
        <w:rPr>
          <w:rFonts w:hint="eastAsia" w:cs="黑体" w:asciiTheme="minorEastAsia" w:hAnsiTheme="minorEastAsia"/>
          <w:color w:val="000000"/>
          <w:kern w:val="0"/>
          <w:sz w:val="32"/>
          <w:szCs w:val="32"/>
        </w:rPr>
        <w:t>年度政府采购支出总额</w:t>
      </w:r>
      <w:r>
        <w:rPr>
          <w:rFonts w:hint="eastAsia" w:cs="黑体" w:asciiTheme="minorEastAsia" w:hAnsiTheme="minorEastAsia"/>
          <w:color w:val="000000"/>
          <w:kern w:val="0"/>
          <w:sz w:val="32"/>
          <w:szCs w:val="32"/>
          <w:lang w:val="en-US" w:eastAsia="zh-CN"/>
        </w:rPr>
        <w:t>64.1</w:t>
      </w:r>
      <w:r>
        <w:rPr>
          <w:rFonts w:hint="eastAsia" w:cs="黑体" w:asciiTheme="minorEastAsia" w:hAnsiTheme="minorEastAsia"/>
          <w:color w:val="000000"/>
          <w:kern w:val="0"/>
          <w:sz w:val="32"/>
          <w:szCs w:val="32"/>
        </w:rPr>
        <w:t>万元，全部是政府采购物</w:t>
      </w:r>
      <w:r>
        <w:rPr>
          <w:rFonts w:hint="eastAsia" w:cs="黑体" w:asciiTheme="minorEastAsia" w:hAnsiTheme="minorEastAsia"/>
          <w:color w:val="000000"/>
          <w:kern w:val="0"/>
          <w:sz w:val="32"/>
          <w:szCs w:val="32"/>
          <w:lang w:val="en-US" w:eastAsia="zh-CN"/>
        </w:rPr>
        <w:t>资</w:t>
      </w:r>
      <w:r>
        <w:rPr>
          <w:rFonts w:hint="eastAsia" w:cs="黑体" w:asciiTheme="minorEastAsia" w:hAnsiTheme="minorEastAsia"/>
          <w:color w:val="000000"/>
          <w:kern w:val="0"/>
          <w:sz w:val="32"/>
          <w:szCs w:val="32"/>
        </w:rPr>
        <w:t>和</w:t>
      </w:r>
      <w:r>
        <w:rPr>
          <w:rFonts w:hint="eastAsia" w:cs="黑体" w:asciiTheme="minorEastAsia" w:hAnsiTheme="minorEastAsia"/>
          <w:color w:val="000000"/>
          <w:kern w:val="0"/>
          <w:sz w:val="32"/>
          <w:szCs w:val="32"/>
          <w:lang w:val="en-US" w:eastAsia="zh-CN"/>
        </w:rPr>
        <w:t>广告等</w:t>
      </w:r>
      <w:r>
        <w:rPr>
          <w:rFonts w:hint="eastAsia" w:cs="黑体" w:asciiTheme="minorEastAsia" w:hAnsiTheme="minorEastAsia"/>
          <w:color w:val="000000"/>
          <w:kern w:val="0"/>
          <w:sz w:val="32"/>
          <w:szCs w:val="32"/>
        </w:rPr>
        <w:t>服务开支。</w:t>
      </w:r>
    </w:p>
    <w:p>
      <w:pPr>
        <w:keepNext w:val="0"/>
        <w:keepLines w:val="0"/>
        <w:pageBreakBefore w:val="0"/>
        <w:widowControl w:val="0"/>
        <w:kinsoku/>
        <w:wordWrap/>
        <w:overflowPunct/>
        <w:topLinePunct w:val="0"/>
        <w:autoSpaceDE/>
        <w:autoSpaceDN/>
        <w:bidi w:val="0"/>
        <w:adjustRightInd/>
        <w:snapToGrid/>
        <w:ind w:firstLine="648" w:firstLineChars="200"/>
        <w:textAlignment w:val="auto"/>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8" w:firstLineChars="200"/>
        <w:rPr>
          <w:sz w:val="72"/>
          <w:szCs w:val="72"/>
        </w:rPr>
      </w:pPr>
      <w:r>
        <w:rPr>
          <w:rFonts w:hint="eastAsia" w:cs="黑体" w:asciiTheme="minorEastAsia" w:hAnsiTheme="minorEastAsia"/>
          <w:color w:val="000000"/>
          <w:kern w:val="0"/>
          <w:sz w:val="32"/>
          <w:szCs w:val="32"/>
        </w:rPr>
        <w:t>截至20</w:t>
      </w:r>
      <w:r>
        <w:rPr>
          <w:rFonts w:hint="eastAsia" w:cs="黑体" w:asciiTheme="minorEastAsia" w:hAnsiTheme="minorEastAsia"/>
          <w:color w:val="000000"/>
          <w:kern w:val="0"/>
          <w:sz w:val="32"/>
          <w:szCs w:val="32"/>
          <w:lang w:val="en-US" w:eastAsia="zh-CN"/>
        </w:rPr>
        <w:t>20</w:t>
      </w:r>
      <w:r>
        <w:rPr>
          <w:rFonts w:hint="eastAsia" w:cs="黑体" w:asciiTheme="minorEastAsia" w:hAnsiTheme="minorEastAsia"/>
          <w:color w:val="000000"/>
          <w:kern w:val="0"/>
          <w:sz w:val="32"/>
          <w:szCs w:val="32"/>
        </w:rPr>
        <w:t>年12月31日，</w:t>
      </w:r>
      <w:bookmarkStart w:id="0" w:name="_GoBack"/>
      <w:bookmarkEnd w:id="0"/>
      <w:r>
        <w:rPr>
          <w:rFonts w:hint="eastAsia" w:cs="黑体" w:asciiTheme="minorEastAsia" w:hAnsiTheme="minorEastAsia"/>
          <w:color w:val="000000"/>
          <w:kern w:val="0"/>
          <w:sz w:val="32"/>
          <w:szCs w:val="32"/>
        </w:rPr>
        <w:t>本单位共有车辆</w:t>
      </w:r>
      <w:r>
        <w:rPr>
          <w:rFonts w:hint="eastAsia" w:cs="黑体" w:asciiTheme="minorEastAsia" w:hAnsiTheme="minorEastAsia"/>
          <w:color w:val="000000"/>
          <w:kern w:val="0"/>
          <w:sz w:val="32"/>
          <w:szCs w:val="32"/>
          <w:lang w:val="en-US" w:eastAsia="zh-CN"/>
        </w:rPr>
        <w:t>1</w:t>
      </w:r>
      <w:r>
        <w:rPr>
          <w:rFonts w:hint="eastAsia" w:cs="黑体" w:asciiTheme="minorEastAsia" w:hAnsiTheme="minorEastAsia"/>
          <w:color w:val="000000"/>
          <w:kern w:val="0"/>
          <w:sz w:val="32"/>
          <w:szCs w:val="32"/>
        </w:rPr>
        <w:t>辆，</w:t>
      </w:r>
      <w:r>
        <w:rPr>
          <w:rFonts w:hint="eastAsia" w:cs="黑体" w:asciiTheme="minorEastAsia" w:hAnsiTheme="minorEastAsia"/>
          <w:color w:val="000000"/>
          <w:kern w:val="0"/>
          <w:sz w:val="32"/>
          <w:szCs w:val="32"/>
          <w:lang w:val="en-US" w:eastAsia="zh-CN"/>
        </w:rPr>
        <w:t>为单位公务</w:t>
      </w:r>
      <w:r>
        <w:rPr>
          <w:rFonts w:hint="eastAsia" w:cs="黑体" w:asciiTheme="minorEastAsia" w:hAnsiTheme="minorEastAsia"/>
          <w:color w:val="000000"/>
          <w:kern w:val="0"/>
          <w:sz w:val="32"/>
          <w:szCs w:val="32"/>
        </w:rPr>
        <w:t>用车；单位无价值50万元以上通用设备，单位无价值100万元以上专用设备。</w:t>
      </w:r>
    </w:p>
    <w:p>
      <w:pPr>
        <w:pStyle w:val="10"/>
        <w:keepNext w:val="0"/>
        <w:keepLines w:val="0"/>
        <w:pageBreakBefore w:val="0"/>
        <w:widowControl w:val="0"/>
        <w:kinsoku/>
        <w:wordWrap/>
        <w:overflowPunct/>
        <w:topLinePunct w:val="0"/>
        <w:autoSpaceDE w:val="0"/>
        <w:autoSpaceDN w:val="0"/>
        <w:bidi w:val="0"/>
        <w:adjustRightInd w:val="0"/>
        <w:snapToGrid/>
        <w:ind w:firstLine="648" w:firstLineChars="200"/>
        <w:textAlignment w:val="auto"/>
        <w:rPr>
          <w:rFonts w:hAnsi="黑体"/>
          <w:b/>
          <w:sz w:val="32"/>
          <w:szCs w:val="32"/>
        </w:rPr>
      </w:pPr>
      <w:r>
        <w:rPr>
          <w:rFonts w:hint="eastAsia" w:hAnsi="黑体"/>
          <w:b/>
          <w:sz w:val="32"/>
          <w:szCs w:val="32"/>
          <w:lang w:eastAsia="zh-CN"/>
        </w:rPr>
        <w:t>十、</w:t>
      </w:r>
      <w:r>
        <w:rPr>
          <w:rFonts w:hint="eastAsia" w:hAnsi="黑体"/>
          <w:b/>
          <w:sz w:val="32"/>
          <w:szCs w:val="32"/>
        </w:rPr>
        <w:t>关于2019年度预算绩效情况说明</w:t>
      </w:r>
    </w:p>
    <w:p>
      <w:pPr>
        <w:pStyle w:val="10"/>
        <w:ind w:firstLine="648"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（一）预算绩效管理工作开展情况</w:t>
      </w:r>
    </w:p>
    <w:p>
      <w:pPr>
        <w:pStyle w:val="13"/>
        <w:spacing w:line="560" w:lineRule="exact"/>
        <w:ind w:firstLine="648" w:firstLineChars="200"/>
        <w:rPr>
          <w:rFonts w:hint="eastAsia" w:cs="黑体" w:asciiTheme="minorEastAsia" w:hAnsiTheme="minorEastAsia" w:eastAsiaTheme="minorEastAsia"/>
          <w:color w:val="000000"/>
          <w:kern w:val="0"/>
          <w:sz w:val="32"/>
          <w:szCs w:val="32"/>
          <w:lang w:val="en-US" w:eastAsia="zh-CN" w:bidi="ar-SA"/>
        </w:rPr>
      </w:pPr>
      <w:r>
        <w:rPr>
          <w:rFonts w:ascii="Times New Roman" w:hAnsi="Times New Roman" w:eastAsia="仿宋_GB2312" w:cs="Times New Roman"/>
          <w:position w:val="2"/>
          <w:sz w:val="32"/>
          <w:szCs w:val="32"/>
        </w:rPr>
        <w:t>根</w:t>
      </w:r>
      <w:r>
        <w:rPr>
          <w:rFonts w:hint="eastAsia" w:cs="黑体" w:asciiTheme="minorEastAsia" w:hAnsiTheme="minorEastAsia" w:eastAsiaTheme="minorEastAsia"/>
          <w:color w:val="000000"/>
          <w:kern w:val="0"/>
          <w:sz w:val="32"/>
          <w:szCs w:val="32"/>
          <w:lang w:val="en-US" w:eastAsia="zh-CN" w:bidi="ar-SA"/>
        </w:rPr>
        <w:t>据预算绩效管理的要求，我部组织对2020年度一般公共预算部门整体支出和专项资金使用情况开展了绩效自评，部门整体支出747.66万元，其中基本支出342.55万元，项目支出405.11万元。从评价情况来看，各项目立项符合相关管理规定，程序规范有序，绩效目标设置合理，通过项目实施，较好的完成了年初设定的各项工作目标。</w:t>
      </w:r>
    </w:p>
    <w:p>
      <w:pPr>
        <w:pStyle w:val="13"/>
        <w:numPr>
          <w:ilvl w:val="0"/>
          <w:numId w:val="3"/>
        </w:numPr>
        <w:spacing w:line="560" w:lineRule="exact"/>
        <w:ind w:firstLine="648" w:firstLineChars="200"/>
        <w:rPr>
          <w:rFonts w:ascii="Times New Roman" w:hAnsi="Times New Roman" w:eastAsia="仿宋_GB2312" w:cs="Times New Roman"/>
          <w:b/>
          <w:bCs/>
          <w:position w:val="2"/>
          <w:sz w:val="32"/>
          <w:szCs w:val="32"/>
        </w:rPr>
      </w:pPr>
      <w:r>
        <w:rPr>
          <w:rFonts w:ascii="Times New Roman" w:hAnsi="Times New Roman" w:eastAsia="仿宋_GB2312" w:cs="Times New Roman"/>
          <w:b/>
          <w:bCs/>
          <w:position w:val="2"/>
          <w:sz w:val="32"/>
          <w:szCs w:val="32"/>
        </w:rPr>
        <w:t>绩效自评结果</w:t>
      </w:r>
    </w:p>
    <w:p>
      <w:pPr>
        <w:pStyle w:val="10"/>
        <w:ind w:firstLine="648"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部门整体绩效自评综述：根据年初设定的绩效目标，部门整体绩效自评得分为9</w:t>
      </w:r>
      <w:r>
        <w:rPr>
          <w:rFonts w:hint="eastAsia" w:asciiTheme="minorEastAsia" w:hAnsiTheme="minorEastAsia" w:eastAsiaTheme="minorEastAsia"/>
          <w:sz w:val="32"/>
          <w:szCs w:val="32"/>
          <w:lang w:val="en-US" w:eastAsia="zh-CN"/>
        </w:rPr>
        <w:t>6.</w:t>
      </w:r>
      <w:r>
        <w:rPr>
          <w:rFonts w:hint="eastAsia" w:asciiTheme="minorEastAsia" w:hAnsiTheme="minorEastAsia" w:eastAsiaTheme="minorEastAsia"/>
          <w:sz w:val="32"/>
          <w:szCs w:val="32"/>
        </w:rPr>
        <w:t>5分，全年预算数</w:t>
      </w:r>
      <w:r>
        <w:rPr>
          <w:rFonts w:hint="eastAsia" w:cs="黑体" w:asciiTheme="minorEastAsia" w:hAnsiTheme="minorEastAsia" w:eastAsiaTheme="minorEastAsia"/>
          <w:color w:val="000000"/>
          <w:kern w:val="0"/>
          <w:sz w:val="32"/>
          <w:szCs w:val="32"/>
          <w:lang w:val="en-US" w:eastAsia="zh-CN" w:bidi="ar-SA"/>
        </w:rPr>
        <w:t>747.66</w:t>
      </w:r>
      <w:r>
        <w:rPr>
          <w:rFonts w:hint="eastAsia" w:asciiTheme="minorEastAsia" w:hAnsiTheme="minorEastAsia" w:eastAsiaTheme="minorEastAsia"/>
          <w:sz w:val="32"/>
          <w:szCs w:val="32"/>
        </w:rPr>
        <w:t>万元，实际执行数</w:t>
      </w:r>
      <w:r>
        <w:rPr>
          <w:rFonts w:hint="eastAsia" w:asciiTheme="minorEastAsia" w:hAnsiTheme="minorEastAsia" w:eastAsiaTheme="minorEastAsia"/>
          <w:sz w:val="32"/>
          <w:szCs w:val="32"/>
          <w:lang w:val="en-US" w:eastAsia="zh-CN"/>
        </w:rPr>
        <w:t>1428.01</w:t>
      </w:r>
      <w:r>
        <w:rPr>
          <w:rFonts w:hint="eastAsia" w:asciiTheme="minorEastAsia" w:hAnsiTheme="minorEastAsia" w:eastAsiaTheme="minorEastAsia"/>
          <w:sz w:val="32"/>
          <w:szCs w:val="32"/>
        </w:rPr>
        <w:t>万元，预算执行率</w:t>
      </w:r>
      <w:r>
        <w:rPr>
          <w:rFonts w:hint="eastAsia" w:asciiTheme="minorEastAsia" w:hAnsiTheme="minorEastAsia" w:eastAsiaTheme="minorEastAsia"/>
          <w:sz w:val="32"/>
          <w:szCs w:val="32"/>
          <w:lang w:val="en-US" w:eastAsia="zh-CN"/>
        </w:rPr>
        <w:t>191</w:t>
      </w:r>
      <w:r>
        <w:rPr>
          <w:rFonts w:hint="eastAsia" w:asciiTheme="minorEastAsia" w:hAnsiTheme="minorEastAsia" w:eastAsiaTheme="minorEastAsia"/>
          <w:sz w:val="32"/>
          <w:szCs w:val="32"/>
        </w:rPr>
        <w:t>%。从绩效自评情况看，</w:t>
      </w:r>
      <w:r>
        <w:rPr>
          <w:rFonts w:hint="eastAsia" w:asciiTheme="minorEastAsia" w:hAnsiTheme="minorEastAsia" w:eastAsiaTheme="minorEastAsia"/>
          <w:sz w:val="32"/>
          <w:szCs w:val="32"/>
          <w:lang w:val="en-US" w:eastAsia="zh-CN"/>
        </w:rPr>
        <w:t>我镇积极履职，强化管理，较好的完成了年度工作目标。但预决算项目支出编制需进一步明确、精细化。同时项目执行率需进一步提高。</w:t>
      </w:r>
      <w:r>
        <w:rPr>
          <w:rFonts w:hint="eastAsia" w:asciiTheme="minorEastAsia" w:hAnsiTheme="minorEastAsia" w:eastAsiaTheme="minorEastAsia"/>
          <w:sz w:val="32"/>
          <w:szCs w:val="32"/>
        </w:rPr>
        <w:t>下一步改进措施：</w:t>
      </w: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加强财务管理，严格财务审核</w:t>
      </w:r>
      <w:r>
        <w:rPr>
          <w:rFonts w:hint="eastAsia" w:asciiTheme="minorEastAsia" w:hAnsiTheme="minorEastAsia" w:eastAsiaTheme="minorEastAsia"/>
          <w:sz w:val="32"/>
          <w:szCs w:val="32"/>
          <w:lang w:val="en-US" w:eastAsia="zh-CN"/>
        </w:rPr>
        <w:t>；2.合理安排会计岗位，增加会计人员，增加业务知识培训，加强决算工作与财务处理工作对接</w:t>
      </w:r>
      <w:r>
        <w:rPr>
          <w:rFonts w:hint="eastAsia" w:asciiTheme="minorEastAsia" w:hAnsiTheme="minorEastAsia" w:eastAsiaTheme="minorEastAsia"/>
          <w:sz w:val="32"/>
          <w:szCs w:val="32"/>
        </w:rPr>
        <w:t>。</w:t>
      </w:r>
    </w:p>
    <w:p>
      <w:pPr>
        <w:ind w:firstLine="1448" w:firstLineChars="20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8" w:firstLineChars="200"/>
        <w:jc w:val="left"/>
        <w:rPr>
          <w:rFonts w:cs="黑体" w:asciiTheme="minorEastAsia" w:hAnsiTheme="minorEastAsia"/>
          <w:color w:val="000000"/>
          <w:kern w:val="0"/>
          <w:sz w:val="32"/>
          <w:szCs w:val="32"/>
        </w:rPr>
      </w:pPr>
    </w:p>
    <w:p>
      <w:pPr>
        <w:keepNext w:val="0"/>
        <w:keepLines w:val="0"/>
        <w:pageBreakBefore w:val="0"/>
        <w:widowControl/>
        <w:numPr>
          <w:ilvl w:val="0"/>
          <w:numId w:val="4"/>
        </w:numPr>
        <w:kinsoku/>
        <w:wordWrap/>
        <w:overflowPunct/>
        <w:topLinePunct w:val="0"/>
        <w:autoSpaceDE/>
        <w:autoSpaceDN/>
        <w:bidi w:val="0"/>
        <w:adjustRightInd/>
        <w:snapToGrid/>
        <w:ind w:firstLine="648" w:firstLineChars="200"/>
        <w:jc w:val="left"/>
        <w:textAlignment w:val="auto"/>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财政拨款收入：指财政当年拨付的资金。</w:t>
      </w:r>
    </w:p>
    <w:p>
      <w:pPr>
        <w:keepNext w:val="0"/>
        <w:keepLines w:val="0"/>
        <w:pageBreakBefore w:val="0"/>
        <w:widowControl/>
        <w:numPr>
          <w:ilvl w:val="0"/>
          <w:numId w:val="4"/>
        </w:numPr>
        <w:kinsoku/>
        <w:wordWrap/>
        <w:overflowPunct/>
        <w:topLinePunct w:val="0"/>
        <w:autoSpaceDE/>
        <w:autoSpaceDN/>
        <w:bidi w:val="0"/>
        <w:adjustRightInd/>
        <w:snapToGrid/>
        <w:ind w:firstLine="648" w:firstLineChars="200"/>
        <w:jc w:val="left"/>
        <w:textAlignment w:val="auto"/>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其他收入：指单位取得的除上述“财政拨款收入”、“事业收入”、“附属单位上缴收入”等以外的收入。</w:t>
      </w:r>
    </w:p>
    <w:p>
      <w:pPr>
        <w:keepNext w:val="0"/>
        <w:keepLines w:val="0"/>
        <w:pageBreakBefore w:val="0"/>
        <w:widowControl/>
        <w:kinsoku/>
        <w:wordWrap/>
        <w:overflowPunct/>
        <w:topLinePunct w:val="0"/>
        <w:autoSpaceDE/>
        <w:autoSpaceDN/>
        <w:bidi w:val="0"/>
        <w:adjustRightInd/>
        <w:snapToGrid/>
        <w:ind w:firstLine="648" w:firstLineChars="200"/>
        <w:jc w:val="left"/>
        <w:textAlignment w:val="auto"/>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val="en-US" w:eastAsia="zh-CN"/>
        </w:rPr>
        <w:t>三</w:t>
      </w:r>
      <w:r>
        <w:rPr>
          <w:rFonts w:hint="eastAsia" w:cs="黑体" w:asciiTheme="minorEastAsia" w:hAnsiTheme="minorEastAsia"/>
          <w:color w:val="000000"/>
          <w:kern w:val="0"/>
          <w:sz w:val="32"/>
          <w:szCs w:val="32"/>
        </w:rPr>
        <w:t>、年初结转和结余：指以前年度尚未完成、结转到本年按有关规定继续使用的资金。</w:t>
      </w:r>
    </w:p>
    <w:p>
      <w:pPr>
        <w:keepNext w:val="0"/>
        <w:keepLines w:val="0"/>
        <w:pageBreakBefore w:val="0"/>
        <w:widowControl/>
        <w:kinsoku/>
        <w:wordWrap/>
        <w:overflowPunct/>
        <w:topLinePunct w:val="0"/>
        <w:autoSpaceDE/>
        <w:autoSpaceDN/>
        <w:bidi w:val="0"/>
        <w:adjustRightInd/>
        <w:snapToGrid/>
        <w:ind w:firstLine="648" w:firstLineChars="200"/>
        <w:jc w:val="left"/>
        <w:textAlignment w:val="auto"/>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val="en-US" w:eastAsia="zh-CN"/>
        </w:rPr>
        <w:t>四</w:t>
      </w:r>
      <w:r>
        <w:rPr>
          <w:rFonts w:hint="eastAsia" w:cs="黑体" w:asciiTheme="minorEastAsia" w:hAnsiTheme="minorEastAsia"/>
          <w:color w:val="000000"/>
          <w:kern w:val="0"/>
          <w:sz w:val="32"/>
          <w:szCs w:val="32"/>
        </w:rPr>
        <w:t>、年末结转和结余：指本年度或以前年度预算安排、因客观条件发生变化无法按计划实施，需要延迟到以后年度按有关规定继续使用的资金。</w:t>
      </w:r>
    </w:p>
    <w:p>
      <w:pPr>
        <w:keepNext w:val="0"/>
        <w:keepLines w:val="0"/>
        <w:pageBreakBefore w:val="0"/>
        <w:widowControl/>
        <w:kinsoku/>
        <w:wordWrap/>
        <w:overflowPunct/>
        <w:topLinePunct w:val="0"/>
        <w:autoSpaceDE/>
        <w:autoSpaceDN/>
        <w:bidi w:val="0"/>
        <w:adjustRightInd/>
        <w:snapToGrid/>
        <w:ind w:firstLine="648" w:firstLineChars="200"/>
        <w:jc w:val="left"/>
        <w:textAlignment w:val="auto"/>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val="en-US" w:eastAsia="zh-CN"/>
        </w:rPr>
        <w:t>五</w:t>
      </w:r>
      <w:r>
        <w:rPr>
          <w:rFonts w:hint="eastAsia" w:cs="黑体" w:asciiTheme="minorEastAsia" w:hAnsiTheme="minorEastAsia"/>
          <w:color w:val="000000"/>
          <w:kern w:val="0"/>
          <w:sz w:val="32"/>
          <w:szCs w:val="32"/>
        </w:rPr>
        <w:t>、基本支出：指为保障机构正常运转、完成日常工作任务而发生的人员支出和公用支出。</w:t>
      </w:r>
    </w:p>
    <w:p>
      <w:pPr>
        <w:keepNext w:val="0"/>
        <w:keepLines w:val="0"/>
        <w:pageBreakBefore w:val="0"/>
        <w:widowControl/>
        <w:kinsoku/>
        <w:wordWrap/>
        <w:overflowPunct/>
        <w:topLinePunct w:val="0"/>
        <w:autoSpaceDE/>
        <w:autoSpaceDN/>
        <w:bidi w:val="0"/>
        <w:adjustRightInd/>
        <w:snapToGrid/>
        <w:ind w:firstLine="648" w:firstLineChars="200"/>
        <w:jc w:val="left"/>
        <w:textAlignment w:val="auto"/>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val="en-US" w:eastAsia="zh-CN"/>
        </w:rPr>
        <w:t>六</w:t>
      </w:r>
      <w:r>
        <w:rPr>
          <w:rFonts w:hint="eastAsia" w:cs="黑体" w:asciiTheme="minorEastAsia" w:hAnsiTheme="minorEastAsia"/>
          <w:color w:val="000000"/>
          <w:kern w:val="0"/>
          <w:sz w:val="32"/>
          <w:szCs w:val="32"/>
        </w:rPr>
        <w:t>、项目支出：指在基本支出之外为完成特定行政任务和事业发展目标所发生的支出。</w:t>
      </w:r>
    </w:p>
    <w:p>
      <w:pPr>
        <w:keepNext w:val="0"/>
        <w:keepLines w:val="0"/>
        <w:pageBreakBefore w:val="0"/>
        <w:widowControl/>
        <w:kinsoku/>
        <w:wordWrap/>
        <w:overflowPunct/>
        <w:topLinePunct w:val="0"/>
        <w:autoSpaceDE/>
        <w:autoSpaceDN/>
        <w:bidi w:val="0"/>
        <w:adjustRightInd/>
        <w:snapToGrid/>
        <w:ind w:firstLine="648" w:firstLineChars="200"/>
        <w:jc w:val="left"/>
        <w:textAlignment w:val="auto"/>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val="en-US" w:eastAsia="zh-CN"/>
        </w:rPr>
        <w:t>七</w:t>
      </w:r>
      <w:r>
        <w:rPr>
          <w:rFonts w:hint="eastAsia" w:cs="黑体" w:asciiTheme="minorEastAsia" w:hAnsiTheme="minorEastAsia"/>
          <w:color w:val="000000"/>
          <w:kern w:val="0"/>
          <w:sz w:val="32"/>
          <w:szCs w:val="32"/>
        </w:rPr>
        <w:t>、“三公”经费：指财政拨款安排的因公出国（境）、公务用车购置及运行费和公务接待费。</w:t>
      </w:r>
    </w:p>
    <w:p>
      <w:pPr>
        <w:keepNext w:val="0"/>
        <w:keepLines w:val="0"/>
        <w:pageBreakBefore w:val="0"/>
        <w:widowControl/>
        <w:kinsoku/>
        <w:wordWrap/>
        <w:overflowPunct/>
        <w:topLinePunct w:val="0"/>
        <w:autoSpaceDE/>
        <w:autoSpaceDN/>
        <w:bidi w:val="0"/>
        <w:adjustRightInd/>
        <w:snapToGrid/>
        <w:ind w:firstLine="648" w:firstLineChars="200"/>
        <w:jc w:val="left"/>
        <w:textAlignment w:val="auto"/>
        <w:rPr>
          <w:rFonts w:asciiTheme="minorEastAsia" w:hAnsiTheme="minorEastAsia"/>
          <w:i/>
          <w:color w:val="FF0000"/>
          <w:sz w:val="32"/>
          <w:szCs w:val="32"/>
        </w:rPr>
      </w:pPr>
      <w:r>
        <w:rPr>
          <w:rFonts w:hint="eastAsia" w:cs="黑体" w:asciiTheme="minorEastAsia" w:hAnsiTheme="minorEastAsia"/>
          <w:color w:val="000000"/>
          <w:kern w:val="0"/>
          <w:sz w:val="32"/>
          <w:szCs w:val="32"/>
          <w:lang w:val="en-US" w:eastAsia="zh-CN"/>
        </w:rPr>
        <w:t>八</w:t>
      </w:r>
      <w:r>
        <w:rPr>
          <w:rFonts w:hint="eastAsia" w:cs="黑体" w:asciiTheme="minorEastAsia" w:hAnsiTheme="minorEastAsia"/>
          <w:color w:val="000000"/>
          <w:kern w:val="0"/>
          <w:sz w:val="32"/>
          <w:szCs w:val="32"/>
        </w:rPr>
        <w:t>、机关运行经费：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泉湖镇2020年部门整体支出绩效自评报告</w:t>
      </w:r>
    </w:p>
    <w:p>
      <w:pPr>
        <w:keepNext w:val="0"/>
        <w:keepLines w:val="0"/>
        <w:pageBreakBefore w:val="0"/>
        <w:widowControl w:val="0"/>
        <w:kinsoku/>
        <w:wordWrap/>
        <w:overflowPunct/>
        <w:topLinePunct w:val="0"/>
        <w:autoSpaceDE/>
        <w:autoSpaceDN/>
        <w:bidi w:val="0"/>
        <w:adjustRightInd/>
        <w:snapToGrid/>
        <w:ind w:firstLine="568"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加强财政预算资金管理，进一步规范预算资金使用，提高财政资金使用效益，根据《衡南县财政局关于开展2020年度财政资金绩效自评工作的通知》（清财绩[2021]66号）要求，我镇对2020年度本单位财政性资金整体使用情况进行了绩效自评，现将具体绩效评价情况报告如下：</w:t>
      </w:r>
    </w:p>
    <w:p>
      <w:pPr>
        <w:numPr>
          <w:ilvl w:val="0"/>
          <w:numId w:val="5"/>
        </w:numPr>
        <w:spacing w:line="600" w:lineRule="exact"/>
        <w:ind w:left="1050" w:leftChars="0" w:firstLine="0" w:firstLineChars="0"/>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泉湖镇人民政府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numPr>
          <w:ilvl w:val="0"/>
          <w:numId w:val="6"/>
        </w:numPr>
        <w:spacing w:line="600" w:lineRule="exact"/>
        <w:ind w:left="650"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负责泉湖镇党委、人大、政府、政协联络工委、纪律委员会、人民武装及共青团、妇联等群团组织的日常工作。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numPr>
          <w:ilvl w:val="0"/>
          <w:numId w:val="0"/>
        </w:numPr>
        <w:spacing w:line="600" w:lineRule="exact"/>
        <w:ind w:leftChars="304"/>
        <w:rPr>
          <w:rFonts w:hint="default" w:ascii="仿宋" w:hAnsi="仿宋" w:eastAsia="仿宋"/>
          <w:b/>
          <w:bCs w:val="0"/>
          <w:color w:val="383838"/>
          <w:sz w:val="32"/>
          <w:shd w:val="clear" w:color="auto" w:fill="FFFFFF"/>
          <w:lang w:val="en-US" w:eastAsia="zh-CN"/>
        </w:rPr>
      </w:pPr>
    </w:p>
    <w:p>
      <w:pPr>
        <w:numPr>
          <w:ilvl w:val="0"/>
          <w:numId w:val="0"/>
        </w:numPr>
        <w:spacing w:line="600" w:lineRule="exact"/>
        <w:ind w:left="650"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总面积96平方公里，辖有16个村，2个居委会，372个村民小组，共计121</w:t>
      </w:r>
      <w:r>
        <w:rPr>
          <w:rFonts w:hint="eastAsia" w:ascii="仿宋" w:hAnsi="仿宋" w:eastAsia="仿宋"/>
          <w:b w:val="0"/>
          <w:bCs/>
          <w:color w:val="383838"/>
          <w:sz w:val="32"/>
          <w:shd w:val="clear" w:color="auto" w:fill="FFFFFF"/>
          <w:lang w:val="en-US" w:eastAsia="zh-CN"/>
        </w:rPr>
        <w:t>16</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w:t>
      </w:r>
      <w:r>
        <w:rPr>
          <w:rFonts w:hint="eastAsia" w:ascii="仿宋" w:hAnsi="仿宋" w:eastAsia="仿宋"/>
          <w:b w:val="0"/>
          <w:bCs/>
          <w:color w:val="383838"/>
          <w:sz w:val="32"/>
          <w:shd w:val="clear" w:color="auto" w:fill="FFFFFF"/>
          <w:lang w:eastAsia="zh-CN"/>
        </w:rPr>
        <w:t>45</w:t>
      </w:r>
      <w:r>
        <w:rPr>
          <w:rFonts w:hint="eastAsia" w:ascii="仿宋" w:hAnsi="仿宋" w:eastAsia="仿宋"/>
          <w:b w:val="0"/>
          <w:bCs/>
          <w:color w:val="383838"/>
          <w:sz w:val="32"/>
          <w:shd w:val="clear" w:color="auto" w:fill="FFFFFF"/>
          <w:lang w:val="en-US" w:eastAsia="zh-CN"/>
        </w:rPr>
        <w:t>705</w:t>
      </w:r>
      <w:r>
        <w:rPr>
          <w:rFonts w:hint="eastAsia" w:ascii="仿宋" w:hAnsi="仿宋" w:eastAsia="仿宋"/>
          <w:b w:val="0"/>
          <w:bCs/>
          <w:color w:val="383838"/>
          <w:sz w:val="32"/>
          <w:shd w:val="clear" w:color="auto" w:fill="FFFFFF"/>
          <w:lang w:eastAsia="zh-CN"/>
        </w:rPr>
        <w:t>人。政府机关现有在编财政供养人员</w:t>
      </w:r>
      <w:r>
        <w:rPr>
          <w:rFonts w:hint="eastAsia" w:ascii="仿宋" w:hAnsi="仿宋" w:eastAsia="仿宋"/>
          <w:b w:val="0"/>
          <w:bCs/>
          <w:color w:val="383838"/>
          <w:sz w:val="32"/>
          <w:shd w:val="clear" w:color="auto" w:fill="FFFFFF"/>
          <w:lang w:val="en-US" w:eastAsia="zh-CN"/>
        </w:rPr>
        <w:t>32</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在职编制人员30人，临骋人员2人）</w:t>
      </w:r>
      <w:r>
        <w:rPr>
          <w:rFonts w:hint="eastAsia" w:ascii="仿宋" w:hAnsi="仿宋" w:eastAsia="仿宋"/>
          <w:b w:val="0"/>
          <w:bCs/>
          <w:color w:val="383838"/>
          <w:sz w:val="32"/>
          <w:shd w:val="clear" w:color="auto" w:fill="FFFFFF"/>
          <w:lang w:eastAsia="zh-CN"/>
        </w:rPr>
        <w:t>；享受遗嘱补助人员4人；政府工勤人员2人。政府公务用车1辆。</w:t>
      </w:r>
      <w:r>
        <w:rPr>
          <w:rFonts w:hint="eastAsia" w:ascii="仿宋" w:hAnsi="仿宋" w:eastAsia="仿宋"/>
          <w:b w:val="0"/>
          <w:bCs/>
          <w:color w:val="383838"/>
          <w:sz w:val="32"/>
          <w:shd w:val="clear" w:color="auto" w:fill="FFFFFF"/>
          <w:lang w:val="en-US" w:eastAsia="zh-CN"/>
        </w:rPr>
        <w:t>本单位分政府机关及财政所。</w:t>
      </w:r>
    </w:p>
    <w:p>
      <w:pPr>
        <w:numPr>
          <w:ilvl w:val="0"/>
          <w:numId w:val="0"/>
        </w:numPr>
        <w:spacing w:line="600" w:lineRule="exact"/>
        <w:ind w:left="0" w:leftChars="0" w:firstLine="648"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w:t>
      </w:r>
      <w:r>
        <w:rPr>
          <w:rFonts w:hint="eastAsia" w:ascii="仿宋" w:hAnsi="仿宋" w:eastAsia="仿宋" w:cs="仿宋"/>
          <w:b w:val="0"/>
          <w:i w:val="0"/>
          <w:caps w:val="0"/>
          <w:color w:val="333333"/>
          <w:spacing w:val="-2"/>
          <w:sz w:val="28"/>
          <w:szCs w:val="28"/>
          <w:lang w:val="en-US" w:eastAsia="zh-CN"/>
        </w:rPr>
        <w:t>20</w:t>
      </w:r>
      <w:r>
        <w:rPr>
          <w:rFonts w:hint="eastAsia" w:ascii="仿宋" w:hAnsi="仿宋" w:eastAsia="仿宋"/>
          <w:b w:val="0"/>
          <w:bCs/>
          <w:color w:val="383838"/>
          <w:sz w:val="32"/>
          <w:shd w:val="clear" w:color="auto" w:fill="FFFFFF"/>
          <w:lang w:val="en-US" w:eastAsia="zh-CN"/>
        </w:rPr>
        <w:t>年初设定的工作任务，各项专项项目得到有序开展。到年底项目实施已完成100%，资金拨付报账到位率为93%，项目验收完成率为100%。</w:t>
      </w:r>
    </w:p>
    <w:p>
      <w:pPr>
        <w:spacing w:line="600" w:lineRule="exact"/>
        <w:ind w:firstLine="648" w:firstLineChars="200"/>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8"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20</w:t>
      </w:r>
      <w:r>
        <w:rPr>
          <w:rFonts w:hint="eastAsia" w:ascii="仿宋" w:hAnsi="仿宋" w:eastAsia="仿宋" w:cs="Times New Roman"/>
          <w:b w:val="0"/>
          <w:bCs/>
          <w:color w:val="383838"/>
          <w:sz w:val="32"/>
          <w:shd w:val="clear" w:color="auto" w:fill="FFFFFF"/>
          <w:lang w:val="en-US" w:eastAsia="zh-CN"/>
        </w:rPr>
        <w:t>年年初预算收入</w:t>
      </w:r>
      <w:r>
        <w:rPr>
          <w:rFonts w:hint="eastAsia" w:ascii="仿宋" w:hAnsi="仿宋" w:eastAsia="仿宋" w:cs="仿宋"/>
          <w:sz w:val="32"/>
          <w:szCs w:val="32"/>
          <w:lang w:val="en-US" w:eastAsia="zh-CN"/>
        </w:rPr>
        <w:t>747.66</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238.05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102</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2.5万元，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405.11</w:t>
      </w:r>
      <w:r>
        <w:rPr>
          <w:rFonts w:hint="eastAsia" w:ascii="仿宋" w:hAnsi="仿宋" w:eastAsia="仿宋" w:cs="仿宋"/>
          <w:color w:val="333333"/>
          <w:sz w:val="32"/>
          <w:szCs w:val="32"/>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20</w:t>
      </w:r>
      <w:r>
        <w:rPr>
          <w:rFonts w:hint="eastAsia" w:ascii="仿宋" w:hAnsi="仿宋" w:eastAsia="仿宋" w:cs="Times New Roman"/>
          <w:b w:val="0"/>
          <w:bCs/>
          <w:color w:val="383838"/>
          <w:sz w:val="32"/>
          <w:shd w:val="clear" w:color="auto" w:fill="FFFFFF"/>
          <w:lang w:val="en-US" w:eastAsia="zh-CN"/>
        </w:rPr>
        <w:t>年决算收入1428.01万元。本年度总支出1428.01万元，其中：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246.5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87.87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13.67万元，资本性支出2.85万元；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1077.12</w:t>
      </w:r>
      <w:r>
        <w:rPr>
          <w:rFonts w:hint="eastAsia" w:ascii="仿宋" w:hAnsi="仿宋" w:eastAsia="仿宋" w:cs="仿宋"/>
          <w:color w:val="333333"/>
          <w:sz w:val="32"/>
          <w:szCs w:val="32"/>
        </w:rPr>
        <w:t>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2020年年初预算批复的基本支出为342.55万元，2020年决算基本支出350.89万元，其中：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246.5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87.87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13.67万元，资本性支出2.85万元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20</w:t>
      </w:r>
      <w:r>
        <w:rPr>
          <w:rFonts w:hint="eastAsia" w:ascii="仿宋" w:hAnsi="仿宋" w:eastAsia="仿宋" w:cs="Times New Roman"/>
          <w:b w:val="0"/>
          <w:bCs/>
          <w:color w:val="383838"/>
          <w:sz w:val="32"/>
          <w:shd w:val="clear" w:color="auto" w:fill="FFFFFF"/>
          <w:lang w:val="en-US" w:eastAsia="zh-CN"/>
        </w:rPr>
        <w:t>年“三公”经费实际支出4.3万元，其中公务接待4.3万元，公务用车0万元，2020年“三公”经费比上年增加3.07万元，增加主要原因是部分费用为上年度费用。</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20</w:t>
      </w:r>
      <w:r>
        <w:rPr>
          <w:rFonts w:hint="eastAsia" w:ascii="仿宋" w:hAnsi="仿宋" w:eastAsia="仿宋" w:cs="Times New Roman"/>
          <w:b w:val="0"/>
          <w:bCs/>
          <w:color w:val="383838"/>
          <w:sz w:val="32"/>
          <w:shd w:val="clear" w:color="auto" w:fill="FFFFFF"/>
          <w:lang w:val="en-US" w:eastAsia="zh-CN"/>
        </w:rPr>
        <w:t>年年初预算批复的项目支出为405.11万元，2020年决算项目支出1077.12万元，其中：党建支出4.2万元，维稳项目支出6.5万元，美丽乡村建设160万元、牛型山水库水费13万、乡村道路88.97万元、新农村建设190.26万元、二八文化广场8.5万元、村委会及居委会便民服务中心建设40万元、财政税政法制工作12万、粮食生产及农业生产51.34万元、疫情防控资金73.16万元、村级转移性支付429.19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8" w:firstLineChars="200"/>
        <w:textAlignment w:val="auto"/>
        <w:rPr>
          <w:rFonts w:ascii="仿宋_GB2312" w:hAnsi="仿宋_GB2312" w:eastAsia="仿宋_GB2312" w:cs="仿宋_GB2312"/>
          <w:sz w:val="32"/>
          <w:szCs w:val="32"/>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numPr>
          <w:ilvl w:val="0"/>
          <w:numId w:val="0"/>
        </w:numPr>
        <w:spacing w:line="600" w:lineRule="exact"/>
        <w:ind w:left="0" w:leftChars="0" w:firstLine="648"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2021年各项工作的开展。</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根据衡南县财政局《衡南县预算绩效管理工作考核办法》（南财预[2015]174号）及县财政局会议精神，我镇成立了绩效评价工作组，于2021年10月中旬起开展了部门整体支出绩效评价工作，具体工作方法包括：</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1、查阅资料。查阅2020年度预算安排、预算追加、经费支出、资金管理、资产管理等相关文件资料和财务凭证。</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2、核实数据。对2020年度部门整体支出数据的准确性、真实性进行核实，将2020年度部门整体支出情况与2020年度预算情况、2020年度部门整体支出情况进行比较分析。</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8"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8"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8"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2020年我镇根据年初工作规划及财政预算计划，积极履职、强化管理，较好的完成了年度工作目标。通过加强预算收支管理、不断建立健全内部管理制度、梳理内部管理流程，部门整体支出管理情况得到提升。我镇2020年度部门整体支出绩效评价自评得分为96.5分。具体工作主要体现在以下几个方面：</w:t>
      </w:r>
    </w:p>
    <w:p>
      <w:pPr>
        <w:spacing w:line="600" w:lineRule="exact"/>
        <w:ind w:firstLine="648"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8"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二是依法依规公开部门预决算。根据全县部门预决算公开工作统一安排部署，我部公开了2020年部门预算和“三公”经费预算，社会反响良好，圆满完成了“三公”经费预算公开工作。</w:t>
      </w:r>
    </w:p>
    <w:p>
      <w:pPr>
        <w:spacing w:line="600" w:lineRule="exact"/>
        <w:ind w:firstLine="648"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spacing w:line="600" w:lineRule="exact"/>
        <w:ind w:firstLine="648"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8"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2020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pacing w:line="600" w:lineRule="exact"/>
        <w:ind w:firstLine="648" w:firstLineChars="200"/>
        <w:rPr>
          <w:rFonts w:hint="eastAsia" w:ascii="黑体" w:eastAsia="黑体"/>
          <w:sz w:val="32"/>
          <w:szCs w:val="32"/>
        </w:rPr>
      </w:pPr>
      <w:r>
        <w:rPr>
          <w:rFonts w:hint="eastAsia" w:ascii="黑体" w:eastAsia="黑体"/>
          <w:sz w:val="32"/>
          <w:szCs w:val="32"/>
        </w:rPr>
        <w:t>五、存在的主要问题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8" w:firstLineChars="200"/>
        <w:rPr>
          <w:rFonts w:hint="eastAsia" w:ascii="黑体" w:eastAsia="黑体"/>
          <w:sz w:val="32"/>
          <w:szCs w:val="32"/>
        </w:rPr>
      </w:pPr>
      <w:r>
        <w:rPr>
          <w:rFonts w:hint="eastAsia" w:ascii="黑体" w:eastAsia="黑体"/>
          <w:sz w:val="32"/>
          <w:szCs w:val="32"/>
        </w:rPr>
        <w:t>六、改进措施及建议</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cs="黑体" w:asciiTheme="minorEastAsia" w:hAnsiTheme="minorEastAsia"/>
          <w:color w:val="000000"/>
          <w:kern w:val="0"/>
          <w:sz w:val="32"/>
          <w:szCs w:val="32"/>
        </w:rPr>
      </w:pPr>
      <w:r>
        <w:rPr>
          <w:rFonts w:hint="eastAsia" w:ascii="仿宋" w:hAnsi="仿宋" w:eastAsia="仿宋" w:cs="Times New Roman"/>
          <w:b w:val="0"/>
          <w:bCs/>
          <w:color w:val="383838"/>
          <w:kern w:val="2"/>
          <w:sz w:val="32"/>
          <w:szCs w:val="24"/>
          <w:shd w:val="clear" w:color="auto" w:fill="FFFFFF"/>
          <w:lang w:val="en-US" w:eastAsia="zh-CN" w:bidi="ar-SA"/>
        </w:rPr>
        <w:t xml:space="preserve"> </w:t>
      </w:r>
    </w:p>
    <w:sectPr>
      <w:pgSz w:w="11906" w:h="16838"/>
      <w:pgMar w:top="1587" w:right="1440" w:bottom="1587" w:left="1440" w:header="851" w:footer="992" w:gutter="0"/>
      <w:cols w:space="0" w:num="1"/>
      <w:rtlGutter w:val="0"/>
      <w:docGrid w:type="linesAndChars" w:linePitch="317" w:charSpace="10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C597E3"/>
    <w:multiLevelType w:val="singleLevel"/>
    <w:tmpl w:val="A5C597E3"/>
    <w:lvl w:ilvl="0" w:tentative="0">
      <w:start w:val="1"/>
      <w:numFmt w:val="chineseCounting"/>
      <w:suff w:val="space"/>
      <w:lvlText w:val="第%1部分"/>
      <w:lvlJc w:val="left"/>
      <w:rPr>
        <w:rFonts w:hint="eastAsia"/>
      </w:rPr>
    </w:lvl>
  </w:abstractNum>
  <w:abstractNum w:abstractNumId="1">
    <w:nsid w:val="D41D88C5"/>
    <w:multiLevelType w:val="singleLevel"/>
    <w:tmpl w:val="D41D88C5"/>
    <w:lvl w:ilvl="0" w:tentative="0">
      <w:start w:val="1"/>
      <w:numFmt w:val="chineseCounting"/>
      <w:suff w:val="nothing"/>
      <w:lvlText w:val="%1、"/>
      <w:lvlJc w:val="left"/>
      <w:rPr>
        <w:rFonts w:hint="eastAsia"/>
      </w:rPr>
    </w:lvl>
  </w:abstractNum>
  <w:abstractNum w:abstractNumId="2">
    <w:nsid w:val="00000000"/>
    <w:multiLevelType w:val="singleLevel"/>
    <w:tmpl w:val="00000000"/>
    <w:lvl w:ilvl="0" w:tentative="0">
      <w:start w:val="1"/>
      <w:numFmt w:val="chineseCounting"/>
      <w:suff w:val="nothing"/>
      <w:lvlText w:val="%1、"/>
      <w:lvlJc w:val="left"/>
      <w:pPr>
        <w:ind w:left="855" w:leftChars="0" w:firstLine="0" w:firstLineChars="0"/>
      </w:pPr>
      <w:rPr>
        <w:rFonts w:hint="eastAsia"/>
      </w:rPr>
    </w:lvl>
  </w:abstractNum>
  <w:abstractNum w:abstractNumId="3">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5EFAA59"/>
    <w:multiLevelType w:val="singleLevel"/>
    <w:tmpl w:val="55EFAA59"/>
    <w:lvl w:ilvl="0" w:tentative="0">
      <w:start w:val="1"/>
      <w:numFmt w:val="chineseCounting"/>
      <w:suff w:val="nothing"/>
      <w:lvlText w:val="（%1）"/>
      <w:lvlJc w:val="left"/>
      <w:rPr>
        <w:rFonts w:hint="eastAsia"/>
      </w:rPr>
    </w:lvl>
  </w:abstractNum>
  <w:abstractNum w:abstractNumId="5">
    <w:nsid w:val="5F4B47C1"/>
    <w:multiLevelType w:val="singleLevel"/>
    <w:tmpl w:val="5F4B47C1"/>
    <w:lvl w:ilvl="0" w:tentative="0">
      <w:start w:val="2"/>
      <w:numFmt w:val="chineseCounting"/>
      <w:suff w:val="nothing"/>
      <w:lvlText w:val="（%1）"/>
      <w:lvlJc w:val="left"/>
    </w:lvl>
  </w:abstractNum>
  <w:num w:numId="1">
    <w:abstractNumId w:val="0"/>
  </w:num>
  <w:num w:numId="2">
    <w:abstractNumId w:val="3"/>
  </w:num>
  <w:num w:numId="3">
    <w:abstractNumId w:val="5"/>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7"/>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58565BE"/>
    <w:rsid w:val="0A733E75"/>
    <w:rsid w:val="13466DD9"/>
    <w:rsid w:val="15571FF4"/>
    <w:rsid w:val="24AC2470"/>
    <w:rsid w:val="2A2C24F5"/>
    <w:rsid w:val="2A433293"/>
    <w:rsid w:val="38E6484A"/>
    <w:rsid w:val="42EF554F"/>
    <w:rsid w:val="62012DF3"/>
    <w:rsid w:val="67B0757E"/>
    <w:rsid w:val="71F77B9C"/>
    <w:rsid w:val="7B4118DD"/>
    <w:rsid w:val="7B876392"/>
    <w:rsid w:val="7D086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Balloon Text"/>
    <w:basedOn w:val="1"/>
    <w:link w:val="12"/>
    <w:semiHidden/>
    <w:unhideWhenUsed/>
    <w:qFormat/>
    <w:uiPriority w:val="99"/>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jc w:val="left"/>
    </w:pPr>
    <w:rPr>
      <w:kern w:val="0"/>
      <w:sz w:val="18"/>
      <w:szCs w:val="18"/>
    </w:rPr>
  </w:style>
  <w:style w:type="character" w:customStyle="1" w:styleId="8">
    <w:name w:val="页眉 Char"/>
    <w:basedOn w:val="7"/>
    <w:link w:val="4"/>
    <w:qFormat/>
    <w:uiPriority w:val="99"/>
    <w:rPr>
      <w:sz w:val="18"/>
      <w:szCs w:val="18"/>
    </w:rPr>
  </w:style>
  <w:style w:type="character" w:customStyle="1" w:styleId="9">
    <w:name w:val="页脚 Char"/>
    <w:basedOn w:val="7"/>
    <w:link w:val="2"/>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3"/>
    <w:semiHidden/>
    <w:qFormat/>
    <w:uiPriority w:val="99"/>
    <w:rPr>
      <w:sz w:val="18"/>
      <w:szCs w:val="18"/>
    </w:rPr>
  </w:style>
  <w:style w:type="paragraph" w:customStyle="1" w:styleId="13">
    <w:name w:val="无间隔1"/>
    <w:qFormat/>
    <w:uiPriority w:val="1"/>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1258</Words>
  <Characters>7176</Characters>
  <Lines>1</Lines>
  <Paragraphs>1</Paragraphs>
  <TotalTime>8</TotalTime>
  <ScaleCrop>false</ScaleCrop>
  <LinksUpToDate>false</LinksUpToDate>
  <CharactersWithSpaces>8418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茜茜</cp:lastModifiedBy>
  <cp:lastPrinted>2020-07-15T07:25:00Z</cp:lastPrinted>
  <dcterms:modified xsi:type="dcterms:W3CDTF">2022-10-24T03:03:40Z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CE5D882C085F405A8D0C5369F60838D6</vt:lpwstr>
  </property>
</Properties>
</file>