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rFonts w:hAnsi="黑体" w:cs="Times New Roman"/>
          <w:sz w:val="84"/>
          <w:szCs w:val="84"/>
        </w:rPr>
      </w:pPr>
    </w:p>
    <w:p>
      <w:pPr>
        <w:pStyle w:val="10"/>
        <w:jc w:val="center"/>
        <w:rPr>
          <w:rFonts w:hAnsi="黑体" w:cs="Times New Roman"/>
          <w:sz w:val="84"/>
          <w:szCs w:val="84"/>
        </w:rPr>
      </w:pPr>
    </w:p>
    <w:p>
      <w:pPr>
        <w:pStyle w:val="10"/>
        <w:jc w:val="center"/>
        <w:rPr>
          <w:rFonts w:hAnsi="黑体" w:cs="Times New Roman"/>
          <w:sz w:val="84"/>
          <w:szCs w:val="84"/>
        </w:rPr>
      </w:pPr>
    </w:p>
    <w:p>
      <w:pPr>
        <w:pStyle w:val="10"/>
        <w:jc w:val="center"/>
        <w:rPr>
          <w:rFonts w:hAnsi="黑体" w:cs="Times New Roman"/>
          <w:sz w:val="84"/>
          <w:szCs w:val="84"/>
        </w:rPr>
      </w:pPr>
      <w:r>
        <w:rPr>
          <w:rFonts w:hAnsi="黑体" w:cs="Times New Roman"/>
          <w:sz w:val="84"/>
          <w:szCs w:val="84"/>
        </w:rPr>
        <w:t>20</w:t>
      </w:r>
      <w:r>
        <w:rPr>
          <w:rFonts w:hint="eastAsia" w:hAnsi="黑体" w:cs="Times New Roman"/>
          <w:sz w:val="84"/>
          <w:szCs w:val="84"/>
        </w:rPr>
        <w:t>20</w:t>
      </w:r>
      <w:r>
        <w:rPr>
          <w:rFonts w:hAnsi="黑体" w:cs="Times New Roman"/>
          <w:sz w:val="84"/>
          <w:szCs w:val="84"/>
        </w:rPr>
        <w:t>年度</w:t>
      </w:r>
    </w:p>
    <w:p>
      <w:pPr>
        <w:pStyle w:val="10"/>
        <w:jc w:val="center"/>
        <w:rPr>
          <w:rFonts w:hAnsi="黑体" w:cs="Times New Roman"/>
          <w:sz w:val="84"/>
          <w:szCs w:val="84"/>
        </w:rPr>
      </w:pPr>
      <w:r>
        <w:rPr>
          <w:rFonts w:hint="eastAsia" w:hAnsi="黑体" w:cs="Times New Roman"/>
          <w:sz w:val="84"/>
          <w:szCs w:val="84"/>
        </w:rPr>
        <w:t>衡阳市生态环境局</w:t>
      </w:r>
    </w:p>
    <w:p>
      <w:pPr>
        <w:pStyle w:val="10"/>
        <w:jc w:val="center"/>
        <w:rPr>
          <w:rFonts w:hAnsi="黑体" w:cs="Times New Roman"/>
          <w:sz w:val="84"/>
          <w:szCs w:val="84"/>
        </w:rPr>
      </w:pPr>
      <w:r>
        <w:rPr>
          <w:rFonts w:hint="eastAsia" w:hAnsi="黑体" w:cs="Times New Roman"/>
          <w:sz w:val="84"/>
          <w:szCs w:val="84"/>
        </w:rPr>
        <w:t>衡南分局</w:t>
      </w:r>
    </w:p>
    <w:p>
      <w:pPr>
        <w:pStyle w:val="10"/>
        <w:jc w:val="center"/>
        <w:rPr>
          <w:rFonts w:hAnsi="黑体" w:cs="Times New Roman"/>
          <w:sz w:val="84"/>
          <w:szCs w:val="84"/>
        </w:rPr>
      </w:pPr>
      <w:r>
        <w:rPr>
          <w:rFonts w:hAnsi="黑体" w:cs="Times New Roman"/>
          <w:sz w:val="84"/>
          <w:szCs w:val="84"/>
        </w:rPr>
        <w:t>部门决算</w:t>
      </w:r>
    </w:p>
    <w:p>
      <w:pPr>
        <w:jc w:val="center"/>
        <w:rPr>
          <w:rFonts w:ascii="宋体" w:hAnsi="宋体" w:eastAsia="宋体"/>
          <w:sz w:val="36"/>
          <w:szCs w:val="36"/>
        </w:rPr>
      </w:pPr>
    </w:p>
    <w:p>
      <w:pPr>
        <w:jc w:val="center"/>
        <w:rPr>
          <w:rFonts w:ascii="宋体" w:hAnsi="宋体" w:eastAsia="宋体"/>
          <w:sz w:val="36"/>
          <w:szCs w:val="36"/>
        </w:rPr>
      </w:pPr>
    </w:p>
    <w:p>
      <w:pPr>
        <w:jc w:val="center"/>
        <w:rPr>
          <w:rFonts w:ascii="宋体" w:hAnsi="宋体" w:eastAsia="宋体"/>
          <w:sz w:val="36"/>
          <w:szCs w:val="36"/>
        </w:rPr>
      </w:pPr>
    </w:p>
    <w:p>
      <w:pPr>
        <w:jc w:val="center"/>
        <w:rPr>
          <w:rFonts w:ascii="宋体" w:hAnsi="宋体" w:eastAsia="宋体"/>
          <w:sz w:val="36"/>
          <w:szCs w:val="36"/>
        </w:rPr>
      </w:pPr>
    </w:p>
    <w:p>
      <w:pPr>
        <w:jc w:val="center"/>
        <w:rPr>
          <w:rFonts w:ascii="宋体" w:hAnsi="宋体" w:eastAsia="宋体"/>
          <w:sz w:val="36"/>
          <w:szCs w:val="36"/>
        </w:rPr>
      </w:pPr>
    </w:p>
    <w:p>
      <w:pPr>
        <w:jc w:val="center"/>
        <w:rPr>
          <w:rFonts w:ascii="宋体" w:hAnsi="宋体" w:eastAsia="宋体"/>
          <w:sz w:val="36"/>
          <w:szCs w:val="36"/>
        </w:rPr>
      </w:pPr>
    </w:p>
    <w:p>
      <w:pPr>
        <w:rPr>
          <w:rFonts w:ascii="宋体" w:hAnsi="宋体" w:eastAsia="宋体"/>
          <w:sz w:val="36"/>
          <w:szCs w:val="36"/>
        </w:rPr>
      </w:pPr>
    </w:p>
    <w:p>
      <w:pPr>
        <w:jc w:val="center"/>
        <w:rPr>
          <w:rFonts w:ascii="宋体" w:hAnsi="宋体" w:eastAsia="宋体"/>
          <w:sz w:val="36"/>
          <w:szCs w:val="36"/>
        </w:rPr>
      </w:pPr>
    </w:p>
    <w:p>
      <w:pPr>
        <w:pStyle w:val="10"/>
        <w:spacing w:line="520" w:lineRule="exact"/>
        <w:jc w:val="center"/>
        <w:rPr>
          <w:sz w:val="56"/>
          <w:szCs w:val="56"/>
        </w:rPr>
      </w:pPr>
      <w:r>
        <w:rPr>
          <w:rFonts w:hint="eastAsia"/>
          <w:sz w:val="56"/>
          <w:szCs w:val="56"/>
        </w:rPr>
        <w:t>目录</w:t>
      </w:r>
    </w:p>
    <w:p>
      <w:pPr>
        <w:pStyle w:val="10"/>
        <w:spacing w:line="500" w:lineRule="exact"/>
        <w:rPr>
          <w:rFonts w:ascii="仿宋_GB2312" w:hAnsi="仿宋_GB2312" w:cs="仿宋_GB2312"/>
          <w:b/>
          <w:sz w:val="28"/>
          <w:szCs w:val="28"/>
        </w:rPr>
      </w:pPr>
      <w:r>
        <w:rPr>
          <w:rFonts w:hint="eastAsia"/>
          <w:b/>
          <w:sz w:val="28"/>
          <w:szCs w:val="28"/>
        </w:rPr>
        <w:t>第一部分衡阳市生态环境局衡南分局概况</w:t>
      </w:r>
    </w:p>
    <w:p>
      <w:pPr>
        <w:pStyle w:val="10"/>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一、部门职责</w:t>
      </w:r>
    </w:p>
    <w:p>
      <w:pPr>
        <w:pStyle w:val="10"/>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二、机构设置</w:t>
      </w:r>
    </w:p>
    <w:p>
      <w:pPr>
        <w:pStyle w:val="10"/>
        <w:spacing w:line="500" w:lineRule="exact"/>
        <w:rPr>
          <w:rFonts w:hAnsi="仿宋_GB2312"/>
          <w:b/>
          <w:sz w:val="28"/>
          <w:szCs w:val="28"/>
        </w:rPr>
      </w:pPr>
      <w:r>
        <w:rPr>
          <w:rFonts w:hint="eastAsia" w:hAnsi="仿宋_GB2312"/>
          <w:b/>
          <w:sz w:val="28"/>
          <w:szCs w:val="28"/>
        </w:rPr>
        <w:t>第二部分</w:t>
      </w:r>
      <w:r>
        <w:rPr>
          <w:rFonts w:hAnsi="仿宋_GB2312"/>
          <w:b/>
          <w:sz w:val="28"/>
          <w:szCs w:val="28"/>
        </w:rPr>
        <w:t>20</w:t>
      </w:r>
      <w:r>
        <w:rPr>
          <w:rFonts w:hint="eastAsia" w:hAnsi="仿宋_GB2312"/>
          <w:b/>
          <w:sz w:val="28"/>
          <w:szCs w:val="28"/>
        </w:rPr>
        <w:t>20年度部门决算表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二、收入决算表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三、支出决算表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四、财政拨款收入支出决算总表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五、一般公共预算财政拨款支出决算表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六、一般公共预算财政拨款基本支出决算表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七、一般公共预算财政拨款“三公”经费支出决算表</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八、政府性基金预算财政拨款收入支出决算表</w:t>
      </w:r>
    </w:p>
    <w:p>
      <w:pPr>
        <w:pStyle w:val="10"/>
        <w:snapToGrid w:val="0"/>
        <w:spacing w:line="360" w:lineRule="auto"/>
        <w:ind w:firstLine="536" w:firstLineChars="200"/>
        <w:rPr>
          <w:rFonts w:hAnsi="仿宋_GB2312"/>
          <w:b/>
          <w:sz w:val="28"/>
          <w:szCs w:val="28"/>
        </w:rPr>
      </w:pPr>
      <w:r>
        <w:rPr>
          <w:rFonts w:hint="eastAsia" w:ascii="宋体" w:hAnsi="宋体" w:eastAsia="宋体" w:cs="宋体"/>
          <w:w w:val="96"/>
          <w:sz w:val="28"/>
          <w:szCs w:val="28"/>
        </w:rPr>
        <w:t>九、国有资本经营预算财政拨款支出决算表</w:t>
      </w:r>
    </w:p>
    <w:p>
      <w:pPr>
        <w:pStyle w:val="10"/>
        <w:spacing w:line="500" w:lineRule="exact"/>
        <w:rPr>
          <w:rFonts w:hAnsi="仿宋_GB2312"/>
          <w:b/>
          <w:sz w:val="28"/>
          <w:szCs w:val="28"/>
        </w:rPr>
      </w:pPr>
      <w:r>
        <w:rPr>
          <w:rFonts w:hint="eastAsia" w:hAnsi="仿宋_GB2312"/>
          <w:b/>
          <w:sz w:val="28"/>
          <w:szCs w:val="28"/>
        </w:rPr>
        <w:t>第三部分2020年度部门决算情况说明</w:t>
      </w:r>
    </w:p>
    <w:p>
      <w:pPr>
        <w:pStyle w:val="10"/>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一、收入支出决算总体情况说明</w:t>
      </w:r>
    </w:p>
    <w:p>
      <w:pPr>
        <w:adjustRightInd w:val="0"/>
        <w:snapToGrid w:val="0"/>
        <w:spacing w:line="360" w:lineRule="auto"/>
        <w:ind w:firstLine="536" w:firstLineChars="200"/>
        <w:jc w:val="left"/>
        <w:rPr>
          <w:rFonts w:ascii="宋体" w:hAnsi="宋体" w:eastAsia="宋体" w:cs="宋体"/>
          <w:w w:val="96"/>
          <w:sz w:val="28"/>
          <w:szCs w:val="28"/>
        </w:rPr>
      </w:pPr>
      <w:r>
        <w:rPr>
          <w:rFonts w:hint="eastAsia" w:ascii="宋体" w:hAnsi="宋体" w:eastAsia="宋体" w:cs="宋体"/>
          <w:w w:val="96"/>
          <w:sz w:val="28"/>
          <w:szCs w:val="28"/>
        </w:rPr>
        <w:t>二、收入决算情况说明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三、支出决算情况说明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四、财政拨款收入支出决算总体情况说明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五、一般公共预算财政拨款支出决算情况说明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六、一般公共预算财政拨款基本支出决算情况说明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七、一般公共预算财政拨款三公经费支出决算情况说明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八、政府性基金预算收入支出决算情况说明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九、国有资本经营预算财政拨款支出决算情况</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十、关于机关运行经费支出说明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十一、一般性支出情况说明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十二、关于政府采购支出说明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十三、关于国有资产占用情况说明</w:t>
      </w:r>
    </w:p>
    <w:p>
      <w:pPr>
        <w:autoSpaceDE w:val="0"/>
        <w:autoSpaceDN w:val="0"/>
        <w:adjustRightInd w:val="0"/>
        <w:snapToGrid w:val="0"/>
        <w:spacing w:line="360" w:lineRule="auto"/>
        <w:ind w:firstLine="536" w:firstLineChars="200"/>
        <w:jc w:val="left"/>
        <w:rPr>
          <w:rFonts w:hAnsi="仿宋_GB2312"/>
          <w:b/>
          <w:sz w:val="28"/>
          <w:szCs w:val="28"/>
        </w:rPr>
      </w:pPr>
      <w:r>
        <w:rPr>
          <w:rFonts w:hint="eastAsia" w:ascii="宋体" w:hAnsi="宋体" w:eastAsia="宋体" w:cs="宋体"/>
          <w:color w:val="000000"/>
          <w:w w:val="96"/>
          <w:kern w:val="0"/>
          <w:sz w:val="28"/>
          <w:szCs w:val="28"/>
        </w:rPr>
        <w:t>十四、关于2020年度预算绩效情况说明</w:t>
      </w:r>
    </w:p>
    <w:p>
      <w:pPr>
        <w:autoSpaceDE w:val="0"/>
        <w:autoSpaceDN w:val="0"/>
        <w:adjustRightInd w:val="0"/>
        <w:spacing w:line="50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0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rFonts w:ascii="宋体" w:hAnsi="宋体" w:eastAsia="宋体"/>
          <w:sz w:val="36"/>
          <w:szCs w:val="36"/>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第一部分</w:t>
      </w:r>
    </w:p>
    <w:p>
      <w:pPr>
        <w:pStyle w:val="10"/>
        <w:jc w:val="center"/>
        <w:rPr>
          <w:sz w:val="84"/>
          <w:szCs w:val="84"/>
        </w:rPr>
      </w:pPr>
    </w:p>
    <w:p>
      <w:pPr>
        <w:pStyle w:val="10"/>
        <w:jc w:val="center"/>
        <w:rPr>
          <w:sz w:val="84"/>
          <w:szCs w:val="84"/>
        </w:rPr>
      </w:pPr>
      <w:r>
        <w:rPr>
          <w:rFonts w:hint="eastAsia"/>
          <w:sz w:val="84"/>
          <w:szCs w:val="84"/>
        </w:rPr>
        <w:t>单位概况</w:t>
      </w:r>
    </w:p>
    <w:p>
      <w:pPr>
        <w:pStyle w:val="10"/>
        <w:jc w:val="center"/>
        <w:rPr>
          <w:sz w:val="84"/>
          <w:szCs w:val="84"/>
        </w:rPr>
      </w:pPr>
    </w:p>
    <w:p>
      <w:pPr>
        <w:pStyle w:val="10"/>
        <w:jc w:val="center"/>
        <w:rPr>
          <w:sz w:val="84"/>
          <w:szCs w:val="84"/>
        </w:rPr>
      </w:pPr>
    </w:p>
    <w:p>
      <w:pPr>
        <w:rPr>
          <w:rFonts w:ascii="宋体" w:hAnsi="宋体" w:eastAsia="宋体"/>
          <w:sz w:val="36"/>
          <w:szCs w:val="36"/>
        </w:rPr>
      </w:pPr>
    </w:p>
    <w:p>
      <w:pPr>
        <w:rPr>
          <w:rFonts w:ascii="宋体" w:hAnsi="宋体" w:eastAsia="宋体"/>
          <w:sz w:val="36"/>
          <w:szCs w:val="36"/>
        </w:rPr>
      </w:pPr>
    </w:p>
    <w:p>
      <w:pPr>
        <w:rPr>
          <w:rFonts w:ascii="宋体" w:hAnsi="宋体" w:eastAsia="宋体"/>
          <w:sz w:val="36"/>
          <w:szCs w:val="36"/>
        </w:rPr>
      </w:pPr>
    </w:p>
    <w:p>
      <w:pPr>
        <w:spacing w:line="600" w:lineRule="exact"/>
        <w:ind w:firstLine="643" w:firstLineChars="200"/>
        <w:rPr>
          <w:rFonts w:ascii="宋体" w:hAnsi="宋体" w:eastAsia="宋体"/>
          <w:b/>
          <w:bCs/>
          <w:sz w:val="32"/>
          <w:szCs w:val="32"/>
        </w:rPr>
      </w:pPr>
      <w:r>
        <w:rPr>
          <w:rFonts w:hint="eastAsia" w:ascii="宋体" w:hAnsi="宋体" w:eastAsia="宋体"/>
          <w:b/>
          <w:bCs/>
          <w:sz w:val="32"/>
          <w:szCs w:val="32"/>
        </w:rPr>
        <w:t>一、单位职责</w:t>
      </w:r>
    </w:p>
    <w:p>
      <w:pPr>
        <w:spacing w:line="600" w:lineRule="exact"/>
        <w:ind w:firstLine="640" w:firstLineChars="200"/>
        <w:rPr>
          <w:rFonts w:ascii="宋体" w:hAnsi="宋体" w:eastAsia="宋体"/>
          <w:sz w:val="32"/>
          <w:szCs w:val="32"/>
        </w:rPr>
      </w:pPr>
      <w:r>
        <w:rPr>
          <w:rFonts w:ascii="宋体" w:hAnsi="宋体" w:eastAsia="宋体"/>
          <w:sz w:val="32"/>
          <w:szCs w:val="32"/>
        </w:rPr>
        <w:t>(一)负责建立全县环境保护基本制度。贯彻落实环境保护法律、法规和方针、政策，拟订全县环境保护规划、规章制度并监督实施；参与编制全县主体功能区划，组织编制全县环境功能区划，全县环境保护规划、计划，全县重点区域、流域污染防治规划和饮用水水源地环境保护规划，水、大气、土壤、噪声、光、恶臭、固体废物、核与辐射、机动车排气等污染防治专项环境保护规划，并组织实施和监督执行。</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二）负责建立健全环境保护管理制度。结合本县实际，建立健全排污许可、环境影响评价、环保“三同时”、排污收费、总量控制、污染减排、区域限批、企业环境保护责任制、环境保护目标管理责任制等环境保护管理制度，并组织、监督实施。</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三）负责环境污染防治监督管理工作。负责全县水体、大气、土壤、噪声、光、恶臭、固体废物、化学品、机动车、辐射放射等各类污染源的统一监督管理，负责危险废物经营许可证的审批颁发与监督管理工作，会同有关部门监督管理饮用水水源地环境保护、城乡环境综合整治、机动车排气污染。</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四）负责生态环境保护监督管理工作。参与编制全县生态环境保护规划，组织评估生态环境质量状况，监督对生态环境有影响的自然资源开发利用活动、重要生态环境建设和生态破坏恢复工作。会同相关部门工作监督自然保护区、风景名胜区、森林公园、地质公园、湿地公园的保护和环境管理。参与划定生态保护红线，会同相关部门监督管理生态环境安全，组织、指导生态系列创建工作。</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五）负责职责范围内的核与辐射环境监管以及全县核事故应急管理工作。组织实施国家核与辐射安全政策、规划、标准。监督管理核设施安全、放射源安全，监督管理核设施、核技术利用、电磁辐射、伴有放射性矿产资源开发利用中的污染防治。负责放射性同位素、射线装置的生产、销售、使用的监督管理。对核材料的管制和民用核安全设备的设计、制造、安装和无损检验活动实施监督管理。</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六）负责全县环境监测管理工作。组织全县环境监测网络规划和建设，优化环境监测点位的设置，实施环境质量监测和污染源监督性监测，加强监测数据管理，建立环境监测数据共享机制；组织对全县环境质量状况进行调查评估、预测预警。会同和配合有关部门建立健全环境与健康监测、调查和风险评估制度。</w:t>
      </w:r>
    </w:p>
    <w:p>
      <w:pPr>
        <w:spacing w:line="600" w:lineRule="exact"/>
        <w:ind w:firstLine="640" w:firstLineChars="200"/>
        <w:rPr>
          <w:rFonts w:ascii="宋体" w:hAnsi="宋体" w:eastAsia="宋体"/>
          <w:sz w:val="32"/>
          <w:szCs w:val="32"/>
        </w:rPr>
      </w:pPr>
      <w:r>
        <w:rPr>
          <w:rFonts w:ascii="宋体" w:hAnsi="宋体" w:eastAsia="宋体"/>
          <w:sz w:val="32"/>
          <w:szCs w:val="32"/>
        </w:rPr>
        <w:t>（七）负责全县环境保护行政执法监管。组织实施国家和地方环境保护法律制度，开展环境保护执法检查，查处环境违法行为，规范和监督全县环境保护执法工作，监督环境保护执法行为，负责对各类环境保护责任主体履行环境保护义务进行稽查。</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（八）负责环境应急和污染事故纠纷处理。负责编制全县环境应急预案并组织实施，指导、监督相关污染企业依法编制本企业环境应急预案并定期组织演练，指导、协调处理全市环境污染事故和纠纷。</w:t>
      </w:r>
    </w:p>
    <w:p>
      <w:pPr>
        <w:spacing w:line="600" w:lineRule="exact"/>
        <w:ind w:firstLine="640" w:firstLineChars="200"/>
        <w:rPr>
          <w:rFonts w:ascii="宋体" w:hAnsi="宋体" w:eastAsia="宋体"/>
          <w:sz w:val="32"/>
          <w:szCs w:val="32"/>
        </w:rPr>
      </w:pPr>
      <w:r>
        <w:rPr>
          <w:rFonts w:ascii="宋体" w:hAnsi="宋体" w:eastAsia="宋体"/>
          <w:sz w:val="32"/>
          <w:szCs w:val="32"/>
        </w:rPr>
        <w:t>（九）负责全县环境保护经济政策的制定和实施。提出全县环境保护领域固定资产投资规模和方向、县级财政性资金安排建议，协助做好全县排污权有偿使用和交易工作。建立健全全县企事业环境行为信用体系。</w:t>
      </w:r>
    </w:p>
    <w:p>
      <w:pPr>
        <w:spacing w:line="600" w:lineRule="exact"/>
        <w:ind w:firstLine="640" w:firstLineChars="200"/>
        <w:rPr>
          <w:rFonts w:ascii="宋体" w:hAnsi="宋体" w:eastAsia="宋体"/>
          <w:sz w:val="32"/>
          <w:szCs w:val="32"/>
        </w:rPr>
      </w:pPr>
      <w:r>
        <w:rPr>
          <w:rFonts w:ascii="宋体" w:hAnsi="宋体" w:eastAsia="宋体"/>
          <w:sz w:val="32"/>
          <w:szCs w:val="32"/>
        </w:rPr>
        <w:t>(十)开展环境保护科技工作，组织开展环境保护重大科学研究和技术工程示范，推动环境技术管理体系建设；组织县级环境保护科技成果的鉴定、交流与推广。提出全县环境保护对外合作交流中有关问题的建议，开展对外环境保护信息交流工作；参与处理涉外环境保护事务和应对气候变化工作。</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（十一）组织、指导和协调全县环境保护宣传教育工作，制定并组织实施全县环境保护宣传教育计划；开展生态文明建设和环境友好型社会建设的有关宣传教育工作，推动社会公众和社会组织参与环境保护。</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十二）负责全县环境信息发布工作。负责编制并发布全县环境质量状况报告、重点污染源监督性监测报告，发布重大环境事件处理处置情况信息，推动环境政务信息公开，指导并监督重点污染企业环境信息公开。</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十三）制定并组织实施全县环境保护目标责任制。受县人民政府委托，将全县环境保护重点工作任务分解落实到县直相关部门、各乡镇人民政府（办事处）、相关企业，实行目标管理，并对环境保护目标完成情况进行监督、考核。</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（十四）负责对职责范围内有关行业、领域的安全生产工作实施监督管理。</w:t>
      </w:r>
    </w:p>
    <w:p>
      <w:pPr>
        <w:spacing w:line="600" w:lineRule="exact"/>
        <w:ind w:firstLine="640" w:firstLineChars="200"/>
        <w:rPr>
          <w:rFonts w:ascii="宋体" w:hAnsi="宋体" w:eastAsia="宋体"/>
          <w:sz w:val="32"/>
          <w:szCs w:val="32"/>
        </w:rPr>
      </w:pPr>
      <w:r>
        <w:rPr>
          <w:rFonts w:ascii="宋体" w:hAnsi="宋体" w:eastAsia="宋体"/>
          <w:sz w:val="32"/>
          <w:szCs w:val="32"/>
        </w:rPr>
        <w:t>(十五)承办县人民政府交办的其他事项。</w:t>
      </w:r>
    </w:p>
    <w:p>
      <w:pPr>
        <w:spacing w:line="600" w:lineRule="exact"/>
        <w:ind w:firstLine="640" w:firstLineChars="200"/>
        <w:rPr>
          <w:rFonts w:ascii="宋体" w:hAnsi="宋体" w:eastAsia="宋体"/>
          <w:sz w:val="32"/>
          <w:szCs w:val="32"/>
        </w:rPr>
      </w:pPr>
    </w:p>
    <w:p>
      <w:pPr>
        <w:spacing w:line="600" w:lineRule="exact"/>
        <w:ind w:firstLine="643" w:firstLineChars="200"/>
        <w:rPr>
          <w:rFonts w:ascii="宋体" w:hAnsi="宋体" w:eastAsia="宋体"/>
          <w:b/>
          <w:bCs/>
          <w:sz w:val="32"/>
          <w:szCs w:val="32"/>
        </w:rPr>
      </w:pPr>
      <w:r>
        <w:rPr>
          <w:rFonts w:hint="eastAsia" w:ascii="宋体" w:hAnsi="宋体" w:eastAsia="宋体"/>
          <w:b/>
          <w:bCs/>
          <w:sz w:val="32"/>
          <w:szCs w:val="32"/>
        </w:rPr>
        <w:t>二、机构设置</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衡阳市生态环境局衡南分局是独立核算的全额事业单位。下设办公室和各职能股室，从业务管理体制上属于市直管单位。</w:t>
      </w:r>
    </w:p>
    <w:p>
      <w:pPr>
        <w:spacing w:line="600" w:lineRule="exact"/>
        <w:ind w:firstLine="640" w:firstLineChars="200"/>
        <w:rPr>
          <w:rFonts w:ascii="宋体" w:hAnsi="宋体" w:eastAsia="宋体"/>
          <w:sz w:val="32"/>
          <w:szCs w:val="32"/>
        </w:rPr>
      </w:pPr>
    </w:p>
    <w:p>
      <w:pPr>
        <w:spacing w:line="600" w:lineRule="exact"/>
        <w:ind w:firstLine="640" w:firstLineChars="200"/>
        <w:rPr>
          <w:rFonts w:ascii="宋体" w:hAnsi="宋体" w:eastAsia="宋体"/>
          <w:sz w:val="32"/>
          <w:szCs w:val="32"/>
        </w:rPr>
      </w:pPr>
      <w:r>
        <w:rPr>
          <w:rFonts w:hint="eastAsia" w:ascii="宋体" w:hAnsi="宋体" w:eastAsia="宋体" w:cs="宋体"/>
          <w:bCs/>
          <w:kern w:val="0"/>
          <w:sz w:val="32"/>
          <w:szCs w:val="32"/>
        </w:rPr>
        <w:t>（二）决算单位构成。</w:t>
      </w:r>
      <w:r>
        <w:rPr>
          <w:rFonts w:hint="eastAsia" w:ascii="宋体" w:hAnsi="宋体" w:eastAsia="宋体"/>
          <w:sz w:val="32"/>
          <w:szCs w:val="32"/>
        </w:rPr>
        <w:t>衡阳市生态环境局衡南分局</w:t>
      </w:r>
      <w:r>
        <w:rPr>
          <w:rFonts w:hint="eastAsia" w:ascii="宋体" w:hAnsi="宋体" w:eastAsia="宋体" w:cs="宋体"/>
          <w:bCs/>
          <w:kern w:val="0"/>
          <w:sz w:val="32"/>
          <w:szCs w:val="32"/>
        </w:rPr>
        <w:t>单位2020年部门决算汇总公开单位构成包括：</w:t>
      </w:r>
      <w:r>
        <w:rPr>
          <w:rFonts w:hint="eastAsia" w:ascii="宋体" w:hAnsi="宋体" w:eastAsia="宋体"/>
          <w:sz w:val="32"/>
          <w:szCs w:val="32"/>
        </w:rPr>
        <w:t>衡阳市生态环境局衡南分局</w:t>
      </w:r>
      <w:r>
        <w:rPr>
          <w:rFonts w:hint="eastAsia" w:ascii="宋体" w:hAnsi="宋体" w:eastAsia="宋体" w:cs="宋体"/>
          <w:bCs/>
          <w:kern w:val="0"/>
          <w:sz w:val="32"/>
          <w:szCs w:val="32"/>
        </w:rPr>
        <w:t>单位本级。</w:t>
      </w: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spacing w:line="600" w:lineRule="exact"/>
        <w:ind w:firstLine="643" w:firstLineChars="200"/>
        <w:rPr>
          <w:rFonts w:ascii="仿宋" w:hAnsi="仿宋" w:eastAsia="仿宋"/>
          <w:b/>
          <w:bCs/>
          <w:sz w:val="32"/>
          <w:szCs w:val="32"/>
        </w:rPr>
      </w:pPr>
    </w:p>
    <w:p>
      <w:pPr>
        <w:jc w:val="center"/>
        <w:rPr>
          <w:rFonts w:ascii="Times New Roman" w:hAnsi="黑体" w:eastAsia="黑体" w:cs="Times New Roman"/>
          <w:sz w:val="84"/>
          <w:szCs w:val="84"/>
        </w:rPr>
      </w:pPr>
    </w:p>
    <w:p>
      <w:pPr>
        <w:jc w:val="center"/>
        <w:rPr>
          <w:rFonts w:ascii="Times New Roman" w:hAnsi="黑体" w:eastAsia="黑体" w:cs="Times New Roman"/>
          <w:sz w:val="84"/>
          <w:szCs w:val="84"/>
        </w:rPr>
      </w:pPr>
    </w:p>
    <w:p>
      <w:pPr>
        <w:jc w:val="center"/>
        <w:rPr>
          <w:rFonts w:ascii="Times New Roman" w:hAnsi="Times New Roman" w:eastAsia="黑体" w:cs="Times New Roman"/>
          <w:sz w:val="84"/>
          <w:szCs w:val="84"/>
        </w:rPr>
      </w:pPr>
      <w:r>
        <w:rPr>
          <w:rFonts w:ascii="Times New Roman" w:hAnsi="黑体" w:eastAsia="黑体" w:cs="Times New Roman"/>
          <w:sz w:val="84"/>
          <w:szCs w:val="84"/>
        </w:rPr>
        <w:t>第二部分</w:t>
      </w:r>
    </w:p>
    <w:p>
      <w:pPr>
        <w:jc w:val="center"/>
        <w:rPr>
          <w:rFonts w:ascii="Times New Roman" w:hAnsi="Times New Roman" w:eastAsia="黑体" w:cs="Times New Roman"/>
          <w:sz w:val="84"/>
          <w:szCs w:val="84"/>
        </w:rPr>
      </w:pPr>
    </w:p>
    <w:p>
      <w:pPr>
        <w:jc w:val="center"/>
        <w:rPr>
          <w:rFonts w:ascii="Times New Roman" w:hAnsi="Times New Roman" w:eastAsia="黑体" w:cs="Times New Roman"/>
          <w:sz w:val="84"/>
          <w:szCs w:val="84"/>
        </w:rPr>
      </w:pPr>
      <w:r>
        <w:rPr>
          <w:rFonts w:ascii="Times New Roman" w:hAnsi="黑体" w:eastAsia="黑体" w:cs="Times New Roman"/>
          <w:sz w:val="84"/>
          <w:szCs w:val="84"/>
        </w:rPr>
        <w:t>部门决算表</w:t>
      </w:r>
    </w:p>
    <w:p>
      <w:pPr>
        <w:jc w:val="center"/>
        <w:rPr>
          <w:rFonts w:ascii="Times New Roman" w:hAnsi="Times New Roman" w:eastAsia="仿宋_GB2312" w:cs="Times New Roman"/>
          <w:sz w:val="84"/>
          <w:szCs w:val="84"/>
        </w:rPr>
      </w:pPr>
    </w:p>
    <w:p>
      <w:pPr>
        <w:jc w:val="center"/>
        <w:rPr>
          <w:rFonts w:ascii="宋体" w:hAnsi="宋体" w:eastAsia="宋体"/>
          <w:sz w:val="32"/>
          <w:szCs w:val="32"/>
        </w:rPr>
      </w:pPr>
      <w:r>
        <w:rPr>
          <w:rFonts w:hint="eastAsia" w:ascii="宋体" w:hAnsi="宋体" w:eastAsia="宋体"/>
          <w:sz w:val="32"/>
          <w:szCs w:val="32"/>
        </w:rPr>
        <w:t>(部门决算公示表附后)</w:t>
      </w:r>
    </w:p>
    <w:p>
      <w:pPr>
        <w:jc w:val="center"/>
        <w:rPr>
          <w:rFonts w:ascii="Times New Roman" w:hAnsi="Times New Roman" w:eastAsia="仿宋_GB2312" w:cs="Times New Roman"/>
          <w:sz w:val="72"/>
          <w:szCs w:val="7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spacing w:line="600" w:lineRule="exact"/>
        <w:ind w:firstLine="643" w:firstLineChars="200"/>
        <w:jc w:val="center"/>
        <w:rPr>
          <w:rFonts w:ascii="仿宋" w:hAnsi="仿宋" w:eastAsia="仿宋"/>
          <w:b/>
          <w:bCs/>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w:t>
      </w:r>
      <w:r>
        <w:rPr>
          <w:rFonts w:hint="eastAsia"/>
          <w:sz w:val="70"/>
          <w:szCs w:val="70"/>
        </w:rPr>
        <w:t>20年度部门决算情况说明</w:t>
      </w:r>
    </w:p>
    <w:p>
      <w:pPr>
        <w:spacing w:line="600" w:lineRule="exact"/>
        <w:ind w:firstLine="640" w:firstLineChars="200"/>
        <w:rPr>
          <w:rFonts w:ascii="仿宋" w:hAnsi="仿宋" w:eastAsia="仿宋"/>
          <w:sz w:val="32"/>
          <w:szCs w:val="32"/>
        </w:rPr>
      </w:pPr>
    </w:p>
    <w:p>
      <w:pPr>
        <w:spacing w:line="600" w:lineRule="exact"/>
        <w:ind w:firstLine="640" w:firstLineChars="200"/>
        <w:rPr>
          <w:rFonts w:ascii="仿宋" w:hAnsi="仿宋" w:eastAsia="仿宋"/>
          <w:sz w:val="32"/>
          <w:szCs w:val="32"/>
        </w:rPr>
      </w:pPr>
    </w:p>
    <w:p>
      <w:pPr>
        <w:spacing w:line="600" w:lineRule="exact"/>
        <w:ind w:firstLine="640" w:firstLineChars="200"/>
        <w:rPr>
          <w:rFonts w:ascii="仿宋" w:hAnsi="仿宋" w:eastAsia="仿宋"/>
          <w:sz w:val="32"/>
          <w:szCs w:val="32"/>
        </w:rPr>
      </w:pPr>
    </w:p>
    <w:p>
      <w:pPr>
        <w:spacing w:line="600" w:lineRule="exact"/>
        <w:ind w:firstLine="640" w:firstLineChars="200"/>
        <w:rPr>
          <w:rFonts w:ascii="仿宋" w:hAnsi="仿宋" w:eastAsia="仿宋"/>
          <w:sz w:val="32"/>
          <w:szCs w:val="32"/>
        </w:rPr>
      </w:pPr>
    </w:p>
    <w:p>
      <w:pPr>
        <w:spacing w:line="600" w:lineRule="exact"/>
        <w:ind w:firstLine="640" w:firstLineChars="200"/>
        <w:rPr>
          <w:rFonts w:ascii="仿宋" w:hAnsi="仿宋" w:eastAsia="仿宋"/>
          <w:sz w:val="32"/>
          <w:szCs w:val="32"/>
        </w:rPr>
      </w:pPr>
    </w:p>
    <w:p>
      <w:pPr>
        <w:spacing w:line="600" w:lineRule="exact"/>
        <w:ind w:firstLine="640" w:firstLineChars="200"/>
        <w:rPr>
          <w:rFonts w:ascii="仿宋" w:hAnsi="仿宋" w:eastAsia="仿宋"/>
          <w:sz w:val="32"/>
          <w:szCs w:val="32"/>
        </w:rPr>
      </w:pPr>
    </w:p>
    <w:p>
      <w:pPr>
        <w:spacing w:line="600" w:lineRule="exact"/>
        <w:ind w:firstLine="640" w:firstLineChars="200"/>
        <w:rPr>
          <w:rFonts w:ascii="仿宋" w:hAnsi="仿宋" w:eastAsia="仿宋"/>
          <w:sz w:val="32"/>
          <w:szCs w:val="32"/>
        </w:rPr>
      </w:pPr>
    </w:p>
    <w:p>
      <w:pPr>
        <w:spacing w:line="600" w:lineRule="exact"/>
        <w:rPr>
          <w:rFonts w:ascii="仿宋" w:hAnsi="仿宋" w:eastAsia="仿宋"/>
          <w:sz w:val="32"/>
          <w:szCs w:val="32"/>
        </w:rPr>
      </w:pPr>
    </w:p>
    <w:p>
      <w:pPr>
        <w:spacing w:line="600" w:lineRule="exact"/>
        <w:ind w:firstLine="643" w:firstLineChars="200"/>
        <w:rPr>
          <w:rFonts w:ascii="宋体" w:hAnsi="宋体" w:eastAsia="宋体"/>
          <w:b/>
          <w:sz w:val="32"/>
          <w:szCs w:val="32"/>
        </w:rPr>
      </w:pPr>
      <w:r>
        <w:rPr>
          <w:rFonts w:hint="eastAsia" w:ascii="宋体" w:hAnsi="宋体" w:eastAsia="宋体"/>
          <w:b/>
          <w:sz w:val="32"/>
          <w:szCs w:val="32"/>
        </w:rPr>
        <w:t>一、</w:t>
      </w:r>
      <w:r>
        <w:rPr>
          <w:rFonts w:ascii="宋体" w:hAnsi="宋体" w:eastAsia="宋体"/>
          <w:b/>
          <w:sz w:val="32"/>
          <w:szCs w:val="32"/>
        </w:rPr>
        <w:t>收入支出决算总体情况说明</w:t>
      </w:r>
    </w:p>
    <w:p>
      <w:pPr>
        <w:spacing w:line="600" w:lineRule="exact"/>
        <w:ind w:firstLine="640" w:firstLineChars="200"/>
        <w:rPr>
          <w:rFonts w:ascii="宋体" w:hAnsi="宋体" w:eastAsia="宋体"/>
          <w:b/>
          <w:sz w:val="32"/>
          <w:szCs w:val="32"/>
        </w:rPr>
      </w:pPr>
      <w:r>
        <w:rPr>
          <w:rFonts w:hint="eastAsia" w:ascii="宋体" w:hAnsi="宋体" w:eastAsia="宋体"/>
          <w:sz w:val="32"/>
          <w:szCs w:val="32"/>
        </w:rPr>
        <w:t>衡南县生态环境局衡南分局2020</w:t>
      </w:r>
      <w:r>
        <w:rPr>
          <w:rFonts w:ascii="宋体" w:hAnsi="宋体" w:eastAsia="宋体"/>
          <w:sz w:val="32"/>
          <w:szCs w:val="32"/>
        </w:rPr>
        <w:t>年度收入总计</w:t>
      </w:r>
      <w:r>
        <w:rPr>
          <w:rFonts w:hint="eastAsia" w:ascii="宋体" w:hAnsi="宋体" w:eastAsia="宋体"/>
          <w:sz w:val="32"/>
          <w:szCs w:val="32"/>
        </w:rPr>
        <w:t>5094.19</w:t>
      </w:r>
      <w:r>
        <w:rPr>
          <w:rFonts w:ascii="宋体" w:hAnsi="宋体" w:eastAsia="宋体"/>
          <w:sz w:val="32"/>
          <w:szCs w:val="32"/>
        </w:rPr>
        <w:t>万元，较上年收入总计</w:t>
      </w:r>
      <w:r>
        <w:rPr>
          <w:rFonts w:hint="eastAsia" w:ascii="宋体" w:hAnsi="宋体" w:eastAsia="宋体"/>
          <w:sz w:val="32"/>
          <w:szCs w:val="32"/>
        </w:rPr>
        <w:t>增加1473.7</w:t>
      </w:r>
      <w:r>
        <w:rPr>
          <w:rFonts w:ascii="宋体" w:hAnsi="宋体" w:eastAsia="宋体"/>
          <w:sz w:val="32"/>
          <w:szCs w:val="32"/>
        </w:rPr>
        <w:t>万元，</w:t>
      </w:r>
      <w:r>
        <w:rPr>
          <w:rFonts w:hint="eastAsia" w:ascii="宋体" w:hAnsi="宋体" w:eastAsia="宋体"/>
          <w:sz w:val="32"/>
          <w:szCs w:val="32"/>
        </w:rPr>
        <w:t>增加40.70%，</w:t>
      </w:r>
      <w:r>
        <w:rPr>
          <w:rFonts w:ascii="宋体" w:hAnsi="宋体" w:eastAsia="宋体"/>
          <w:sz w:val="32"/>
          <w:szCs w:val="32"/>
        </w:rPr>
        <w:t>20</w:t>
      </w:r>
      <w:r>
        <w:rPr>
          <w:rFonts w:hint="eastAsia" w:ascii="宋体" w:hAnsi="宋体" w:eastAsia="宋体"/>
          <w:sz w:val="32"/>
          <w:szCs w:val="32"/>
        </w:rPr>
        <w:t>20</w:t>
      </w:r>
      <w:r>
        <w:rPr>
          <w:rFonts w:ascii="宋体" w:hAnsi="宋体" w:eastAsia="宋体"/>
          <w:sz w:val="32"/>
          <w:szCs w:val="32"/>
        </w:rPr>
        <w:t>年支出总计</w:t>
      </w:r>
      <w:r>
        <w:rPr>
          <w:rFonts w:hint="eastAsia" w:ascii="宋体" w:hAnsi="宋体" w:eastAsia="宋体"/>
          <w:sz w:val="32"/>
          <w:szCs w:val="32"/>
        </w:rPr>
        <w:t>5094.19</w:t>
      </w:r>
      <w:r>
        <w:rPr>
          <w:rFonts w:ascii="宋体" w:hAnsi="宋体" w:eastAsia="宋体"/>
          <w:sz w:val="32"/>
          <w:szCs w:val="32"/>
        </w:rPr>
        <w:t>万元，较上年支出总计增加</w:t>
      </w:r>
      <w:r>
        <w:rPr>
          <w:rFonts w:hint="eastAsia" w:ascii="宋体" w:hAnsi="宋体" w:eastAsia="宋体"/>
          <w:sz w:val="32"/>
          <w:szCs w:val="32"/>
        </w:rPr>
        <w:t>1473.7</w:t>
      </w:r>
      <w:r>
        <w:rPr>
          <w:rFonts w:ascii="宋体" w:hAnsi="宋体" w:eastAsia="宋体"/>
          <w:sz w:val="32"/>
          <w:szCs w:val="32"/>
        </w:rPr>
        <w:t>万</w:t>
      </w:r>
      <w:r>
        <w:rPr>
          <w:rFonts w:hint="eastAsia" w:ascii="宋体" w:hAnsi="宋体" w:eastAsia="宋体"/>
          <w:sz w:val="32"/>
          <w:szCs w:val="32"/>
        </w:rPr>
        <w:t>元</w:t>
      </w:r>
      <w:r>
        <w:rPr>
          <w:rFonts w:ascii="宋体" w:hAnsi="宋体" w:eastAsia="宋体"/>
          <w:sz w:val="32"/>
          <w:szCs w:val="32"/>
        </w:rPr>
        <w:t>，</w:t>
      </w:r>
      <w:r>
        <w:rPr>
          <w:rFonts w:hint="eastAsia" w:ascii="宋体" w:hAnsi="宋体" w:eastAsia="宋体"/>
          <w:sz w:val="32"/>
          <w:szCs w:val="32"/>
        </w:rPr>
        <w:t>增长40.70%，</w:t>
      </w:r>
      <w:r>
        <w:rPr>
          <w:rFonts w:ascii="宋体" w:hAnsi="宋体" w:eastAsia="宋体"/>
          <w:sz w:val="32"/>
          <w:szCs w:val="32"/>
        </w:rPr>
        <w:t>主要原因是</w:t>
      </w:r>
      <w:r>
        <w:rPr>
          <w:rFonts w:hint="eastAsia" w:ascii="宋体" w:hAnsi="宋体" w:eastAsia="宋体"/>
          <w:sz w:val="32"/>
          <w:szCs w:val="32"/>
        </w:rPr>
        <w:t>一般公共预算财政拨款收入和支出增加。</w:t>
      </w:r>
    </w:p>
    <w:p>
      <w:pPr>
        <w:spacing w:line="600" w:lineRule="exact"/>
        <w:ind w:firstLine="643" w:firstLineChars="200"/>
        <w:rPr>
          <w:rFonts w:ascii="宋体" w:hAnsi="宋体" w:eastAsia="宋体"/>
          <w:b/>
          <w:sz w:val="32"/>
          <w:szCs w:val="32"/>
        </w:rPr>
      </w:pPr>
      <w:r>
        <w:rPr>
          <w:rFonts w:hint="eastAsia" w:ascii="宋体" w:hAnsi="宋体" w:eastAsia="宋体"/>
          <w:b/>
          <w:sz w:val="32"/>
          <w:szCs w:val="32"/>
        </w:rPr>
        <w:t>二、</w:t>
      </w:r>
      <w:r>
        <w:rPr>
          <w:rFonts w:ascii="宋体" w:hAnsi="宋体" w:eastAsia="宋体"/>
          <w:b/>
          <w:sz w:val="32"/>
          <w:szCs w:val="32"/>
        </w:rPr>
        <w:t>收入决算情况说明</w:t>
      </w:r>
    </w:p>
    <w:p>
      <w:pPr>
        <w:spacing w:line="600" w:lineRule="exact"/>
        <w:ind w:firstLine="640" w:firstLineChars="200"/>
        <w:rPr>
          <w:rFonts w:ascii="宋体" w:hAnsi="宋体" w:eastAsia="宋体"/>
          <w:b/>
          <w:sz w:val="32"/>
          <w:szCs w:val="32"/>
        </w:rPr>
      </w:pPr>
      <w:r>
        <w:rPr>
          <w:rFonts w:hint="eastAsia" w:ascii="宋体" w:hAnsi="宋体" w:eastAsia="宋体"/>
          <w:sz w:val="32"/>
          <w:szCs w:val="32"/>
        </w:rPr>
        <w:t>衡南县生态环境局衡南分局2020</w:t>
      </w:r>
      <w:r>
        <w:rPr>
          <w:rFonts w:ascii="宋体" w:hAnsi="宋体" w:eastAsia="宋体"/>
          <w:sz w:val="32"/>
          <w:szCs w:val="32"/>
        </w:rPr>
        <w:t>年度收入总计</w:t>
      </w:r>
      <w:r>
        <w:rPr>
          <w:rFonts w:hint="eastAsia" w:ascii="宋体" w:hAnsi="宋体" w:eastAsia="宋体"/>
          <w:sz w:val="32"/>
          <w:szCs w:val="32"/>
        </w:rPr>
        <w:t>5094.19</w:t>
      </w:r>
      <w:r>
        <w:rPr>
          <w:rFonts w:ascii="宋体" w:hAnsi="宋体" w:eastAsia="宋体"/>
          <w:sz w:val="32"/>
          <w:szCs w:val="32"/>
        </w:rPr>
        <w:t>万元，其中：一般公共预算财政拨款</w:t>
      </w:r>
      <w:r>
        <w:rPr>
          <w:rFonts w:hint="eastAsia" w:ascii="宋体" w:hAnsi="宋体" w:eastAsia="宋体"/>
          <w:sz w:val="32"/>
          <w:szCs w:val="32"/>
        </w:rPr>
        <w:t>3559.03</w:t>
      </w:r>
      <w:r>
        <w:rPr>
          <w:rFonts w:ascii="宋体" w:hAnsi="宋体" w:eastAsia="宋体"/>
          <w:sz w:val="32"/>
          <w:szCs w:val="32"/>
        </w:rPr>
        <w:t>万元，</w:t>
      </w:r>
      <w:r>
        <w:rPr>
          <w:rFonts w:hint="eastAsia" w:ascii="宋体" w:hAnsi="宋体" w:eastAsia="宋体"/>
          <w:sz w:val="32"/>
          <w:szCs w:val="32"/>
        </w:rPr>
        <w:t>其他收入1527.16万元，政府性基金预算财政拨款8万。较去年决算收入增加1473.7万元，主要原因是一般公共预算财政拨款收入增加1523.02万元。</w:t>
      </w:r>
    </w:p>
    <w:p>
      <w:pPr>
        <w:spacing w:line="600" w:lineRule="exact"/>
        <w:ind w:firstLine="643" w:firstLineChars="200"/>
        <w:rPr>
          <w:rFonts w:ascii="宋体" w:hAnsi="宋体" w:eastAsia="宋体"/>
          <w:b/>
          <w:sz w:val="32"/>
          <w:szCs w:val="32"/>
        </w:rPr>
      </w:pPr>
      <w:r>
        <w:rPr>
          <w:rFonts w:hint="eastAsia" w:ascii="宋体" w:hAnsi="宋体" w:eastAsia="宋体"/>
          <w:b/>
          <w:sz w:val="32"/>
          <w:szCs w:val="32"/>
        </w:rPr>
        <w:t>三、</w:t>
      </w:r>
      <w:r>
        <w:rPr>
          <w:rFonts w:ascii="宋体" w:hAnsi="宋体" w:eastAsia="宋体"/>
          <w:b/>
          <w:sz w:val="32"/>
          <w:szCs w:val="32"/>
        </w:rPr>
        <w:t>支出决算情况说明</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衡南县生态环境局衡南分局2020</w:t>
      </w:r>
      <w:r>
        <w:rPr>
          <w:rFonts w:ascii="宋体" w:hAnsi="宋体" w:eastAsia="宋体"/>
          <w:sz w:val="32"/>
          <w:szCs w:val="32"/>
        </w:rPr>
        <w:t>年度支出总计</w:t>
      </w:r>
      <w:r>
        <w:rPr>
          <w:rFonts w:hint="eastAsia" w:ascii="宋体" w:hAnsi="宋体" w:eastAsia="宋体"/>
          <w:sz w:val="32"/>
          <w:szCs w:val="32"/>
        </w:rPr>
        <w:t>5094.19`</w:t>
      </w:r>
      <w:r>
        <w:rPr>
          <w:rFonts w:ascii="宋体" w:hAnsi="宋体" w:eastAsia="宋体"/>
          <w:sz w:val="32"/>
          <w:szCs w:val="32"/>
        </w:rPr>
        <w:t>万元</w:t>
      </w:r>
      <w:r>
        <w:rPr>
          <w:rFonts w:hint="eastAsia" w:ascii="宋体" w:hAnsi="宋体" w:eastAsia="宋体"/>
          <w:sz w:val="32"/>
          <w:szCs w:val="32"/>
        </w:rPr>
        <w:t>：</w:t>
      </w:r>
      <w:r>
        <w:rPr>
          <w:rFonts w:ascii="宋体" w:hAnsi="宋体" w:eastAsia="宋体"/>
          <w:sz w:val="32"/>
          <w:szCs w:val="32"/>
        </w:rPr>
        <w:t>其中社会保障和就业支出</w:t>
      </w:r>
      <w:r>
        <w:rPr>
          <w:rFonts w:hint="eastAsia" w:ascii="宋体" w:hAnsi="宋体" w:eastAsia="宋体"/>
          <w:sz w:val="32"/>
          <w:szCs w:val="32"/>
        </w:rPr>
        <w:t>97.74</w:t>
      </w:r>
      <w:r>
        <w:rPr>
          <w:rFonts w:ascii="宋体" w:hAnsi="宋体" w:eastAsia="宋体"/>
          <w:sz w:val="32"/>
          <w:szCs w:val="32"/>
        </w:rPr>
        <w:t>万元，</w:t>
      </w:r>
      <w:r>
        <w:rPr>
          <w:rFonts w:hint="eastAsia" w:ascii="宋体" w:hAnsi="宋体" w:eastAsia="宋体"/>
          <w:sz w:val="32"/>
          <w:szCs w:val="32"/>
        </w:rPr>
        <w:t>占本年支出1.92%；卫生健康</w:t>
      </w:r>
      <w:r>
        <w:rPr>
          <w:rFonts w:ascii="宋体" w:hAnsi="宋体" w:eastAsia="宋体"/>
          <w:sz w:val="32"/>
          <w:szCs w:val="32"/>
        </w:rPr>
        <w:t>支出</w:t>
      </w:r>
      <w:r>
        <w:rPr>
          <w:rFonts w:hint="eastAsia" w:ascii="宋体" w:hAnsi="宋体" w:eastAsia="宋体"/>
          <w:sz w:val="32"/>
          <w:szCs w:val="32"/>
        </w:rPr>
        <w:t>29.84</w:t>
      </w:r>
      <w:r>
        <w:rPr>
          <w:rFonts w:ascii="宋体" w:hAnsi="宋体" w:eastAsia="宋体"/>
          <w:sz w:val="32"/>
          <w:szCs w:val="32"/>
        </w:rPr>
        <w:t>万元，</w:t>
      </w:r>
      <w:r>
        <w:rPr>
          <w:rFonts w:hint="eastAsia" w:ascii="宋体" w:hAnsi="宋体" w:eastAsia="宋体"/>
          <w:sz w:val="32"/>
          <w:szCs w:val="32"/>
        </w:rPr>
        <w:t>占本年支出0.58%；</w:t>
      </w:r>
      <w:r>
        <w:rPr>
          <w:rFonts w:ascii="宋体" w:hAnsi="宋体" w:eastAsia="宋体"/>
          <w:sz w:val="32"/>
          <w:szCs w:val="32"/>
        </w:rPr>
        <w:t>节能环保支出</w:t>
      </w:r>
      <w:r>
        <w:rPr>
          <w:rFonts w:hint="eastAsia" w:ascii="宋体" w:hAnsi="宋体" w:eastAsia="宋体"/>
          <w:sz w:val="32"/>
          <w:szCs w:val="32"/>
        </w:rPr>
        <w:t>3989.77</w:t>
      </w:r>
      <w:r>
        <w:rPr>
          <w:rFonts w:ascii="宋体" w:hAnsi="宋体" w:eastAsia="宋体"/>
          <w:sz w:val="32"/>
          <w:szCs w:val="32"/>
        </w:rPr>
        <w:t>万元，</w:t>
      </w:r>
      <w:r>
        <w:rPr>
          <w:rFonts w:hint="eastAsia" w:ascii="宋体" w:hAnsi="宋体" w:eastAsia="宋体"/>
          <w:sz w:val="32"/>
          <w:szCs w:val="32"/>
        </w:rPr>
        <w:t>占本年支出78.32%；住房保障支出0.22，占本年支出0.02%；抗疫特别国债支出8</w:t>
      </w:r>
      <w:r>
        <w:rPr>
          <w:rFonts w:ascii="宋体" w:hAnsi="宋体" w:eastAsia="宋体"/>
          <w:sz w:val="32"/>
          <w:szCs w:val="32"/>
        </w:rPr>
        <w:t>万元，</w:t>
      </w:r>
      <w:r>
        <w:rPr>
          <w:rFonts w:hint="eastAsia" w:ascii="宋体" w:hAnsi="宋体" w:eastAsia="宋体"/>
          <w:sz w:val="32"/>
          <w:szCs w:val="32"/>
        </w:rPr>
        <w:t>占本年支出0.15%；教育支出1万元，占本年支出0.02%；其他支出967.62万元，占本年支出18.99%。</w:t>
      </w:r>
    </w:p>
    <w:p>
      <w:pPr>
        <w:autoSpaceDE w:val="0"/>
        <w:autoSpaceDN w:val="0"/>
        <w:adjustRightInd w:val="0"/>
        <w:spacing w:line="500" w:lineRule="exact"/>
        <w:jc w:val="left"/>
        <w:rPr>
          <w:rFonts w:ascii="宋体" w:hAnsi="宋体" w:eastAsia="宋体"/>
          <w:b/>
          <w:sz w:val="32"/>
          <w:szCs w:val="32"/>
        </w:rPr>
      </w:pPr>
    </w:p>
    <w:p>
      <w:pPr>
        <w:autoSpaceDE w:val="0"/>
        <w:autoSpaceDN w:val="0"/>
        <w:adjustRightInd w:val="0"/>
        <w:spacing w:line="500" w:lineRule="exact"/>
        <w:ind w:firstLine="643" w:firstLineChars="200"/>
        <w:jc w:val="left"/>
        <w:rPr>
          <w:rFonts w:ascii="宋体" w:hAnsi="宋体" w:eastAsia="宋体"/>
          <w:b/>
          <w:sz w:val="32"/>
          <w:szCs w:val="32"/>
        </w:rPr>
      </w:pPr>
      <w:r>
        <w:rPr>
          <w:rFonts w:ascii="宋体" w:hAnsi="宋体" w:eastAsia="宋体"/>
          <w:b/>
          <w:sz w:val="32"/>
          <w:szCs w:val="32"/>
        </w:rPr>
        <w:t>四、财政拨款收入支出决算总体情况说明</w:t>
      </w:r>
    </w:p>
    <w:p>
      <w:pPr>
        <w:autoSpaceDE w:val="0"/>
        <w:autoSpaceDN w:val="0"/>
        <w:adjustRightInd w:val="0"/>
        <w:spacing w:line="600" w:lineRule="exact"/>
        <w:ind w:firstLine="640" w:firstLineChars="200"/>
        <w:jc w:val="left"/>
        <w:rPr>
          <w:rFonts w:ascii="宋体" w:hAnsi="宋体" w:eastAsia="宋体"/>
          <w:sz w:val="32"/>
          <w:szCs w:val="32"/>
        </w:rPr>
      </w:pPr>
      <w:r>
        <w:rPr>
          <w:rFonts w:hint="eastAsia" w:ascii="宋体" w:hAnsi="宋体" w:eastAsia="宋体"/>
          <w:sz w:val="32"/>
          <w:szCs w:val="32"/>
        </w:rPr>
        <w:t>衡南县生态环境局衡南分局2020年度财政拨款收入3567.03万元，较2019年增加1531.02万元，增长75.2%，主要是节能环保和自然生态保护经费增加。</w:t>
      </w:r>
    </w:p>
    <w:p>
      <w:pPr>
        <w:spacing w:line="600" w:lineRule="exact"/>
        <w:ind w:firstLine="643" w:firstLineChars="200"/>
        <w:rPr>
          <w:rFonts w:ascii="宋体" w:hAnsi="宋体" w:eastAsia="宋体"/>
          <w:b/>
          <w:sz w:val="32"/>
          <w:szCs w:val="32"/>
        </w:rPr>
      </w:pPr>
      <w:r>
        <w:rPr>
          <w:rFonts w:hint="eastAsia" w:ascii="宋体" w:hAnsi="宋体" w:eastAsia="宋体"/>
          <w:b/>
          <w:sz w:val="32"/>
          <w:szCs w:val="32"/>
        </w:rPr>
        <w:t>五、</w:t>
      </w:r>
      <w:r>
        <w:rPr>
          <w:rFonts w:ascii="宋体" w:hAnsi="宋体" w:eastAsia="宋体"/>
          <w:b/>
          <w:sz w:val="32"/>
          <w:szCs w:val="32"/>
        </w:rPr>
        <w:t>一般公共预算财政拨款支出决算</w:t>
      </w:r>
      <w:r>
        <w:rPr>
          <w:rFonts w:hint="eastAsia" w:ascii="宋体" w:hAnsi="宋体" w:eastAsia="宋体"/>
          <w:b/>
          <w:sz w:val="32"/>
          <w:szCs w:val="32"/>
        </w:rPr>
        <w:t>总体情况</w:t>
      </w:r>
      <w:r>
        <w:rPr>
          <w:rFonts w:ascii="宋体" w:hAnsi="宋体" w:eastAsia="宋体"/>
          <w:b/>
          <w:sz w:val="32"/>
          <w:szCs w:val="32"/>
        </w:rPr>
        <w:t>说明</w:t>
      </w:r>
    </w:p>
    <w:p>
      <w:pPr>
        <w:pStyle w:val="10"/>
        <w:ind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（一）财政拨款支出决算总体情况</w:t>
      </w:r>
    </w:p>
    <w:p>
      <w:pPr>
        <w:pStyle w:val="10"/>
        <w:ind w:firstLine="800" w:firstLineChars="25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2020年度财政拨款支出3559.03万元，占本年支出合计的69.86%，与2019年相比，财政拨款支出增加1531.02万元，增长69.92%，支出增加的主要原因</w:t>
      </w:r>
      <w:r>
        <w:rPr>
          <w:rFonts w:hint="eastAsia" w:ascii="宋体" w:hAnsi="宋体" w:eastAsia="宋体"/>
          <w:sz w:val="32"/>
          <w:szCs w:val="32"/>
        </w:rPr>
        <w:t>节能环保和自然生态保护经费支出增加</w:t>
      </w:r>
      <w:r>
        <w:rPr>
          <w:rFonts w:hint="eastAsia" w:ascii="宋体" w:hAnsi="宋体" w:eastAsia="宋体" w:cstheme="minorBidi"/>
          <w:color w:val="auto"/>
          <w:kern w:val="2"/>
          <w:sz w:val="32"/>
          <w:szCs w:val="32"/>
        </w:rPr>
        <w:t>。</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（二）财政拨款支出决算结构情况</w:t>
      </w:r>
    </w:p>
    <w:p>
      <w:pPr>
        <w:pStyle w:val="10"/>
        <w:ind w:firstLine="800" w:firstLineChars="25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2020年度财政拨款支出3559.03万元，主要用于以下方面：社会保障和就业支出97.74万元，占2.74%；卫生健康支出29.84万元，占0.84%；节能环保支出2462.61万元，占69.04%；住房保障及教育支出1.23万元，占0.03%；其他支出967.61万元，占27.13%；抗疫特别国债安排的支出8万元，占0.22%。</w:t>
      </w:r>
    </w:p>
    <w:p>
      <w:pPr>
        <w:pStyle w:val="10"/>
        <w:ind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（三）财政拨款支出决算具体情况</w:t>
      </w:r>
    </w:p>
    <w:p>
      <w:pPr>
        <w:pStyle w:val="10"/>
        <w:ind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2020年度财政拨款支出年初预算数为3559.03万元，支出决算数为3559.03万元，预算执行率100%，其中：</w:t>
      </w:r>
    </w:p>
    <w:p>
      <w:pPr>
        <w:pStyle w:val="1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（1</w:t>
      </w:r>
      <w:r>
        <w:rPr>
          <w:rFonts w:ascii="宋体" w:hAnsi="宋体" w:eastAsia="宋体" w:cstheme="minorBidi"/>
          <w:color w:val="auto"/>
          <w:kern w:val="2"/>
          <w:sz w:val="32"/>
          <w:szCs w:val="32"/>
        </w:rPr>
        <w:t>）</w:t>
      </w:r>
      <w:r>
        <w:rPr>
          <w:rFonts w:hint="eastAsia" w:ascii="宋体" w:hAnsi="宋体" w:eastAsia="宋体" w:cstheme="minorBidi"/>
          <w:color w:val="auto"/>
          <w:kern w:val="2"/>
          <w:sz w:val="32"/>
          <w:szCs w:val="32"/>
        </w:rPr>
        <w:t>社会保障和就业支出97.74万元，占6.42%，主要是机关事业单位社会保险费；</w:t>
      </w:r>
    </w:p>
    <w:p>
      <w:pPr>
        <w:pStyle w:val="10"/>
        <w:ind w:firstLine="160" w:firstLineChars="5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(2)卫生健康支出29.84万元，占0.84%；用于医疗保险和生育保险费用；</w:t>
      </w:r>
    </w:p>
    <w:p>
      <w:pPr>
        <w:pStyle w:val="1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（3）节能环保支出2462.61万元，占69.04%；主要是行政运行和各类节能环保专项支出。</w:t>
      </w:r>
    </w:p>
    <w:p>
      <w:pPr>
        <w:pStyle w:val="1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（4）住房保障及教育支出1.23万元，占0.03%。用于住房公积金及单位退伍军人继续教育费。</w:t>
      </w:r>
    </w:p>
    <w:p>
      <w:pPr>
        <w:pStyle w:val="10"/>
        <w:rPr>
          <w:rFonts w:ascii="宋体" w:hAnsi="宋体" w:eastAsia="宋体" w:cstheme="minorBidi"/>
          <w:b/>
          <w:color w:val="auto"/>
          <w:kern w:val="2"/>
          <w:sz w:val="32"/>
          <w:szCs w:val="32"/>
        </w:rPr>
      </w:pPr>
      <w:r>
        <w:rPr>
          <w:rFonts w:hint="eastAsia" w:ascii="宋体" w:hAnsi="宋体" w:eastAsia="宋体" w:cstheme="minorBidi"/>
          <w:color w:val="auto"/>
          <w:kern w:val="2"/>
          <w:sz w:val="32"/>
          <w:szCs w:val="32"/>
        </w:rPr>
        <w:t>（5）其他支出967.61万元，占27.13%，用于各乡镇的农村环境综合整治资金。</w:t>
      </w:r>
    </w:p>
    <w:p>
      <w:pPr>
        <w:pStyle w:val="10"/>
        <w:ind w:firstLine="643" w:firstLineChars="200"/>
        <w:rPr>
          <w:rFonts w:ascii="宋体" w:hAnsi="宋体" w:eastAsia="宋体" w:cstheme="minorBidi"/>
          <w:b/>
          <w:color w:val="auto"/>
          <w:kern w:val="2"/>
          <w:sz w:val="32"/>
          <w:szCs w:val="32"/>
        </w:rPr>
      </w:pPr>
      <w:r>
        <w:rPr>
          <w:rFonts w:hint="eastAsia" w:ascii="宋体" w:hAnsi="宋体" w:eastAsia="宋体" w:cstheme="minorBidi"/>
          <w:b/>
          <w:color w:val="auto"/>
          <w:kern w:val="2"/>
          <w:sz w:val="32"/>
          <w:szCs w:val="32"/>
        </w:rPr>
        <w:t>六、一般公共预算财政拨款基本支出决算情况说明</w:t>
      </w:r>
    </w:p>
    <w:p>
      <w:pPr>
        <w:pStyle w:val="10"/>
        <w:ind w:left="420" w:leftChars="200"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2020年度财政拨款基本支出1803.09万元，其中：人员经费1644.02万元，占基本支出的91.18%,主要包括基本工资、津贴补贴、奖金、绩效工资、机关事业单位基本养老保险缴费、职业年金缴费、职工基本医疗缴费、其他社会保障缴费、住房公积金、医疗费、其他工资福利支出、生活补助、对个人家庭补助支出。公用经费159.06万元，占基本支出8.82%。主要包括办公费、印刷费、水费、电费、邮电费、差旅费、公务接待费、劳务费、工会经费、其他商品和服务支出。</w:t>
      </w:r>
    </w:p>
    <w:p>
      <w:pPr>
        <w:pStyle w:val="10"/>
        <w:ind w:firstLine="643" w:firstLineChars="200"/>
        <w:rPr>
          <w:rFonts w:ascii="宋体" w:hAnsi="宋体" w:eastAsia="宋体"/>
          <w:b/>
          <w:sz w:val="32"/>
          <w:szCs w:val="32"/>
        </w:rPr>
      </w:pPr>
      <w:r>
        <w:rPr>
          <w:rFonts w:hint="eastAsia" w:ascii="宋体" w:hAnsi="宋体" w:eastAsia="宋体"/>
          <w:b/>
          <w:sz w:val="32"/>
          <w:szCs w:val="32"/>
        </w:rPr>
        <w:t>七、一般公共预算财政拨款三公经费支出决算情况说明</w:t>
      </w:r>
    </w:p>
    <w:p>
      <w:pPr>
        <w:pStyle w:val="10"/>
        <w:snapToGrid w:val="0"/>
        <w:spacing w:line="360" w:lineRule="auto"/>
        <w:ind w:firstLine="617" w:firstLineChars="200"/>
        <w:rPr>
          <w:rFonts w:ascii="宋体" w:hAnsi="宋体" w:eastAsia="宋体"/>
          <w:sz w:val="32"/>
          <w:szCs w:val="32"/>
        </w:rPr>
      </w:pPr>
      <w:r>
        <w:rPr>
          <w:rFonts w:hint="eastAsia" w:ascii="宋体" w:hAnsi="宋体" w:eastAsia="宋体" w:cs="宋体"/>
          <w:b/>
          <w:w w:val="96"/>
          <w:sz w:val="32"/>
          <w:szCs w:val="32"/>
        </w:rPr>
        <w:t>（一）“三公”经费财政拨款支出决算总体情况说明</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我局2020</w:t>
      </w:r>
      <w:r>
        <w:rPr>
          <w:rFonts w:ascii="宋体" w:hAnsi="宋体" w:eastAsia="宋体"/>
          <w:sz w:val="32"/>
          <w:szCs w:val="32"/>
        </w:rPr>
        <w:t>年度一般公共预算财政拨款“三公”经费支出预算数为</w:t>
      </w:r>
      <w:r>
        <w:rPr>
          <w:rFonts w:hint="eastAsia" w:ascii="宋体" w:hAnsi="宋体" w:eastAsia="宋体"/>
          <w:sz w:val="32"/>
          <w:szCs w:val="32"/>
        </w:rPr>
        <w:t>13.31万元，支出</w:t>
      </w:r>
      <w:r>
        <w:rPr>
          <w:rFonts w:ascii="宋体" w:hAnsi="宋体" w:eastAsia="宋体"/>
          <w:sz w:val="32"/>
          <w:szCs w:val="32"/>
        </w:rPr>
        <w:t>决算总计</w:t>
      </w:r>
      <w:r>
        <w:rPr>
          <w:rFonts w:hint="eastAsia" w:ascii="宋体" w:hAnsi="宋体" w:eastAsia="宋体"/>
          <w:sz w:val="32"/>
          <w:szCs w:val="32"/>
        </w:rPr>
        <w:t>9.55</w:t>
      </w:r>
      <w:r>
        <w:rPr>
          <w:rFonts w:ascii="宋体" w:hAnsi="宋体" w:eastAsia="宋体"/>
          <w:sz w:val="32"/>
          <w:szCs w:val="32"/>
        </w:rPr>
        <w:t>万元，完成预算度</w:t>
      </w:r>
      <w:r>
        <w:rPr>
          <w:rFonts w:hint="eastAsia" w:ascii="宋体" w:hAnsi="宋体" w:eastAsia="宋体"/>
          <w:sz w:val="32"/>
          <w:szCs w:val="32"/>
        </w:rPr>
        <w:t>71.75%。决算数小于预算数的主要原因是厉行节约，严格控制三公经费支出。其中：</w:t>
      </w:r>
    </w:p>
    <w:p>
      <w:pPr>
        <w:pStyle w:val="10"/>
        <w:snapToGrid w:val="0"/>
        <w:spacing w:line="360" w:lineRule="auto"/>
        <w:ind w:firstLine="614" w:firstLineChars="200"/>
        <w:rPr>
          <w:rFonts w:ascii="宋体" w:hAnsi="宋体" w:eastAsia="宋体" w:cs="宋体"/>
          <w:w w:val="96"/>
          <w:sz w:val="32"/>
          <w:szCs w:val="32"/>
        </w:rPr>
      </w:pPr>
      <w:r>
        <w:rPr>
          <w:rFonts w:hint="eastAsia" w:ascii="宋体" w:hAnsi="宋体" w:eastAsia="宋体" w:cs="宋体"/>
          <w:w w:val="96"/>
          <w:sz w:val="32"/>
          <w:szCs w:val="32"/>
        </w:rPr>
        <w:t>因公出国（境）费支出预算为0万元，支出决算为0万元，完成预算度0%。</w:t>
      </w:r>
      <w:r>
        <w:rPr>
          <w:rFonts w:ascii="宋体" w:hAnsi="宋体" w:eastAsia="宋体" w:cs="宋体"/>
          <w:w w:val="96"/>
          <w:sz w:val="32"/>
          <w:szCs w:val="32"/>
        </w:rPr>
        <w:t>本年度无</w:t>
      </w:r>
      <w:r>
        <w:rPr>
          <w:rFonts w:hint="eastAsia" w:ascii="宋体" w:hAnsi="宋体" w:eastAsia="宋体" w:cs="宋体"/>
          <w:w w:val="96"/>
          <w:sz w:val="32"/>
          <w:szCs w:val="32"/>
        </w:rPr>
        <w:t>因公出国（境）。</w:t>
      </w:r>
    </w:p>
    <w:p>
      <w:pPr>
        <w:spacing w:line="600" w:lineRule="exact"/>
        <w:ind w:firstLine="614" w:firstLineChars="200"/>
        <w:rPr>
          <w:rFonts w:ascii="宋体" w:hAnsi="宋体" w:eastAsia="宋体"/>
          <w:sz w:val="32"/>
          <w:szCs w:val="32"/>
        </w:rPr>
      </w:pPr>
      <w:r>
        <w:rPr>
          <w:rFonts w:hint="eastAsia" w:ascii="宋体" w:hAnsi="宋体" w:eastAsia="宋体" w:cs="宋体"/>
          <w:w w:val="96"/>
          <w:sz w:val="32"/>
          <w:szCs w:val="32"/>
        </w:rPr>
        <w:t>国内</w:t>
      </w:r>
      <w:r>
        <w:rPr>
          <w:rFonts w:hint="eastAsia" w:ascii="宋体" w:hAnsi="宋体" w:eastAsia="宋体"/>
          <w:sz w:val="32"/>
          <w:szCs w:val="32"/>
        </w:rPr>
        <w:t>公务接待费支出预算为3.26万元，支出决算为2.59万元，完成预算度79.48%。减少的主要原因是贯彻落实厉行节约精神，压减了不必要的公务接待。主要内容为本级和下级单位检查和检测工作公务接待支出。</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单位公务用车车辆数据为2辆，公务用车运行维护费支出预算数为10.50万元，支出决算数为6.96万元，完成预算度66.28%。减少的主要原因是贯彻落实厉行节约精神，压减了不必要的公务用车运行经费。</w:t>
      </w:r>
    </w:p>
    <w:p>
      <w:pPr>
        <w:pStyle w:val="10"/>
        <w:snapToGrid w:val="0"/>
        <w:spacing w:line="360" w:lineRule="auto"/>
        <w:ind w:firstLine="617" w:firstLineChars="200"/>
        <w:rPr>
          <w:rFonts w:ascii="宋体" w:hAnsi="宋体" w:eastAsia="宋体" w:cs="宋体"/>
          <w:b/>
          <w:w w:val="96"/>
          <w:sz w:val="32"/>
          <w:szCs w:val="32"/>
        </w:rPr>
      </w:pPr>
      <w:r>
        <w:rPr>
          <w:rFonts w:hint="eastAsia" w:ascii="宋体" w:hAnsi="宋体" w:eastAsia="宋体" w:cs="宋体"/>
          <w:b/>
          <w:w w:val="96"/>
          <w:sz w:val="32"/>
          <w:szCs w:val="32"/>
        </w:rPr>
        <w:t>（二）“三公”经费财政拨款支出决算具体情况说明</w:t>
      </w:r>
    </w:p>
    <w:p>
      <w:pPr>
        <w:pStyle w:val="10"/>
        <w:snapToGrid w:val="0"/>
        <w:spacing w:line="360" w:lineRule="auto"/>
        <w:ind w:firstLine="640" w:firstLineChars="200"/>
        <w:rPr>
          <w:rFonts w:ascii="宋体" w:hAnsi="宋体" w:eastAsia="宋体"/>
          <w:sz w:val="32"/>
          <w:szCs w:val="32"/>
        </w:rPr>
      </w:pPr>
      <w:r>
        <w:rPr>
          <w:rFonts w:hint="eastAsia" w:ascii="宋体" w:hAnsi="宋体" w:eastAsia="宋体"/>
          <w:sz w:val="32"/>
          <w:szCs w:val="32"/>
        </w:rPr>
        <w:t>我局2020</w:t>
      </w:r>
      <w:r>
        <w:rPr>
          <w:rFonts w:ascii="宋体" w:hAnsi="宋体" w:eastAsia="宋体"/>
          <w:sz w:val="32"/>
          <w:szCs w:val="32"/>
        </w:rPr>
        <w:t>年度一般公共预算财政拨款“三公”经费支出</w:t>
      </w:r>
      <w:r>
        <w:rPr>
          <w:rFonts w:hint="eastAsia" w:ascii="宋体" w:hAnsi="宋体" w:eastAsia="宋体"/>
          <w:sz w:val="32"/>
          <w:szCs w:val="32"/>
        </w:rPr>
        <w:t>决算</w:t>
      </w:r>
      <w:r>
        <w:rPr>
          <w:rFonts w:ascii="宋体" w:hAnsi="宋体" w:eastAsia="宋体"/>
          <w:sz w:val="32"/>
          <w:szCs w:val="32"/>
        </w:rPr>
        <w:t>数为</w:t>
      </w:r>
      <w:r>
        <w:rPr>
          <w:rFonts w:hint="eastAsia" w:ascii="宋体" w:hAnsi="宋体" w:eastAsia="宋体"/>
          <w:sz w:val="32"/>
          <w:szCs w:val="32"/>
        </w:rPr>
        <w:t>9.55万元，</w:t>
      </w:r>
      <w:r>
        <w:rPr>
          <w:rFonts w:hint="eastAsia" w:ascii="宋体" w:hAnsi="宋体" w:eastAsia="宋体" w:cs="宋体"/>
          <w:w w:val="96"/>
          <w:sz w:val="32"/>
          <w:szCs w:val="32"/>
        </w:rPr>
        <w:t>因公出国（境）费支出为0万元，占0%；</w:t>
      </w:r>
      <w:r>
        <w:rPr>
          <w:rFonts w:hint="eastAsia" w:ascii="宋体" w:hAnsi="宋体" w:eastAsia="宋体"/>
          <w:sz w:val="32"/>
          <w:szCs w:val="32"/>
        </w:rPr>
        <w:t>公务接待费2.59万元，占27.12%；公务用车购置及运行维护费6.96万元，占72.88%。</w:t>
      </w:r>
    </w:p>
    <w:p>
      <w:pPr>
        <w:pStyle w:val="10"/>
        <w:snapToGrid w:val="0"/>
        <w:spacing w:line="360" w:lineRule="auto"/>
        <w:ind w:firstLine="614" w:firstLineChars="200"/>
        <w:rPr>
          <w:rFonts w:ascii="宋体" w:hAnsi="宋体" w:eastAsia="宋体" w:cs="宋体"/>
          <w:w w:val="96"/>
          <w:sz w:val="32"/>
          <w:szCs w:val="32"/>
        </w:rPr>
      </w:pPr>
      <w:r>
        <w:rPr>
          <w:rFonts w:hint="eastAsia" w:ascii="宋体" w:hAnsi="宋体" w:eastAsia="宋体" w:cs="宋体"/>
          <w:w w:val="96"/>
          <w:sz w:val="32"/>
          <w:szCs w:val="32"/>
        </w:rPr>
        <w:t>1、因公出国（境）费支出为0万元，没有因公出国（境）。</w:t>
      </w:r>
    </w:p>
    <w:p>
      <w:pPr>
        <w:spacing w:line="600" w:lineRule="exact"/>
        <w:ind w:firstLine="640" w:firstLineChars="200"/>
        <w:rPr>
          <w:rFonts w:ascii="宋体" w:hAnsi="宋体" w:eastAsia="宋体"/>
          <w:sz w:val="32"/>
          <w:szCs w:val="32"/>
        </w:rPr>
      </w:pPr>
      <w:r>
        <w:rPr>
          <w:rFonts w:hint="eastAsia" w:ascii="宋体" w:hAnsi="宋体" w:eastAsia="宋体"/>
          <w:sz w:val="32"/>
          <w:szCs w:val="32"/>
        </w:rPr>
        <w:t>2、公务接待费支出为2.59万元，公务接待批次87次，接待人数430人。</w:t>
      </w:r>
    </w:p>
    <w:p>
      <w:pPr>
        <w:spacing w:line="600" w:lineRule="exact"/>
        <w:ind w:firstLine="640" w:firstLineChars="200"/>
        <w:rPr>
          <w:rFonts w:ascii="宋体" w:hAnsi="宋体" w:eastAsia="宋体"/>
          <w:b/>
          <w:sz w:val="32"/>
          <w:szCs w:val="32"/>
        </w:rPr>
      </w:pPr>
      <w:r>
        <w:rPr>
          <w:rFonts w:hint="eastAsia" w:ascii="宋体" w:hAnsi="宋体" w:eastAsia="宋体"/>
          <w:sz w:val="32"/>
          <w:szCs w:val="32"/>
        </w:rPr>
        <w:t>3、公务用车购置及运行维护费6.96万元。其中：公务用车购置费0万元，公务用车运行维护费6.96万元。截至2020年12月31日，本单位公务用车保有量为2辆，当年新增公务用车为0辆。</w:t>
      </w:r>
    </w:p>
    <w:p>
      <w:pPr>
        <w:pStyle w:val="10"/>
        <w:ind w:firstLine="643" w:firstLineChars="200"/>
        <w:rPr>
          <w:rFonts w:ascii="宋体" w:hAnsi="宋体" w:eastAsia="宋体"/>
          <w:b/>
          <w:sz w:val="32"/>
          <w:szCs w:val="32"/>
        </w:rPr>
      </w:pPr>
      <w:r>
        <w:rPr>
          <w:rFonts w:hint="eastAsia" w:ascii="宋体" w:hAnsi="宋体" w:eastAsia="宋体"/>
          <w:b/>
          <w:sz w:val="32"/>
          <w:szCs w:val="32"/>
        </w:rPr>
        <w:t>八、政府性基金预算收入支出决算情况</w:t>
      </w:r>
    </w:p>
    <w:p>
      <w:pPr>
        <w:pStyle w:val="10"/>
        <w:ind w:firstLine="480" w:firstLineChars="15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2020年度我单位政府性基金预算收入8万元，政府性基金预算支出8万元，用于新冠疫情抗疫物资品等。</w:t>
      </w:r>
    </w:p>
    <w:p>
      <w:pPr>
        <w:pStyle w:val="10"/>
        <w:snapToGrid w:val="0"/>
        <w:spacing w:line="360" w:lineRule="auto"/>
        <w:ind w:firstLine="617" w:firstLineChars="200"/>
        <w:rPr>
          <w:rFonts w:ascii="宋体" w:hAnsi="宋体" w:eastAsia="宋体" w:cs="宋体"/>
          <w:b/>
          <w:w w:val="96"/>
          <w:sz w:val="32"/>
          <w:szCs w:val="32"/>
        </w:rPr>
      </w:pPr>
      <w:r>
        <w:rPr>
          <w:rFonts w:hint="eastAsia" w:ascii="宋体" w:hAnsi="宋体" w:eastAsia="宋体" w:cs="宋体"/>
          <w:b/>
          <w:w w:val="96"/>
          <w:sz w:val="32"/>
          <w:szCs w:val="32"/>
        </w:rPr>
        <w:t>九、国有资本经营预算财政拨款支出决算情况</w:t>
      </w:r>
    </w:p>
    <w:p>
      <w:pPr>
        <w:pStyle w:val="10"/>
        <w:ind w:firstLine="614" w:firstLineChars="200"/>
        <w:rPr>
          <w:rFonts w:ascii="宋体" w:hAnsi="宋体" w:eastAsia="宋体" w:cstheme="minorBidi"/>
          <w:color w:val="auto"/>
          <w:kern w:val="2"/>
          <w:sz w:val="32"/>
          <w:szCs w:val="32"/>
        </w:rPr>
      </w:pPr>
      <w:r>
        <w:rPr>
          <w:rFonts w:hint="eastAsia" w:ascii="宋体" w:hAnsi="宋体" w:eastAsia="宋体" w:cs="宋体"/>
          <w:w w:val="96"/>
          <w:sz w:val="32"/>
          <w:szCs w:val="32"/>
        </w:rPr>
        <w:t>本单位2020年没有国有资本经营预算财政拨款支出。</w:t>
      </w:r>
    </w:p>
    <w:p>
      <w:pPr>
        <w:pStyle w:val="10"/>
        <w:ind w:firstLine="643" w:firstLineChars="200"/>
        <w:rPr>
          <w:rFonts w:ascii="宋体" w:hAnsi="宋体" w:eastAsia="宋体"/>
          <w:b/>
          <w:sz w:val="32"/>
          <w:szCs w:val="32"/>
        </w:rPr>
      </w:pPr>
      <w:r>
        <w:rPr>
          <w:rFonts w:hint="eastAsia" w:ascii="宋体" w:hAnsi="宋体" w:eastAsia="宋体"/>
          <w:b/>
          <w:sz w:val="32"/>
          <w:szCs w:val="32"/>
        </w:rPr>
        <w:t>十、机关运行经费支出情况</w:t>
      </w:r>
    </w:p>
    <w:p>
      <w:pPr>
        <w:pStyle w:val="10"/>
        <w:ind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本单位2020年度机关运行经费支出159.06万元，比2019年增加36.57万元，增加35.53%。主要原因是：独立核算二级机构合并到本单位。</w:t>
      </w:r>
    </w:p>
    <w:p>
      <w:pPr>
        <w:ind w:firstLine="643" w:firstLineChars="200"/>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十一、一般性支出情况</w:t>
      </w:r>
    </w:p>
    <w:p>
      <w:pPr>
        <w:pStyle w:val="10"/>
        <w:ind w:firstLine="640" w:firstLineChars="200"/>
        <w:rPr>
          <w:rFonts w:ascii="宋体" w:hAnsi="宋体" w:eastAsia="宋体"/>
          <w:b/>
          <w:sz w:val="32"/>
          <w:szCs w:val="32"/>
        </w:rPr>
      </w:pPr>
      <w:r>
        <w:rPr>
          <w:rFonts w:hint="eastAsia" w:ascii="宋体" w:hAnsi="宋体" w:eastAsia="宋体" w:cstheme="minorBidi"/>
          <w:color w:val="auto"/>
          <w:kern w:val="2"/>
          <w:sz w:val="32"/>
          <w:szCs w:val="32"/>
        </w:rPr>
        <w:t>2020年本单位办公费22.19万元，比2019年增加4.55万元，增加25.85%，用于正常办公开支；2020年劳务费2.05万元，比2019年增加1.05万元，增加100%，用于第三方公式的委托业务费。</w:t>
      </w:r>
    </w:p>
    <w:p>
      <w:pPr>
        <w:ind w:firstLine="643" w:firstLineChars="200"/>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十二、政府采购支出情况</w:t>
      </w:r>
    </w:p>
    <w:p>
      <w:pPr>
        <w:pStyle w:val="10"/>
        <w:ind w:firstLine="640" w:firstLineChars="200"/>
        <w:rPr>
          <w:rFonts w:ascii="宋体" w:hAnsi="宋体" w:eastAsia="宋体"/>
          <w:b/>
          <w:sz w:val="32"/>
          <w:szCs w:val="32"/>
        </w:rPr>
      </w:pPr>
      <w:r>
        <w:rPr>
          <w:rFonts w:hint="eastAsia" w:ascii="宋体" w:hAnsi="宋体" w:eastAsia="宋体" w:cstheme="minorBidi"/>
          <w:color w:val="auto"/>
          <w:kern w:val="2"/>
          <w:sz w:val="32"/>
          <w:szCs w:val="32"/>
        </w:rPr>
        <w:t>本单位2020年度政府采购支出总额17.56万元，比去年增加1.59万元，增加9.96%。其中：政府采购货物支出17.56万元，主要是采购办公电脑、打印机、空调等办公用品。</w:t>
      </w:r>
    </w:p>
    <w:p>
      <w:pPr>
        <w:ind w:firstLine="643" w:firstLineChars="200"/>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十三、国有资</w:t>
      </w:r>
      <w:bookmarkStart w:id="1" w:name="_GoBack"/>
      <w:bookmarkEnd w:id="1"/>
      <w:r>
        <w:rPr>
          <w:rFonts w:hint="eastAsia" w:ascii="宋体" w:hAnsi="宋体" w:eastAsia="宋体" w:cs="黑体"/>
          <w:b/>
          <w:color w:val="000000"/>
          <w:kern w:val="0"/>
          <w:sz w:val="32"/>
          <w:szCs w:val="32"/>
        </w:rPr>
        <w:t>产占用情况</w:t>
      </w:r>
    </w:p>
    <w:p>
      <w:pPr>
        <w:pStyle w:val="10"/>
        <w:ind w:firstLine="640" w:firstLineChars="200"/>
        <w:rPr>
          <w:rFonts w:ascii="宋体" w:hAnsi="宋体" w:eastAsia="宋体" w:cstheme="minorBidi"/>
          <w:color w:val="auto"/>
          <w:kern w:val="2"/>
          <w:sz w:val="32"/>
          <w:szCs w:val="32"/>
        </w:rPr>
      </w:pPr>
      <w:r>
        <w:rPr>
          <w:rFonts w:hint="eastAsia" w:ascii="宋体" w:hAnsi="宋体" w:eastAsia="宋体" w:cstheme="minorBidi"/>
          <w:color w:val="auto"/>
          <w:kern w:val="2"/>
          <w:sz w:val="32"/>
          <w:szCs w:val="32"/>
        </w:rPr>
        <w:t>截至202020年12月31日，本单位共有2辆专用执法用车。</w:t>
      </w:r>
    </w:p>
    <w:p>
      <w:pPr>
        <w:pStyle w:val="10"/>
        <w:ind w:firstLine="643" w:firstLineChars="200"/>
        <w:rPr>
          <w:rFonts w:ascii="宋体" w:hAnsi="宋体" w:eastAsia="宋体" w:cstheme="minorBidi"/>
          <w:b/>
          <w:color w:val="auto"/>
          <w:kern w:val="2"/>
          <w:sz w:val="32"/>
          <w:szCs w:val="32"/>
        </w:rPr>
      </w:pPr>
      <w:r>
        <w:rPr>
          <w:rFonts w:hint="eastAsia" w:ascii="宋体" w:hAnsi="宋体" w:eastAsia="宋体" w:cstheme="minorBidi"/>
          <w:b/>
          <w:color w:val="auto"/>
          <w:kern w:val="2"/>
          <w:sz w:val="32"/>
          <w:szCs w:val="32"/>
        </w:rPr>
        <w:t>十四、关于2020年预算绩效情况的说明</w:t>
      </w:r>
    </w:p>
    <w:p>
      <w:pPr>
        <w:widowControl/>
        <w:ind w:firstLine="640" w:firstLineChars="200"/>
        <w:jc w:val="left"/>
        <w:rPr>
          <w:rFonts w:ascii="宋体" w:hAnsi="宋体" w:eastAsia="宋体"/>
          <w:sz w:val="32"/>
          <w:szCs w:val="32"/>
        </w:rPr>
      </w:pPr>
      <w:r>
        <w:rPr>
          <w:rFonts w:hint="eastAsia" w:ascii="宋体" w:hAnsi="宋体" w:eastAsia="宋体"/>
          <w:sz w:val="32"/>
          <w:szCs w:val="32"/>
        </w:rPr>
        <w:t>（一）预算绩效管理工作开展情况</w:t>
      </w:r>
    </w:p>
    <w:p>
      <w:pPr>
        <w:widowControl/>
        <w:ind w:firstLine="640" w:firstLineChars="200"/>
        <w:jc w:val="left"/>
        <w:rPr>
          <w:rFonts w:ascii="宋体" w:hAnsi="宋体" w:eastAsia="宋体"/>
          <w:sz w:val="32"/>
          <w:szCs w:val="32"/>
        </w:rPr>
      </w:pPr>
      <w:r>
        <w:rPr>
          <w:rFonts w:hint="eastAsia" w:ascii="宋体" w:hAnsi="宋体" w:eastAsia="宋体"/>
          <w:sz w:val="32"/>
          <w:szCs w:val="32"/>
        </w:rPr>
        <w:t>我分局对部门整体支出绩效开展了自评。绩效评价结果显示，我分局2020年度绩效目标完成较好，在预算配置、预算执行、预算管理等方面完成了财政工作发展。今年，根据省市要求，制定了《衡南县污染防治攻坚战2020年工作方案》，细化工作要求，明确工作责任，扎实开展蓝天、碧水、净土污染防治攻坚战圆满完成任务。</w:t>
      </w:r>
    </w:p>
    <w:p>
      <w:pPr>
        <w:widowControl/>
        <w:jc w:val="left"/>
        <w:rPr>
          <w:rFonts w:ascii="宋体" w:hAnsi="宋体" w:eastAsia="宋体"/>
          <w:sz w:val="32"/>
          <w:szCs w:val="32"/>
        </w:rPr>
      </w:pPr>
      <w:r>
        <w:rPr>
          <w:rFonts w:hint="eastAsia" w:ascii="宋体" w:hAnsi="宋体" w:eastAsia="宋体"/>
          <w:sz w:val="32"/>
          <w:szCs w:val="32"/>
        </w:rPr>
        <w:t>（二）部门整体支出绩效自评结果</w:t>
      </w:r>
    </w:p>
    <w:p>
      <w:pPr>
        <w:widowControl/>
        <w:ind w:firstLine="640" w:firstLineChars="200"/>
        <w:jc w:val="left"/>
        <w:rPr>
          <w:rFonts w:ascii="宋体" w:hAnsi="宋体" w:eastAsia="宋体"/>
          <w:sz w:val="32"/>
          <w:szCs w:val="32"/>
        </w:rPr>
      </w:pPr>
      <w:r>
        <w:rPr>
          <w:rFonts w:hint="eastAsia" w:ascii="宋体" w:hAnsi="宋体" w:eastAsia="宋体"/>
          <w:sz w:val="32"/>
          <w:szCs w:val="32"/>
        </w:rPr>
        <w:t>今年以来，我分局在市局的领导下，紧紧围绕年度目标任务扎实开展工作，取得了一定成绩，各项工作圆满完成。截止12月16日，县城空气质量优良天数331天，优良率94.3%，PM2.5、PM10年平均浓度分别为32ug/m3(微克/立方米）和48 ug/m3(微克/立方米），环境空气质量向好趋势稳步提升，集中式生活饮用水源地水质达标率100%，5个地表水水质达到Ⅲ类水以上标准，</w:t>
      </w:r>
    </w:p>
    <w:p>
      <w:pPr>
        <w:pStyle w:val="10"/>
        <w:ind w:firstLine="640" w:firstLineChars="200"/>
        <w:rPr>
          <w:rFonts w:ascii="宋体" w:hAnsi="宋体" w:eastAsia="宋体" w:cstheme="minorBidi"/>
          <w:color w:val="auto"/>
          <w:kern w:val="2"/>
          <w:sz w:val="32"/>
          <w:szCs w:val="32"/>
        </w:rPr>
      </w:pPr>
    </w:p>
    <w:p>
      <w:pPr>
        <w:widowControl/>
        <w:jc w:val="left"/>
        <w:rPr>
          <w:rFonts w:ascii="宋体" w:hAnsi="宋体" w:eastAsia="宋体" w:cs="黑体"/>
          <w:b/>
          <w:color w:val="000000"/>
          <w:kern w:val="0"/>
          <w:sz w:val="32"/>
          <w:szCs w:val="32"/>
        </w:rPr>
      </w:pPr>
    </w:p>
    <w:p>
      <w:pPr>
        <w:widowControl/>
        <w:jc w:val="left"/>
        <w:rPr>
          <w:rFonts w:ascii="宋体" w:hAnsi="宋体" w:eastAsia="宋体" w:cs="黑体"/>
          <w:b/>
          <w:color w:val="000000"/>
          <w:kern w:val="0"/>
          <w:sz w:val="32"/>
          <w:szCs w:val="32"/>
        </w:rPr>
      </w:pPr>
    </w:p>
    <w:p>
      <w:pPr>
        <w:widowControl/>
        <w:jc w:val="left"/>
        <w:rPr>
          <w:rFonts w:ascii="宋体" w:hAnsi="宋体" w:eastAsia="宋体" w:cs="黑体"/>
          <w:b/>
          <w:color w:val="000000"/>
          <w:kern w:val="0"/>
          <w:sz w:val="32"/>
          <w:szCs w:val="32"/>
        </w:rPr>
      </w:pPr>
    </w:p>
    <w:p>
      <w:pPr>
        <w:widowControl/>
        <w:jc w:val="left"/>
        <w:rPr>
          <w:rFonts w:ascii="宋体" w:hAnsi="宋体" w:eastAsia="宋体" w:cs="黑体"/>
          <w:b/>
          <w:color w:val="000000"/>
          <w:kern w:val="0"/>
          <w:sz w:val="32"/>
          <w:szCs w:val="32"/>
        </w:rPr>
      </w:pPr>
    </w:p>
    <w:p>
      <w:pPr>
        <w:widowControl/>
        <w:jc w:val="left"/>
        <w:rPr>
          <w:rFonts w:ascii="宋体" w:hAnsi="宋体" w:eastAsia="宋体" w:cs="黑体"/>
          <w:b/>
          <w:color w:val="000000"/>
          <w:kern w:val="0"/>
          <w:sz w:val="32"/>
          <w:szCs w:val="32"/>
        </w:rPr>
      </w:pPr>
    </w:p>
    <w:p>
      <w:pPr>
        <w:widowControl/>
        <w:jc w:val="left"/>
        <w:rPr>
          <w:rFonts w:ascii="宋体" w:hAnsi="宋体" w:eastAsia="宋体" w:cs="黑体"/>
          <w:b/>
          <w:color w:val="000000"/>
          <w:kern w:val="0"/>
          <w:sz w:val="32"/>
          <w:szCs w:val="32"/>
        </w:rPr>
      </w:pPr>
    </w:p>
    <w:p>
      <w:pPr>
        <w:widowControl/>
        <w:jc w:val="left"/>
        <w:rPr>
          <w:rFonts w:ascii="宋体" w:hAnsi="宋体" w:eastAsia="宋体" w:cs="黑体"/>
          <w:b/>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b/>
          <w:sz w:val="32"/>
        </w:rPr>
        <w:t>1、</w:t>
      </w:r>
      <w:r>
        <w:rPr>
          <w:rFonts w:ascii="仿宋_GB2312" w:hAnsi="仿宋_GB2312" w:eastAsia="仿宋_GB2312"/>
          <w:b/>
          <w:sz w:val="32"/>
        </w:rPr>
        <w:t>财政拨款收入</w:t>
      </w:r>
      <w:r>
        <w:rPr>
          <w:rFonts w:ascii="仿宋_GB2312" w:hAnsi="仿宋_GB2312" w:eastAsia="仿宋_GB2312"/>
          <w:sz w:val="32"/>
        </w:rPr>
        <w:t>：指财政当年拨付的资金。</w:t>
      </w:r>
    </w:p>
    <w:p>
      <w:pPr>
        <w:adjustRightInd w:val="0"/>
        <w:snapToGrid w:val="0"/>
        <w:spacing w:line="360" w:lineRule="auto"/>
        <w:ind w:firstLine="643" w:firstLineChars="200"/>
        <w:rPr>
          <w:rFonts w:ascii="Times New Roman" w:hAnsi="Times New Roman" w:eastAsia="Times New Roman"/>
        </w:rPr>
      </w:pPr>
      <w:r>
        <w:rPr>
          <w:rFonts w:hint="eastAsia" w:ascii="仿宋_GB2312" w:hAnsi="仿宋_GB2312" w:eastAsia="仿宋_GB2312"/>
          <w:b/>
          <w:sz w:val="32"/>
        </w:rPr>
        <w:t>2、</w:t>
      </w:r>
      <w:r>
        <w:rPr>
          <w:rFonts w:ascii="仿宋_GB2312" w:hAnsi="仿宋_GB2312" w:eastAsia="仿宋_GB2312"/>
          <w:b/>
          <w:sz w:val="32"/>
        </w:rPr>
        <w:t>事业收入</w:t>
      </w:r>
      <w:r>
        <w:rPr>
          <w:rFonts w:ascii="仿宋_GB2312" w:hAnsi="仿宋_GB2312" w:eastAsia="仿宋_GB2312"/>
          <w:sz w:val="32"/>
        </w:rPr>
        <w:t>：指事业单位开展专业业务活动及辅助活动所取得的收入。</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b/>
          <w:sz w:val="32"/>
        </w:rPr>
        <w:t>3、</w:t>
      </w:r>
      <w:r>
        <w:rPr>
          <w:rFonts w:ascii="仿宋_GB2312" w:hAnsi="仿宋_GB2312" w:eastAsia="仿宋_GB2312"/>
          <w:b/>
          <w:sz w:val="32"/>
        </w:rPr>
        <w:t>经营收入</w:t>
      </w:r>
      <w:r>
        <w:rPr>
          <w:rFonts w:ascii="仿宋_GB2312" w:hAnsi="仿宋_GB2312" w:eastAsia="仿宋_GB2312"/>
          <w:sz w:val="32"/>
        </w:rPr>
        <w:t>：指事业单位在专业业务活动及其辅助活动之外开展非独立核算经营活动取得的收入。</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b/>
          <w:sz w:val="32"/>
        </w:rPr>
        <w:t>4、</w:t>
      </w:r>
      <w:r>
        <w:rPr>
          <w:rFonts w:ascii="仿宋_GB2312" w:hAnsi="仿宋_GB2312" w:eastAsia="仿宋_GB2312"/>
          <w:b/>
          <w:sz w:val="32"/>
        </w:rPr>
        <w:t>其他收入</w:t>
      </w:r>
      <w:r>
        <w:rPr>
          <w:rFonts w:ascii="仿宋_GB2312" w:hAnsi="仿宋_GB2312" w:eastAsia="仿宋_GB2312"/>
          <w:sz w:val="32"/>
        </w:rPr>
        <w:t>：指除上述</w:t>
      </w:r>
      <w:r>
        <w:rPr>
          <w:rFonts w:ascii="Arial" w:hAnsi="Arial" w:eastAsia="Arial"/>
          <w:sz w:val="32"/>
        </w:rPr>
        <w:t>“</w:t>
      </w:r>
      <w:r>
        <w:rPr>
          <w:rFonts w:ascii="仿宋_GB2312" w:hAnsi="仿宋_GB2312" w:eastAsia="仿宋_GB2312"/>
          <w:sz w:val="32"/>
        </w:rPr>
        <w:t>财政拨款收入</w:t>
      </w:r>
      <w:r>
        <w:rPr>
          <w:rFonts w:ascii="Arial" w:hAnsi="Arial" w:eastAsia="Arial"/>
          <w:sz w:val="32"/>
        </w:rPr>
        <w:t>”</w:t>
      </w:r>
      <w:r>
        <w:rPr>
          <w:rFonts w:ascii="仿宋_GB2312" w:hAnsi="仿宋_GB2312" w:eastAsia="仿宋_GB2312"/>
          <w:sz w:val="32"/>
        </w:rPr>
        <w:t>、</w:t>
      </w:r>
      <w:r>
        <w:rPr>
          <w:rFonts w:ascii="Arial" w:hAnsi="Arial" w:eastAsia="Arial"/>
          <w:sz w:val="32"/>
        </w:rPr>
        <w:t>“</w:t>
      </w:r>
      <w:r>
        <w:rPr>
          <w:rFonts w:ascii="仿宋_GB2312" w:hAnsi="仿宋_GB2312" w:eastAsia="仿宋_GB2312"/>
          <w:sz w:val="32"/>
        </w:rPr>
        <w:t>事业收入</w:t>
      </w:r>
      <w:r>
        <w:rPr>
          <w:rFonts w:ascii="Arial" w:hAnsi="Arial" w:eastAsia="Arial"/>
          <w:sz w:val="32"/>
        </w:rPr>
        <w:t>”</w:t>
      </w:r>
      <w:r>
        <w:rPr>
          <w:rFonts w:ascii="仿宋_GB2312" w:hAnsi="仿宋_GB2312" w:eastAsia="仿宋_GB2312"/>
          <w:sz w:val="32"/>
        </w:rPr>
        <w:t>、</w:t>
      </w:r>
      <w:r>
        <w:rPr>
          <w:rFonts w:ascii="Arial" w:hAnsi="Arial" w:eastAsia="Arial"/>
          <w:sz w:val="32"/>
        </w:rPr>
        <w:t>“</w:t>
      </w:r>
      <w:r>
        <w:rPr>
          <w:rFonts w:ascii="仿宋_GB2312" w:hAnsi="仿宋_GB2312" w:eastAsia="仿宋_GB2312"/>
          <w:sz w:val="32"/>
        </w:rPr>
        <w:t>经营收入</w:t>
      </w:r>
      <w:r>
        <w:rPr>
          <w:rFonts w:ascii="Arial" w:hAnsi="Arial" w:eastAsia="Arial"/>
          <w:sz w:val="32"/>
        </w:rPr>
        <w:t>”</w:t>
      </w:r>
      <w:r>
        <w:rPr>
          <w:rFonts w:ascii="仿宋_GB2312" w:hAnsi="仿宋_GB2312" w:eastAsia="仿宋_GB2312"/>
          <w:sz w:val="32"/>
        </w:rPr>
        <w:t>等以外的收入。</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b/>
          <w:sz w:val="32"/>
        </w:rPr>
        <w:t>5</w:t>
      </w:r>
      <w:r>
        <w:rPr>
          <w:rFonts w:ascii="仿宋_GB2312" w:hAnsi="仿宋_GB2312" w:eastAsia="仿宋_GB2312"/>
          <w:b/>
          <w:sz w:val="32"/>
        </w:rPr>
        <w:t>、用事业基金弥补收支差额</w:t>
      </w:r>
      <w:r>
        <w:rPr>
          <w:rFonts w:ascii="仿宋_GB2312" w:hAnsi="仿宋_GB2312" w:eastAsia="仿宋_GB2312"/>
          <w:sz w:val="32"/>
        </w:rPr>
        <w:t>：指事业单位在当年的</w:t>
      </w:r>
      <w:r>
        <w:rPr>
          <w:rFonts w:ascii="Arial" w:hAnsi="Arial" w:eastAsia="Arial"/>
          <w:sz w:val="32"/>
        </w:rPr>
        <w:t>“</w:t>
      </w:r>
      <w:r>
        <w:rPr>
          <w:rFonts w:ascii="仿宋_GB2312" w:hAnsi="仿宋_GB2312" w:eastAsia="仿宋_GB2312"/>
          <w:sz w:val="32"/>
        </w:rPr>
        <w:t>财政拨款收入</w:t>
      </w:r>
      <w:r>
        <w:rPr>
          <w:rFonts w:ascii="Arial" w:hAnsi="Arial" w:eastAsia="Arial"/>
          <w:sz w:val="32"/>
        </w:rPr>
        <w:t>”</w:t>
      </w:r>
      <w:r>
        <w:rPr>
          <w:rFonts w:ascii="仿宋_GB2312" w:hAnsi="仿宋_GB2312" w:eastAsia="仿宋_GB2312"/>
          <w:sz w:val="32"/>
        </w:rPr>
        <w:t>、</w:t>
      </w:r>
      <w:r>
        <w:rPr>
          <w:rFonts w:ascii="Arial" w:hAnsi="Arial" w:eastAsia="Arial"/>
          <w:sz w:val="32"/>
        </w:rPr>
        <w:t>“</w:t>
      </w:r>
      <w:r>
        <w:rPr>
          <w:rFonts w:ascii="仿宋_GB2312" w:hAnsi="仿宋_GB2312" w:eastAsia="仿宋_GB2312"/>
          <w:sz w:val="32"/>
        </w:rPr>
        <w:t>事业收入</w:t>
      </w:r>
      <w:r>
        <w:rPr>
          <w:rFonts w:ascii="Arial" w:hAnsi="Arial" w:eastAsia="Arial"/>
          <w:sz w:val="32"/>
        </w:rPr>
        <w:t>”</w:t>
      </w:r>
      <w:r>
        <w:rPr>
          <w:rFonts w:ascii="仿宋_GB2312" w:hAnsi="仿宋_GB2312" w:eastAsia="仿宋_GB2312"/>
          <w:sz w:val="32"/>
        </w:rPr>
        <w:t>、</w:t>
      </w:r>
      <w:r>
        <w:rPr>
          <w:rFonts w:ascii="Arial" w:hAnsi="Arial" w:eastAsia="Arial"/>
          <w:sz w:val="32"/>
        </w:rPr>
        <w:t>“</w:t>
      </w:r>
      <w:r>
        <w:rPr>
          <w:rFonts w:ascii="仿宋_GB2312" w:hAnsi="仿宋_GB2312" w:eastAsia="仿宋_GB2312"/>
          <w:sz w:val="32"/>
        </w:rPr>
        <w:t>经营收入</w:t>
      </w:r>
      <w:r>
        <w:rPr>
          <w:rFonts w:ascii="Arial" w:hAnsi="Arial" w:eastAsia="Arial"/>
          <w:sz w:val="32"/>
        </w:rPr>
        <w:t>”</w:t>
      </w:r>
      <w:r>
        <w:rPr>
          <w:rFonts w:ascii="仿宋_GB2312" w:hAnsi="仿宋_GB2312" w:eastAsia="仿宋_GB2312"/>
          <w:sz w:val="32"/>
        </w:rPr>
        <w:t>、</w:t>
      </w:r>
      <w:r>
        <w:rPr>
          <w:rFonts w:ascii="Arial" w:hAnsi="Arial" w:eastAsia="Arial"/>
          <w:sz w:val="32"/>
        </w:rPr>
        <w:t>“</w:t>
      </w:r>
      <w:r>
        <w:rPr>
          <w:rFonts w:ascii="仿宋_GB2312" w:hAnsi="仿宋_GB2312" w:eastAsia="仿宋_GB2312"/>
          <w:sz w:val="32"/>
        </w:rPr>
        <w:t>其他收入</w:t>
      </w:r>
      <w:r>
        <w:rPr>
          <w:rFonts w:ascii="Arial" w:hAnsi="Arial" w:eastAsia="Arial"/>
          <w:sz w:val="32"/>
        </w:rPr>
        <w:t>”</w:t>
      </w:r>
      <w:r>
        <w:rPr>
          <w:rFonts w:ascii="仿宋_GB2312" w:hAnsi="仿宋_GB2312" w:eastAsia="仿宋_GB2312"/>
          <w:sz w:val="32"/>
        </w:rPr>
        <w:t>不足以安排当年支出的情况下，使用以前年度积累的事业基金（事业单位当年收支相抵后按国家规定提取、用于弥补以后年度收支差额的基金）弥补本年度收支缺口的资金。</w:t>
      </w:r>
    </w:p>
    <w:p>
      <w:pPr>
        <w:adjustRightInd w:val="0"/>
        <w:snapToGrid w:val="0"/>
        <w:spacing w:line="360" w:lineRule="auto"/>
        <w:ind w:firstLine="643" w:firstLineChars="200"/>
        <w:rPr>
          <w:rFonts w:ascii="Times New Roman" w:hAnsi="Times New Roman" w:eastAsia="Times New Roman"/>
        </w:rPr>
      </w:pPr>
      <w:r>
        <w:rPr>
          <w:rFonts w:hint="eastAsia" w:ascii="仿宋_GB2312" w:hAnsi="仿宋_GB2312" w:eastAsia="仿宋_GB2312"/>
          <w:b/>
          <w:sz w:val="32"/>
        </w:rPr>
        <w:t>6</w:t>
      </w:r>
      <w:r>
        <w:rPr>
          <w:rFonts w:ascii="仿宋_GB2312" w:hAnsi="仿宋_GB2312" w:eastAsia="仿宋_GB2312"/>
          <w:b/>
          <w:sz w:val="32"/>
        </w:rPr>
        <w:t>、年初结转和结余</w:t>
      </w:r>
      <w:r>
        <w:rPr>
          <w:rFonts w:ascii="仿宋_GB2312" w:hAnsi="仿宋_GB2312" w:eastAsia="仿宋_GB2312"/>
          <w:sz w:val="32"/>
        </w:rPr>
        <w:t>：指以前年度尚未完成、结转到本年按有关规定继续使用的资金。</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b/>
          <w:sz w:val="32"/>
        </w:rPr>
        <w:t>7</w:t>
      </w:r>
      <w:r>
        <w:rPr>
          <w:rFonts w:ascii="仿宋_GB2312" w:hAnsi="仿宋_GB2312" w:eastAsia="仿宋_GB2312"/>
          <w:b/>
          <w:sz w:val="32"/>
        </w:rPr>
        <w:t>、结余分配</w:t>
      </w:r>
      <w:r>
        <w:rPr>
          <w:rFonts w:ascii="仿宋_GB2312" w:hAnsi="仿宋_GB2312" w:eastAsia="仿宋_GB2312"/>
          <w:sz w:val="32"/>
        </w:rPr>
        <w:t>：指事业单位按规定提取的职工福利基金、事业基金和缴纳的所得税，以及建设单位按规定应交回的基本建设竣工项目结余资金。</w:t>
      </w:r>
    </w:p>
    <w:p>
      <w:pPr>
        <w:adjustRightInd w:val="0"/>
        <w:snapToGrid w:val="0"/>
        <w:spacing w:line="360" w:lineRule="auto"/>
        <w:ind w:firstLine="602" w:firstLineChars="200"/>
        <w:rPr>
          <w:rFonts w:ascii="仿宋_GB2312" w:hAnsi="仿宋_GB2312" w:eastAsia="仿宋_GB2312"/>
          <w:sz w:val="32"/>
        </w:rPr>
      </w:pPr>
      <w:r>
        <w:rPr>
          <w:rFonts w:hint="eastAsia" w:ascii="仿宋_GB2312" w:hAnsi="仿宋_GB2312" w:eastAsia="仿宋_GB2312"/>
          <w:b/>
          <w:sz w:val="30"/>
        </w:rPr>
        <w:t>8</w:t>
      </w:r>
      <w:r>
        <w:rPr>
          <w:rFonts w:ascii="仿宋_GB2312" w:hAnsi="仿宋_GB2312" w:eastAsia="仿宋_GB2312"/>
          <w:b/>
          <w:sz w:val="30"/>
        </w:rPr>
        <w:t>、年末结转和结余</w:t>
      </w:r>
      <w:r>
        <w:rPr>
          <w:rFonts w:hint="eastAsia" w:ascii="仿宋_GB2312" w:hAnsi="仿宋_GB2312" w:eastAsia="仿宋_GB2312"/>
          <w:b/>
          <w:sz w:val="30"/>
        </w:rPr>
        <w:t>：</w:t>
      </w:r>
      <w:r>
        <w:rPr>
          <w:rFonts w:ascii="仿宋_GB2312" w:hAnsi="仿宋_GB2312" w:eastAsia="仿宋_GB2312"/>
          <w:sz w:val="30"/>
        </w:rPr>
        <w:t>指本年度或以前年度预算安排、</w:t>
      </w:r>
      <w:r>
        <w:rPr>
          <w:rFonts w:ascii="仿宋_GB2312" w:hAnsi="仿宋_GB2312" w:eastAsia="仿宋_GB2312"/>
          <w:sz w:val="32"/>
        </w:rPr>
        <w:t>因客观条件发生变化无法按原计划实施，需延迟到以后年度按</w:t>
      </w:r>
    </w:p>
    <w:p>
      <w:pPr>
        <w:adjustRightInd w:val="0"/>
        <w:snapToGrid w:val="0"/>
        <w:spacing w:line="360" w:lineRule="auto"/>
        <w:rPr>
          <w:rFonts w:ascii="仿宋_GB2312" w:hAnsi="仿宋_GB2312" w:eastAsia="仿宋_GB2312"/>
          <w:sz w:val="32"/>
        </w:rPr>
      </w:pPr>
      <w:r>
        <w:rPr>
          <w:rFonts w:ascii="仿宋_GB2312" w:hAnsi="仿宋_GB2312" w:eastAsia="仿宋_GB2312"/>
          <w:sz w:val="32"/>
        </w:rPr>
        <w:t>有关规定继续使用的资金。</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b/>
          <w:sz w:val="32"/>
        </w:rPr>
        <w:t>9</w:t>
      </w:r>
      <w:r>
        <w:rPr>
          <w:rFonts w:ascii="仿宋_GB2312" w:hAnsi="仿宋_GB2312" w:eastAsia="仿宋_GB2312"/>
          <w:b/>
          <w:sz w:val="32"/>
        </w:rPr>
        <w:t>、基本支出</w:t>
      </w:r>
      <w:r>
        <w:rPr>
          <w:rFonts w:ascii="仿宋_GB2312" w:hAnsi="仿宋_GB2312" w:eastAsia="仿宋_GB2312"/>
          <w:sz w:val="32"/>
        </w:rPr>
        <w:t>：指为保障机构正常运转、完成日常工作任务而发生的人员支出和公用支出。</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cs="仿宋_GB2312"/>
          <w:b/>
          <w:bCs/>
          <w:sz w:val="32"/>
          <w:szCs w:val="32"/>
        </w:rPr>
        <w:t>10、项目支出</w:t>
      </w:r>
      <w:r>
        <w:rPr>
          <w:rFonts w:ascii="仿宋_GB2312" w:hAnsi="仿宋_GB2312" w:eastAsia="仿宋_GB2312"/>
          <w:sz w:val="32"/>
        </w:rPr>
        <w:t>：指在基本支出之外为完成特定行政任务和事业发展目标所发生的支出。</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cs="仿宋_GB2312"/>
          <w:b/>
          <w:bCs/>
          <w:sz w:val="32"/>
          <w:szCs w:val="32"/>
        </w:rPr>
        <w:t>11、经营支出</w:t>
      </w:r>
      <w:r>
        <w:rPr>
          <w:rFonts w:ascii="仿宋_GB2312" w:hAnsi="仿宋_GB2312" w:eastAsia="仿宋_GB2312"/>
          <w:sz w:val="32"/>
        </w:rPr>
        <w:t>：指事业单位在专业业务活动及其辅助活动之外开展非独立核算经营活动发生的支出。</w:t>
      </w:r>
    </w:p>
    <w:p>
      <w:pPr>
        <w:adjustRightInd w:val="0"/>
        <w:snapToGrid w:val="0"/>
        <w:spacing w:line="360" w:lineRule="auto"/>
        <w:ind w:firstLine="643" w:firstLineChars="200"/>
        <w:rPr>
          <w:rFonts w:ascii="仿宋_GB2312" w:hAnsi="仿宋_GB2312" w:eastAsia="仿宋_GB2312"/>
          <w:sz w:val="32"/>
        </w:rPr>
      </w:pPr>
      <w:r>
        <w:rPr>
          <w:rFonts w:hint="eastAsia" w:ascii="仿宋_GB2312" w:hAnsi="仿宋_GB2312" w:eastAsia="仿宋_GB2312"/>
          <w:b/>
          <w:sz w:val="32"/>
        </w:rPr>
        <w:t>12、</w:t>
      </w:r>
      <w:r>
        <w:rPr>
          <w:rFonts w:ascii="Arial" w:hAnsi="Arial" w:eastAsia="Arial"/>
          <w:b/>
          <w:sz w:val="32"/>
        </w:rPr>
        <w:t>“</w:t>
      </w:r>
      <w:r>
        <w:rPr>
          <w:rFonts w:ascii="仿宋_GB2312" w:hAnsi="仿宋_GB2312" w:eastAsia="仿宋_GB2312"/>
          <w:b/>
          <w:sz w:val="32"/>
        </w:rPr>
        <w:t>三公</w:t>
      </w:r>
      <w:r>
        <w:rPr>
          <w:rFonts w:ascii="Arial" w:hAnsi="Arial" w:eastAsia="Arial"/>
          <w:b/>
          <w:sz w:val="32"/>
        </w:rPr>
        <w:t>”</w:t>
      </w:r>
      <w:r>
        <w:rPr>
          <w:rFonts w:ascii="仿宋_GB2312" w:hAnsi="仿宋_GB2312" w:eastAsia="仿宋_GB2312"/>
          <w:b/>
          <w:sz w:val="32"/>
        </w:rPr>
        <w:t>经费</w:t>
      </w:r>
      <w:r>
        <w:rPr>
          <w:rFonts w:ascii="仿宋_GB2312" w:hAnsi="仿宋_GB2312" w:eastAsia="仿宋_GB2312"/>
          <w:sz w:val="32"/>
        </w:rPr>
        <w:t>：纳入财政预决算管理的</w:t>
      </w:r>
      <w:r>
        <w:rPr>
          <w:rFonts w:ascii="Arial" w:hAnsi="Arial" w:eastAsia="Arial"/>
          <w:sz w:val="32"/>
        </w:rPr>
        <w:t>“</w:t>
      </w:r>
      <w:r>
        <w:rPr>
          <w:rFonts w:ascii="仿宋_GB2312" w:hAnsi="仿宋_GB2312" w:eastAsia="仿宋_GB2312"/>
          <w:sz w:val="32"/>
        </w:rPr>
        <w:t>三</w:t>
      </w:r>
      <w:r>
        <w:rPr>
          <w:rFonts w:ascii="仿宋_GB2312" w:hAnsi="仿宋_GB2312" w:eastAsia="仿宋_GB2312"/>
          <w:sz w:val="31"/>
        </w:rPr>
        <w:t>公</w:t>
      </w:r>
      <w:r>
        <w:rPr>
          <w:rFonts w:ascii="Arial" w:hAnsi="Arial" w:eastAsia="Arial"/>
          <w:sz w:val="31"/>
        </w:rPr>
        <w:t>”</w:t>
      </w:r>
      <w:r>
        <w:rPr>
          <w:rFonts w:ascii="仿宋_GB2312" w:hAnsi="仿宋_GB2312" w:eastAsia="仿宋_GB2312"/>
          <w:sz w:val="31"/>
        </w:rPr>
        <w:t>经费，是指部门用财政拨款安排的因公出国（境）费、</w:t>
      </w:r>
      <w:r>
        <w:rPr>
          <w:rFonts w:ascii="仿宋_GB2312" w:hAnsi="仿宋_GB2312" w:eastAsia="仿宋_GB2312"/>
          <w:sz w:val="32"/>
        </w:rPr>
        <w:t>公务用车购置及运行费和公务接待费。其中，因公出国（境）费反映单位公务出国（境）的国际旅费、国外城市间交通费</w:t>
      </w:r>
      <w:r>
        <w:rPr>
          <w:rFonts w:hint="eastAsia" w:ascii="仿宋_GB2312" w:hAnsi="仿宋_GB2312" w:eastAsia="仿宋_GB2312"/>
          <w:sz w:val="32"/>
        </w:rPr>
        <w:t>、</w:t>
      </w:r>
      <w:r>
        <w:rPr>
          <w:rFonts w:ascii="仿宋_GB2312" w:hAnsi="仿宋_GB2312" w:eastAsia="仿宋_GB2312"/>
          <w:sz w:val="32"/>
        </w:rPr>
        <w:t>住宿费、伙食费、培训费、公杂费等支出；公务用车购置及运</w:t>
      </w:r>
      <w:bookmarkStart w:id="0" w:name="page51"/>
      <w:bookmarkEnd w:id="0"/>
      <w:r>
        <w:rPr>
          <w:rFonts w:ascii="仿宋_GB2312" w:hAnsi="仿宋_GB2312" w:eastAsia="仿宋_GB2312"/>
          <w:sz w:val="31"/>
        </w:rPr>
        <w:t>行费反映单位公务用车车辆购置支出（含车辆购置税）及租用费、燃料费、维修费、过路过桥费、保险费、安全奖励费用等支出；公务接待费反映单位按规定开支的各类公务接待（含外</w:t>
      </w:r>
      <w:r>
        <w:rPr>
          <w:rFonts w:ascii="仿宋_GB2312" w:hAnsi="仿宋_GB2312" w:eastAsia="仿宋_GB2312"/>
          <w:sz w:val="32"/>
        </w:rPr>
        <w:t>宾接待）支出。</w:t>
      </w:r>
    </w:p>
    <w:p>
      <w:pPr>
        <w:adjustRightInd w:val="0"/>
        <w:snapToGrid w:val="0"/>
        <w:spacing w:line="360" w:lineRule="auto"/>
        <w:ind w:firstLine="622" w:firstLineChars="200"/>
        <w:rPr>
          <w:rFonts w:ascii="仿宋_GB2312" w:hAnsi="仿宋_GB2312" w:eastAsia="仿宋_GB2312"/>
          <w:sz w:val="32"/>
        </w:rPr>
      </w:pPr>
      <w:r>
        <w:rPr>
          <w:rFonts w:hint="eastAsia" w:ascii="仿宋_GB2312" w:hAnsi="仿宋_GB2312" w:eastAsia="仿宋_GB2312"/>
          <w:b/>
          <w:sz w:val="31"/>
        </w:rPr>
        <w:t>13</w:t>
      </w:r>
      <w:r>
        <w:rPr>
          <w:rFonts w:ascii="仿宋_GB2312" w:hAnsi="仿宋_GB2312" w:eastAsia="仿宋_GB2312"/>
          <w:b/>
          <w:sz w:val="31"/>
        </w:rPr>
        <w:t>、机关运行经费</w:t>
      </w:r>
      <w:r>
        <w:rPr>
          <w:rFonts w:ascii="仿宋_GB2312" w:hAnsi="仿宋_GB2312" w:eastAsia="仿宋_GB2312"/>
          <w:sz w:val="31"/>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w:t>
      </w:r>
      <w:r>
        <w:rPr>
          <w:rFonts w:ascii="仿宋_GB2312" w:hAnsi="仿宋_GB2312" w:eastAsia="仿宋_GB2312"/>
          <w:sz w:val="32"/>
        </w:rPr>
        <w:t>他费用。</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0"/>
        <w:rPr>
          <w:rFonts w:ascii="宋体" w:hAnsi="宋体" w:eastAsia="宋体" w:cstheme="minorBidi"/>
          <w:color w:val="auto"/>
          <w:kern w:val="2"/>
          <w:sz w:val="32"/>
          <w:szCs w:val="32"/>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第五部分</w:t>
      </w: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r>
        <w:rPr>
          <w:rFonts w:hint="eastAsia" w:ascii="黑体" w:eastAsia="黑体" w:cs="黑体"/>
          <w:color w:val="000000"/>
          <w:kern w:val="0"/>
          <w:sz w:val="84"/>
          <w:szCs w:val="84"/>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pStyle w:val="5"/>
        <w:widowControl/>
        <w:spacing w:before="0" w:beforeAutospacing="0" w:after="0" w:afterAutospacing="0" w:line="33" w:lineRule="atLeast"/>
        <w:jc w:val="center"/>
        <w:rPr>
          <w:rFonts w:ascii="宋体" w:hAnsi="宋体" w:cs="宋体"/>
          <w:b/>
          <w:bCs/>
          <w:color w:val="000000"/>
          <w:sz w:val="32"/>
          <w:szCs w:val="32"/>
        </w:rPr>
      </w:pPr>
      <w:r>
        <w:rPr>
          <w:rFonts w:hint="eastAsia" w:ascii="宋体" w:hAnsi="宋体" w:cs="宋体"/>
          <w:b/>
          <w:bCs/>
          <w:color w:val="000000"/>
          <w:sz w:val="32"/>
          <w:szCs w:val="32"/>
        </w:rPr>
        <w:t>衡阳市生态环境局衡南分局2020年部门整体支出</w:t>
      </w:r>
    </w:p>
    <w:p>
      <w:pPr>
        <w:pStyle w:val="5"/>
        <w:widowControl/>
        <w:spacing w:before="0" w:beforeAutospacing="0" w:after="0" w:afterAutospacing="0" w:line="33" w:lineRule="atLeast"/>
        <w:ind w:firstLine="420"/>
        <w:jc w:val="center"/>
        <w:rPr>
          <w:rFonts w:ascii="宋体" w:hAnsi="宋体" w:cs="仿宋_GB2312"/>
          <w:kern w:val="2"/>
          <w:sz w:val="28"/>
          <w:szCs w:val="28"/>
        </w:rPr>
      </w:pPr>
      <w:r>
        <w:rPr>
          <w:rFonts w:hint="eastAsia" w:ascii="宋体" w:hAnsi="宋体" w:cs="宋体"/>
          <w:b/>
          <w:bCs/>
          <w:color w:val="000000"/>
          <w:sz w:val="32"/>
          <w:szCs w:val="32"/>
        </w:rPr>
        <w:t>绩效自评报告</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为了认真贯彻落实《中共湖南省委湖南省人民政府关于开展政府绩效评估工作的通知》、《湖南省人民政府关于全面推进预算绩效管理的意见》精神，切实做好县局安排的〈衡南县预算绩效管理工作考核办法〉，现将我局部门整体支出绩效评价情况报告如下：</w:t>
      </w:r>
    </w:p>
    <w:p>
      <w:pPr>
        <w:pStyle w:val="5"/>
        <w:widowControl/>
        <w:spacing w:before="0" w:beforeAutospacing="0" w:after="0" w:afterAutospacing="0" w:line="600" w:lineRule="exact"/>
        <w:ind w:firstLine="420"/>
        <w:rPr>
          <w:rFonts w:ascii="宋体" w:hAnsi="宋体" w:cs="仿宋_GB2312"/>
          <w:kern w:val="2"/>
          <w:sz w:val="28"/>
          <w:szCs w:val="28"/>
        </w:rPr>
      </w:pPr>
      <w:r>
        <w:rPr>
          <w:rFonts w:hint="eastAsia" w:ascii="宋体" w:hAnsi="宋体" w:cs="仿宋_GB2312"/>
          <w:kern w:val="2"/>
          <w:sz w:val="28"/>
          <w:szCs w:val="28"/>
        </w:rPr>
        <w:t>一、基本情况</w:t>
      </w:r>
    </w:p>
    <w:p>
      <w:pPr>
        <w:pStyle w:val="5"/>
        <w:widowControl/>
        <w:spacing w:before="0" w:beforeAutospacing="0" w:after="0" w:afterAutospacing="0" w:line="600" w:lineRule="exact"/>
        <w:ind w:firstLine="420"/>
        <w:rPr>
          <w:rFonts w:ascii="宋体" w:hAnsi="宋体" w:cs="仿宋_GB2312"/>
          <w:kern w:val="2"/>
          <w:sz w:val="28"/>
          <w:szCs w:val="28"/>
        </w:rPr>
      </w:pPr>
      <w:r>
        <w:rPr>
          <w:rFonts w:hint="eastAsia" w:ascii="宋体" w:hAnsi="宋体" w:cs="仿宋_GB2312"/>
          <w:kern w:val="2"/>
          <w:sz w:val="28"/>
          <w:szCs w:val="28"/>
        </w:rPr>
        <w:t>衡阳市生态环境局为一级预算单位。</w:t>
      </w:r>
    </w:p>
    <w:p>
      <w:pPr>
        <w:spacing w:line="600" w:lineRule="exact"/>
        <w:ind w:firstLine="630"/>
        <w:rPr>
          <w:rFonts w:ascii="宋体" w:hAnsi="宋体" w:eastAsia="宋体" w:cs="仿宋_GB2312"/>
          <w:sz w:val="28"/>
          <w:szCs w:val="28"/>
        </w:rPr>
      </w:pPr>
      <w:r>
        <w:rPr>
          <w:rFonts w:hint="eastAsia" w:ascii="宋体" w:hAnsi="宋体" w:eastAsia="宋体" w:cs="仿宋_GB2312"/>
          <w:sz w:val="28"/>
          <w:szCs w:val="28"/>
        </w:rPr>
        <w:t>衡南县</w:t>
      </w:r>
      <w:r>
        <w:rPr>
          <w:rFonts w:hint="eastAsia" w:ascii="宋体" w:hAnsi="宋体" w:eastAsia="宋体" w:cs="仿宋_GB2312"/>
          <w:sz w:val="28"/>
          <w:szCs w:val="28"/>
          <w:lang w:val="en-US" w:eastAsia="zh-CN"/>
        </w:rPr>
        <w:t>生态</w:t>
      </w:r>
      <w:r>
        <w:rPr>
          <w:rFonts w:hint="eastAsia" w:ascii="宋体" w:hAnsi="宋体" w:eastAsia="宋体" w:cs="仿宋_GB2312"/>
          <w:sz w:val="28"/>
          <w:szCs w:val="28"/>
        </w:rPr>
        <w:t>环境局在职人员155人，离退休人员31人，其中：行政编制9人，全额事业编146人，另有临时工5人（传达室2人、文印1人，食堂1人，司机1人）。</w:t>
      </w:r>
    </w:p>
    <w:p>
      <w:pPr>
        <w:spacing w:line="600" w:lineRule="exact"/>
        <w:ind w:firstLine="420" w:firstLineChars="150"/>
        <w:rPr>
          <w:rFonts w:ascii="宋体" w:hAnsi="宋体" w:eastAsia="宋体" w:cs="仿宋_GB2312"/>
          <w:sz w:val="28"/>
          <w:szCs w:val="28"/>
        </w:rPr>
      </w:pPr>
      <w:r>
        <w:rPr>
          <w:rFonts w:hint="eastAsia" w:ascii="宋体" w:hAnsi="宋体" w:eastAsia="宋体" w:cs="仿宋_GB2312"/>
          <w:sz w:val="28"/>
          <w:szCs w:val="28"/>
        </w:rPr>
        <w:t>（一）机构设置情况</w:t>
      </w:r>
    </w:p>
    <w:p>
      <w:pPr>
        <w:spacing w:line="600" w:lineRule="exact"/>
        <w:ind w:firstLine="420" w:firstLineChars="150"/>
        <w:rPr>
          <w:rFonts w:ascii="宋体" w:hAnsi="宋体" w:eastAsia="宋体" w:cs="仿宋_GB2312"/>
          <w:sz w:val="28"/>
          <w:szCs w:val="28"/>
        </w:rPr>
      </w:pPr>
      <w:r>
        <w:rPr>
          <w:rFonts w:hint="eastAsia" w:ascii="宋体" w:hAnsi="宋体" w:eastAsia="宋体" w:cs="仿宋_GB2312"/>
          <w:sz w:val="28"/>
          <w:szCs w:val="28"/>
        </w:rPr>
        <w:t>局机关内设办公室、计划财务股、组织人事股、政策法规股、环境影响评价股（行政审批股）、总量控制股和污染防治股（固废与核辐射股和科技监测股）</w:t>
      </w:r>
    </w:p>
    <w:p>
      <w:pPr>
        <w:spacing w:line="600" w:lineRule="exact"/>
        <w:ind w:firstLine="420" w:firstLineChars="150"/>
        <w:rPr>
          <w:rFonts w:ascii="宋体" w:hAnsi="宋体" w:eastAsia="宋体" w:cs="仿宋_GB2312"/>
          <w:sz w:val="28"/>
          <w:szCs w:val="28"/>
        </w:rPr>
      </w:pPr>
      <w:r>
        <w:rPr>
          <w:rFonts w:hint="eastAsia" w:ascii="宋体" w:hAnsi="宋体" w:eastAsia="宋体" w:cs="仿宋_GB2312"/>
          <w:sz w:val="28"/>
          <w:szCs w:val="28"/>
        </w:rPr>
        <w:t>（二）主要职能</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1、负责建立全县环境保护基本制度。贯彻落实环境保护法律、法规和方针、政策，拟订全县环境保护规划、规章制度并监督实施；参与编制全县主体功能区划，组织编制全县环境功能区划，全县环境保护规划、计划，全县重点区域、流域污染防治规划和饮用水水源地环境保护规划，水、大气、土壤、噪声、光、恶臭、固体废物、核与辐射、机动车排气等污染防治专项环境保护规划，并组织实施和监督执行。</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2、负责建立健全环境保护管理制度。结合本县实际，建立健全排污许可、环境影响评价、环保“三同时”、排污收费、总量控制、污染减排、区域限批、企业环境保护责任制、环境保护目标管理责任制等环境保护管理制度，并组织、监督实施。</w:t>
      </w:r>
    </w:p>
    <w:p>
      <w:pPr>
        <w:spacing w:line="60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3、负责环境污染防治监督管理工作。负责全县水体、大气、土壤、噪声、光、恶臭、固体废物、化学品、机动车、辐射放射等各类污染源的统一监督管理，负责危险废物经营许可证的审批颁发与监督管理工作，会同有关部门监督管理饮用水水源地环境保护、城乡环境综合整治、机动车排气污染。</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4、责生态环境保护监督管理工作。参与编制全县生态环境保护规划，组织评估生态环境质量状况，监督对生态环境有影响的自然资源开发利用活动、重要生态环境建设和生态破坏恢复工作。会同相关部门监督自然保护区、风景名胜区、森林公园、地质公园、湿地公园的保护和环境管理。参与划定生态保护红线，会同相关部门监督管理生态环境安全，拟订全县生态环境保护补偿制度并组织实施；组织、指导生态系列创建工作。</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5、负责职责范围内的核与辐射环境监管以及全县核事故应急管理工作。组织实施国家核与辐射安全政策、规划、标准。监督管理核设施安全、放射源安全，监督管理核设施、核技术利用、电磁辐射、伴有放射性矿产资源开发利用中的污染防治。负责核与放射性同位素、射线装置的生产、销售、使用的监督管理。</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6、负责全县环境监测管理工作。组织全县环境监测网络规划和建设，优化环境监测点位的设置，实施环境质量监测和污染源监督性监测，加强监测数据管理，建立环境监测数据共享机制；组织对全县环境质量状况进行调查评估、预测预警。会同和配合有关部门建立健全环境与健康监测、调查和风险评估制度。</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 xml:space="preserve"> 7、负责全县环境保护行政执法监管。组织实施国家和地方环境保护法律制度，开展环境保护执法检查，查处环境违法行为，规范和监督全县环境保护执法工作，监督环境保护执法行为，负责对各类环境保护责任主体履行环境保护义务进行稽查。</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8、负责环境应急和污染事故纠纷处理。负责编制全县环境应急预案并组织实施，指导、监督相关污染企业依法编制本企业环境应急预案并定期组织演练，指导、协调处理全市环境污染事故和纠纷。</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 xml:space="preserve"> 9、负责全县环境保护经济政策的制定和实施。提出全县环境保护领域固定资产投资规模和方向、县级财政性资金安排建议，协助做好全县排污权有偿使用和交易工作。建立健全全县企事业环境行为信用体系。</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10、开展环境保护科技工作。组织开展环境保护重大科学研究和技术工程示范，推动环境技术管理体系建设；组织县级环境保护科技成果的鉴定、交流与推广。提出全县环境保护对外合作交流中有关问题的建议，开展对外环境保护信息交流工作；参与处理涉外环境保护事务和应对气候变化工作。</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11、组织、指导和协调全县环境保护宣传教育工作，制定并组织实施全县环境保护宣传教育计划；开展生态文明建设和环境友好型社会建设的有关宣传教育工作，推动社会公众和社会组织参与环境保护。</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12、负责全县环境信息发布工作。负责编制并发布全县环境质量状况报告、重点污染源监督性监测报告，发布重大环境事件处理处置情况信息，推动环境政务信息公开，指导并监督重点污染企业环境信息公开。</w:t>
      </w:r>
    </w:p>
    <w:p>
      <w:pPr>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13、制定并组织实施全县环境保护目标责任制。受县人民政府委托，将全县环境保护重点工作任务分解落实到县直相关部门、各乡镇人民政府（办事处）、相关企业，实行目标管理，并对环境保护目标完成情况进行监督、考核。</w:t>
      </w:r>
    </w:p>
    <w:p>
      <w:pPr>
        <w:spacing w:line="600" w:lineRule="exact"/>
        <w:ind w:firstLine="420" w:firstLineChars="150"/>
        <w:rPr>
          <w:rFonts w:ascii="宋体" w:hAnsi="宋体" w:eastAsia="宋体" w:cs="仿宋_GB2312"/>
          <w:sz w:val="28"/>
          <w:szCs w:val="28"/>
        </w:rPr>
      </w:pPr>
      <w:r>
        <w:rPr>
          <w:rFonts w:hint="eastAsia" w:ascii="宋体" w:hAnsi="宋体" w:eastAsia="宋体" w:cs="仿宋_GB2312"/>
          <w:sz w:val="28"/>
          <w:szCs w:val="28"/>
        </w:rPr>
        <w:t>14、负责职责范围内有关行业、领域的安全生产工作实施监督管理。</w:t>
      </w:r>
    </w:p>
    <w:p>
      <w:pPr>
        <w:spacing w:line="600" w:lineRule="exact"/>
        <w:ind w:firstLine="420" w:firstLineChars="150"/>
        <w:rPr>
          <w:rFonts w:ascii="宋体" w:hAnsi="宋体" w:eastAsia="宋体" w:cs="仿宋_GB2312"/>
          <w:sz w:val="28"/>
          <w:szCs w:val="28"/>
        </w:rPr>
      </w:pPr>
      <w:r>
        <w:rPr>
          <w:rFonts w:hint="eastAsia" w:ascii="宋体" w:hAnsi="宋体" w:eastAsia="宋体" w:cs="仿宋_GB2312"/>
          <w:sz w:val="28"/>
          <w:szCs w:val="28"/>
        </w:rPr>
        <w:t>15、承办县人民政府交办的其他事项。</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二、部门整体支出管理及使用情况</w:t>
      </w:r>
    </w:p>
    <w:p>
      <w:pPr>
        <w:ind w:firstLine="560" w:firstLineChars="200"/>
        <w:rPr>
          <w:rFonts w:ascii="宋体" w:hAnsi="宋体" w:eastAsia="宋体"/>
          <w:sz w:val="28"/>
          <w:szCs w:val="28"/>
        </w:rPr>
      </w:pPr>
      <w:r>
        <w:rPr>
          <w:rFonts w:hint="eastAsia" w:ascii="宋体" w:hAnsi="宋体" w:eastAsia="宋体"/>
          <w:sz w:val="28"/>
          <w:szCs w:val="28"/>
        </w:rPr>
        <w:t>（一）部门</w:t>
      </w:r>
      <w:r>
        <w:rPr>
          <w:rFonts w:hint="eastAsia" w:ascii="宋体" w:hAnsi="宋体" w:eastAsia="宋体"/>
          <w:kern w:val="0"/>
          <w:sz w:val="28"/>
          <w:szCs w:val="28"/>
        </w:rPr>
        <w:t>整体支出</w:t>
      </w:r>
      <w:r>
        <w:rPr>
          <w:rFonts w:hint="eastAsia" w:ascii="宋体" w:hAnsi="宋体" w:eastAsia="宋体"/>
          <w:sz w:val="28"/>
          <w:szCs w:val="28"/>
        </w:rPr>
        <w:t>预算经费情况</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sz w:val="28"/>
          <w:szCs w:val="28"/>
        </w:rPr>
        <w:t>2020年县财政局对我单位支出预算批复总金额为1103.05万元，其中工资福利支出1065.77万元，一般商品和服务支出36.6万元，对个人和家庭的补助0.68万元。</w:t>
      </w:r>
    </w:p>
    <w:p>
      <w:pPr>
        <w:spacing w:line="600" w:lineRule="exact"/>
        <w:ind w:firstLine="630"/>
        <w:rPr>
          <w:rFonts w:ascii="宋体" w:hAnsi="宋体" w:eastAsia="宋体" w:cs="仿宋_GB2312"/>
          <w:sz w:val="28"/>
          <w:szCs w:val="28"/>
        </w:rPr>
      </w:pPr>
      <w:r>
        <w:rPr>
          <w:rFonts w:hint="eastAsia" w:ascii="宋体" w:hAnsi="宋体" w:eastAsia="宋体" w:cs="仿宋_GB2312"/>
          <w:sz w:val="28"/>
          <w:szCs w:val="28"/>
        </w:rPr>
        <w:t>（二）基本支出管理情况</w:t>
      </w:r>
    </w:p>
    <w:p>
      <w:pPr>
        <w:spacing w:line="600" w:lineRule="exact"/>
        <w:ind w:firstLine="560" w:firstLineChars="200"/>
        <w:rPr>
          <w:rFonts w:ascii="宋体" w:hAnsi="宋体" w:eastAsia="宋体"/>
          <w:sz w:val="28"/>
          <w:szCs w:val="28"/>
        </w:rPr>
      </w:pPr>
      <w:r>
        <w:rPr>
          <w:rFonts w:hint="eastAsia" w:ascii="宋体" w:hAnsi="宋体" w:eastAsia="宋体"/>
          <w:sz w:val="28"/>
          <w:szCs w:val="28"/>
        </w:rPr>
        <w:t>2020年我局部门整体支出经费合计5094.19万元；①、基本支出1803.09万元,系保障我局机构正常运转，完成日常工作任务发生的各项支出。主要用于干部职工工资、津贴补贴、办公费、资料费、会议费、委托业务费、水电费、和办公设备购置费用等日常公用经费的开支。②、项目支出1755.94万元，主要用于环保专项执法、节能减排、湘江保护和治理、抽样检测、饮用水源保护区规范建设、松江镇黄塘村季家组关闭企业重金属治理项目和原国贸化工有限公司遗留环境综合治理、生态补偿资金、湘江流域一级水质自动站建设、农村环境综合整治等工作经费的支出。</w:t>
      </w:r>
    </w:p>
    <w:p>
      <w:pPr>
        <w:spacing w:line="600" w:lineRule="exact"/>
        <w:ind w:firstLine="420" w:firstLineChars="150"/>
        <w:rPr>
          <w:rFonts w:ascii="宋体" w:hAnsi="宋体" w:eastAsia="宋体" w:cs="仿宋_GB2312"/>
          <w:sz w:val="28"/>
          <w:szCs w:val="28"/>
        </w:rPr>
      </w:pPr>
      <w:r>
        <w:rPr>
          <w:rFonts w:hint="eastAsia" w:ascii="宋体" w:hAnsi="宋体" w:eastAsia="宋体" w:cs="仿宋_GB2312"/>
          <w:sz w:val="28"/>
          <w:szCs w:val="28"/>
        </w:rPr>
        <w:t>（三）“三公经费”的支出使用和管理情况</w:t>
      </w:r>
    </w:p>
    <w:p>
      <w:pPr>
        <w:spacing w:line="600" w:lineRule="exact"/>
        <w:ind w:firstLine="554" w:firstLineChars="198"/>
        <w:rPr>
          <w:rFonts w:ascii="宋体" w:hAnsi="宋体" w:eastAsia="宋体"/>
          <w:sz w:val="28"/>
          <w:szCs w:val="28"/>
        </w:rPr>
      </w:pPr>
      <w:r>
        <w:rPr>
          <w:rFonts w:hint="eastAsia" w:ascii="宋体" w:hAnsi="宋体" w:eastAsia="宋体"/>
          <w:sz w:val="28"/>
          <w:szCs w:val="28"/>
        </w:rPr>
        <w:t>我局“三公经费”的使用均在控制范围内，且较预算金额有所下降，较预算金额下降28%，其中：公务接待费2.59万元，公务用车运行维护费6.96万元。</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三、部门整体支出绩效情况</w:t>
      </w:r>
    </w:p>
    <w:p>
      <w:pPr>
        <w:adjustRightInd w:val="0"/>
        <w:snapToGrid w:val="0"/>
        <w:spacing w:line="600" w:lineRule="exact"/>
        <w:ind w:firstLine="420" w:firstLineChars="150"/>
        <w:rPr>
          <w:rFonts w:ascii="宋体" w:hAnsi="宋体" w:eastAsia="宋体" w:cs="仿宋_GB2312"/>
          <w:sz w:val="28"/>
          <w:szCs w:val="28"/>
        </w:rPr>
      </w:pPr>
      <w:r>
        <w:rPr>
          <w:rFonts w:hint="eastAsia" w:ascii="宋体" w:hAnsi="宋体" w:eastAsia="宋体" w:cs="仿宋_GB2312"/>
          <w:sz w:val="28"/>
          <w:szCs w:val="28"/>
        </w:rPr>
        <w:t>2020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spacing w:line="600" w:lineRule="exact"/>
        <w:ind w:firstLine="630"/>
        <w:rPr>
          <w:rFonts w:ascii="宋体" w:hAnsi="宋体" w:eastAsia="宋体" w:cs="仿宋_GB2312"/>
          <w:sz w:val="28"/>
          <w:szCs w:val="28"/>
        </w:rPr>
      </w:pPr>
      <w:r>
        <w:rPr>
          <w:rFonts w:hint="eastAsia" w:ascii="宋体" w:hAnsi="宋体" w:eastAsia="宋体" w:cs="仿宋_GB2312"/>
          <w:sz w:val="28"/>
          <w:szCs w:val="28"/>
        </w:rPr>
        <w:t>（一）在职人员控制率：100%</w:t>
      </w:r>
    </w:p>
    <w:p>
      <w:pPr>
        <w:spacing w:line="600" w:lineRule="exact"/>
        <w:ind w:firstLine="630"/>
        <w:rPr>
          <w:rFonts w:ascii="宋体" w:hAnsi="宋体" w:eastAsia="宋体" w:cs="仿宋_GB2312"/>
          <w:sz w:val="28"/>
          <w:szCs w:val="28"/>
        </w:rPr>
      </w:pPr>
      <w:r>
        <w:rPr>
          <w:rFonts w:hint="eastAsia" w:ascii="宋体" w:hAnsi="宋体" w:eastAsia="宋体" w:cs="仿宋_GB2312"/>
          <w:sz w:val="28"/>
          <w:szCs w:val="28"/>
        </w:rPr>
        <w:t>（二）“三公经费”控制率：100%。严格控制“三公经费”支出，开源节流。2020年我局“三公经费”控制数为13.31万元，实际支出为9.55万元，同比下降28%。</w:t>
      </w:r>
    </w:p>
    <w:p>
      <w:pPr>
        <w:spacing w:line="600" w:lineRule="exact"/>
        <w:ind w:firstLine="630"/>
        <w:rPr>
          <w:rFonts w:ascii="宋体" w:hAnsi="宋体" w:eastAsia="宋体" w:cs="仿宋_GB2312"/>
          <w:sz w:val="28"/>
          <w:szCs w:val="28"/>
        </w:rPr>
      </w:pPr>
      <w:r>
        <w:rPr>
          <w:rFonts w:hint="eastAsia" w:ascii="宋体" w:hAnsi="宋体" w:eastAsia="宋体" w:cs="仿宋_GB2312"/>
          <w:sz w:val="28"/>
          <w:szCs w:val="28"/>
        </w:rPr>
        <w:t>（三）预算调整率：361.8 %</w:t>
      </w:r>
    </w:p>
    <w:p>
      <w:pPr>
        <w:ind w:firstLine="630"/>
        <w:rPr>
          <w:rFonts w:ascii="宋体" w:hAnsi="宋体" w:eastAsia="宋体" w:cs="仿宋"/>
          <w:sz w:val="28"/>
          <w:szCs w:val="28"/>
        </w:rPr>
      </w:pPr>
      <w:r>
        <w:rPr>
          <w:rFonts w:hint="eastAsia" w:ascii="宋体" w:hAnsi="宋体" w:eastAsia="宋体" w:cs="仿宋"/>
          <w:sz w:val="28"/>
          <w:szCs w:val="28"/>
        </w:rPr>
        <w:t>2019年预算调整数5094.19万元，年初预算1103.05万元，为全年预算的361.8%，主要原因是非税收入返回、预算追加和其他收入增加，我局非税收入未纳入年初预算管理，2020年非税收入返回479.3万元，用于弥补基本支出和其他环境管理事物支出，预算追加资金218.96万元，主要用于迎接省环境保护督查工作、千吨万人饮用水源保护区经费和松江片区搬迁工业场地重金属污染土壤修复项目支出等。2020年其他收入1527.16，只要用于代付各乡镇农村环境综合整治。</w:t>
      </w:r>
    </w:p>
    <w:p>
      <w:pPr>
        <w:spacing w:line="600" w:lineRule="exact"/>
        <w:ind w:firstLine="630"/>
        <w:rPr>
          <w:rFonts w:ascii="宋体" w:hAnsi="宋体" w:eastAsia="宋体" w:cs="仿宋_GB2312"/>
          <w:sz w:val="28"/>
          <w:szCs w:val="28"/>
        </w:rPr>
      </w:pPr>
      <w:r>
        <w:rPr>
          <w:rFonts w:hint="eastAsia" w:ascii="宋体" w:hAnsi="宋体" w:eastAsia="宋体" w:cs="仿宋_GB2312"/>
          <w:sz w:val="28"/>
          <w:szCs w:val="28"/>
        </w:rPr>
        <w:t>（四）政府采购执行率100%</w:t>
      </w:r>
    </w:p>
    <w:p>
      <w:pPr>
        <w:spacing w:line="600" w:lineRule="exact"/>
        <w:ind w:firstLine="630"/>
        <w:rPr>
          <w:rFonts w:ascii="宋体" w:hAnsi="宋体" w:eastAsia="宋体" w:cs="仿宋_GB2312"/>
          <w:sz w:val="28"/>
          <w:szCs w:val="28"/>
        </w:rPr>
      </w:pPr>
      <w:r>
        <w:rPr>
          <w:rFonts w:hint="eastAsia" w:ascii="宋体" w:hAnsi="宋体" w:eastAsia="宋体" w:cs="仿宋_GB2312"/>
          <w:sz w:val="28"/>
          <w:szCs w:val="28"/>
        </w:rPr>
        <w:t>（五）在资金管理上，我局制定了一系列的财务管理制度。</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四、存在的主要问题</w:t>
      </w:r>
    </w:p>
    <w:p>
      <w:pPr>
        <w:pStyle w:val="5"/>
        <w:widowControl/>
        <w:spacing w:before="0" w:beforeAutospacing="0" w:after="0" w:afterAutospacing="0" w:line="600" w:lineRule="exact"/>
        <w:ind w:firstLine="560" w:firstLineChars="200"/>
        <w:rPr>
          <w:rFonts w:ascii="宋体" w:hAnsi="宋体" w:cs="仿宋_GB2312"/>
          <w:kern w:val="2"/>
          <w:sz w:val="28"/>
          <w:szCs w:val="28"/>
        </w:rPr>
      </w:pPr>
      <w:r>
        <w:rPr>
          <w:rFonts w:hint="eastAsia" w:ascii="宋体" w:hAnsi="宋体" w:cs="仿宋_GB2312"/>
          <w:kern w:val="2"/>
          <w:sz w:val="28"/>
          <w:szCs w:val="28"/>
        </w:rPr>
        <w:t>年初预算的编制较为精细，按照费用支出的使用范围和内容，进行了基本支出、项目支出的严格区分，并按照预算的最末级明细进行预算支出管理，专款专用。但公用经费预算资金不够充足，不能完全满足环保行政运行的工作需要。对于追加项目支出、上年结余结转的项目资金，没有进行预算分解，编制明细预算。</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五、改进措施和有关建议</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（一）抓好财务预算管理，严格执行财务管理制度，充分发挥监督作用。</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（二）严格财务支出审批。抓好审核和审批两个环节，在审核审批中严把支出关，切实维护财务纪律的严肃性。</w:t>
      </w:r>
    </w:p>
    <w:p>
      <w:pPr>
        <w:adjustRightInd w:val="0"/>
        <w:snapToGrid w:val="0"/>
        <w:spacing w:line="600" w:lineRule="exact"/>
        <w:ind w:firstLine="560" w:firstLineChars="200"/>
        <w:rPr>
          <w:rFonts w:ascii="宋体" w:hAnsi="宋体" w:eastAsia="宋体" w:cs="仿宋_GB2312"/>
          <w:sz w:val="28"/>
          <w:szCs w:val="28"/>
        </w:rPr>
      </w:pPr>
      <w:r>
        <w:rPr>
          <w:rFonts w:hint="eastAsia" w:ascii="宋体" w:hAnsi="宋体" w:eastAsia="宋体" w:cs="仿宋_GB2312"/>
          <w:sz w:val="28"/>
          <w:szCs w:val="28"/>
        </w:rPr>
        <w:t>（三）强化经费管理。重点加强招待费和办公经费的管理，严格控制支出，降低经费支出。</w:t>
      </w:r>
    </w:p>
    <w:p>
      <w:pPr>
        <w:adjustRightInd w:val="0"/>
        <w:snapToGrid w:val="0"/>
        <w:spacing w:line="600" w:lineRule="exact"/>
        <w:ind w:firstLine="560" w:firstLineChars="200"/>
        <w:rPr>
          <w:rFonts w:ascii="宋体" w:hAnsi="宋体" w:eastAsia="宋体" w:cs="仿宋_GB2312"/>
          <w:sz w:val="28"/>
          <w:szCs w:val="28"/>
        </w:rPr>
      </w:pPr>
    </w:p>
    <w:p>
      <w:pPr>
        <w:adjustRightInd w:val="0"/>
        <w:snapToGrid w:val="0"/>
        <w:spacing w:line="600" w:lineRule="exact"/>
        <w:ind w:firstLine="560" w:firstLineChars="200"/>
        <w:rPr>
          <w:rFonts w:ascii="宋体" w:hAnsi="宋体" w:eastAsia="宋体" w:cs="仿宋_GB2312"/>
          <w:sz w:val="28"/>
          <w:szCs w:val="28"/>
        </w:rPr>
      </w:pPr>
    </w:p>
    <w:p>
      <w:pPr>
        <w:spacing w:line="600" w:lineRule="exact"/>
        <w:ind w:firstLine="560" w:firstLineChars="200"/>
        <w:rPr>
          <w:rFonts w:ascii="宋体" w:hAnsi="宋体" w:eastAsia="宋体"/>
          <w:sz w:val="28"/>
          <w:szCs w:val="28"/>
        </w:rPr>
      </w:pPr>
      <w:r>
        <w:rPr>
          <w:rFonts w:hint="eastAsia" w:ascii="宋体" w:hAnsi="宋体" w:eastAsia="宋体"/>
          <w:sz w:val="28"/>
          <w:szCs w:val="28"/>
        </w:rPr>
        <w:t>　　</w:t>
      </w:r>
    </w:p>
    <w:sectPr>
      <w:footerReference r:id="rId3" w:type="default"/>
      <w:pgSz w:w="11906" w:h="16838"/>
      <w:pgMar w:top="1701" w:right="1701" w:bottom="1701"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77309665"/>
    </w:sdtPr>
    <w:sdtContent>
      <w:p>
        <w:pPr>
          <w:pStyle w:val="3"/>
          <w:jc w:val="center"/>
        </w:pPr>
        <w:r>
          <w:fldChar w:fldCharType="begin"/>
        </w:r>
        <w:r>
          <w:instrText xml:space="preserve">PAGE   \* MERGEFORMAT</w:instrText>
        </w:r>
        <w:r>
          <w:fldChar w:fldCharType="separate"/>
        </w:r>
        <w:r>
          <w:rPr>
            <w:lang w:val="zh-CN"/>
          </w:rPr>
          <w:t>12</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F68C6"/>
    <w:rsid w:val="00051E42"/>
    <w:rsid w:val="000529B2"/>
    <w:rsid w:val="0007211A"/>
    <w:rsid w:val="00087EF5"/>
    <w:rsid w:val="000B2B58"/>
    <w:rsid w:val="000B2EC7"/>
    <w:rsid w:val="000B4042"/>
    <w:rsid w:val="000B6FF7"/>
    <w:rsid w:val="000C29E2"/>
    <w:rsid w:val="000D224C"/>
    <w:rsid w:val="000E0AE9"/>
    <w:rsid w:val="000F0B22"/>
    <w:rsid w:val="000F617E"/>
    <w:rsid w:val="000F68C6"/>
    <w:rsid w:val="001104DF"/>
    <w:rsid w:val="0012439D"/>
    <w:rsid w:val="00162EA7"/>
    <w:rsid w:val="0016320C"/>
    <w:rsid w:val="001B249D"/>
    <w:rsid w:val="001C36FE"/>
    <w:rsid w:val="001D1E7D"/>
    <w:rsid w:val="002221BF"/>
    <w:rsid w:val="00297A8D"/>
    <w:rsid w:val="002C0C01"/>
    <w:rsid w:val="00316047"/>
    <w:rsid w:val="00331D57"/>
    <w:rsid w:val="00332E04"/>
    <w:rsid w:val="00437582"/>
    <w:rsid w:val="00455D0F"/>
    <w:rsid w:val="00461914"/>
    <w:rsid w:val="004719E4"/>
    <w:rsid w:val="0047764A"/>
    <w:rsid w:val="004D5906"/>
    <w:rsid w:val="00516A82"/>
    <w:rsid w:val="0052128D"/>
    <w:rsid w:val="00544917"/>
    <w:rsid w:val="0055594B"/>
    <w:rsid w:val="0058576E"/>
    <w:rsid w:val="00585919"/>
    <w:rsid w:val="005A6D3D"/>
    <w:rsid w:val="005C0528"/>
    <w:rsid w:val="005D2882"/>
    <w:rsid w:val="005E77B4"/>
    <w:rsid w:val="00607ACB"/>
    <w:rsid w:val="006541A4"/>
    <w:rsid w:val="006818B5"/>
    <w:rsid w:val="006856B5"/>
    <w:rsid w:val="00696440"/>
    <w:rsid w:val="006A5A2E"/>
    <w:rsid w:val="006D3004"/>
    <w:rsid w:val="006D4BF2"/>
    <w:rsid w:val="00710A24"/>
    <w:rsid w:val="00721F83"/>
    <w:rsid w:val="00727586"/>
    <w:rsid w:val="007602C8"/>
    <w:rsid w:val="00792CEC"/>
    <w:rsid w:val="007B02FE"/>
    <w:rsid w:val="007B76B6"/>
    <w:rsid w:val="007C5599"/>
    <w:rsid w:val="0081270C"/>
    <w:rsid w:val="00822EC7"/>
    <w:rsid w:val="00824F44"/>
    <w:rsid w:val="008416C5"/>
    <w:rsid w:val="00864C08"/>
    <w:rsid w:val="008A23C8"/>
    <w:rsid w:val="008A753D"/>
    <w:rsid w:val="008C4FF6"/>
    <w:rsid w:val="008E4588"/>
    <w:rsid w:val="008F0866"/>
    <w:rsid w:val="008F5473"/>
    <w:rsid w:val="00901B9B"/>
    <w:rsid w:val="009308D2"/>
    <w:rsid w:val="009336F5"/>
    <w:rsid w:val="00993A23"/>
    <w:rsid w:val="009B1CA0"/>
    <w:rsid w:val="009C2C2B"/>
    <w:rsid w:val="009D6751"/>
    <w:rsid w:val="009E7EC0"/>
    <w:rsid w:val="009F6353"/>
    <w:rsid w:val="00A05BAA"/>
    <w:rsid w:val="00A0624A"/>
    <w:rsid w:val="00A479D1"/>
    <w:rsid w:val="00A770DE"/>
    <w:rsid w:val="00AB1938"/>
    <w:rsid w:val="00AC2012"/>
    <w:rsid w:val="00AD73BA"/>
    <w:rsid w:val="00AE49BD"/>
    <w:rsid w:val="00AF1CE7"/>
    <w:rsid w:val="00B07084"/>
    <w:rsid w:val="00B13121"/>
    <w:rsid w:val="00B16780"/>
    <w:rsid w:val="00B30B67"/>
    <w:rsid w:val="00B35979"/>
    <w:rsid w:val="00B43E9C"/>
    <w:rsid w:val="00B944A9"/>
    <w:rsid w:val="00B9722A"/>
    <w:rsid w:val="00BB1B76"/>
    <w:rsid w:val="00BD7E81"/>
    <w:rsid w:val="00C014B5"/>
    <w:rsid w:val="00C25026"/>
    <w:rsid w:val="00C62020"/>
    <w:rsid w:val="00C6209D"/>
    <w:rsid w:val="00C8044A"/>
    <w:rsid w:val="00CA30D9"/>
    <w:rsid w:val="00CB31B0"/>
    <w:rsid w:val="00CF4398"/>
    <w:rsid w:val="00D3787E"/>
    <w:rsid w:val="00D57B85"/>
    <w:rsid w:val="00D829A2"/>
    <w:rsid w:val="00DB4E0D"/>
    <w:rsid w:val="00DE1435"/>
    <w:rsid w:val="00E302C8"/>
    <w:rsid w:val="00E76430"/>
    <w:rsid w:val="00E83823"/>
    <w:rsid w:val="00E86F19"/>
    <w:rsid w:val="00EA115B"/>
    <w:rsid w:val="00EC4B53"/>
    <w:rsid w:val="00F61C36"/>
    <w:rsid w:val="00FA39D1"/>
    <w:rsid w:val="00FD6D4B"/>
    <w:rsid w:val="00FF66DF"/>
    <w:rsid w:val="00FF6989"/>
    <w:rsid w:val="11C151B6"/>
    <w:rsid w:val="207F6270"/>
    <w:rsid w:val="3122656E"/>
    <w:rsid w:val="375C6291"/>
    <w:rsid w:val="423D0D8E"/>
    <w:rsid w:val="4C07746A"/>
    <w:rsid w:val="522049BA"/>
    <w:rsid w:val="6822555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0"/>
    <w:pPr>
      <w:spacing w:before="100" w:beforeAutospacing="1" w:after="100" w:afterAutospacing="1"/>
      <w:jc w:val="left"/>
    </w:pPr>
    <w:rPr>
      <w:rFonts w:ascii="Calibri" w:hAnsi="Calibri" w:eastAsia="宋体" w:cs="Times New Roman"/>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character" w:customStyle="1" w:styleId="11">
    <w:name w:val="批注框文本 Char"/>
    <w:basedOn w:val="7"/>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26</Pages>
  <Words>8696</Words>
  <Characters>963</Characters>
  <Lines>8</Lines>
  <Paragraphs>19</Paragraphs>
  <TotalTime>26</TotalTime>
  <ScaleCrop>false</ScaleCrop>
  <LinksUpToDate>false</LinksUpToDate>
  <CharactersWithSpaces>9640</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2019-08-07T01:39:00Z</dcterms:created>
  <dc:creator>83102513@qq.com</dc:creator>
  <cp:lastModifiedBy>茜茜</cp:lastModifiedBy>
  <cp:lastPrinted>2021-11-10T09:01:00Z</cp:lastPrinted>
  <dcterms:modified xsi:type="dcterms:W3CDTF">2022-09-15T02:52:45Z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DC988AD7CD1F4341ADD16EEF3F755AB6</vt:lpwstr>
  </property>
</Properties>
</file>