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0258" w:rsidRDefault="00D40258">
      <w:pPr>
        <w:pStyle w:val="Default"/>
        <w:jc w:val="center"/>
        <w:rPr>
          <w:sz w:val="56"/>
          <w:szCs w:val="56"/>
        </w:rPr>
      </w:pPr>
    </w:p>
    <w:p w:rsidR="00D40258" w:rsidRDefault="00D40258">
      <w:pPr>
        <w:pStyle w:val="Default"/>
        <w:jc w:val="center"/>
        <w:rPr>
          <w:sz w:val="56"/>
          <w:szCs w:val="56"/>
        </w:rPr>
      </w:pPr>
    </w:p>
    <w:p w:rsidR="00D40258" w:rsidRDefault="00D40258">
      <w:pPr>
        <w:pStyle w:val="Default"/>
        <w:jc w:val="center"/>
        <w:rPr>
          <w:sz w:val="84"/>
          <w:szCs w:val="84"/>
        </w:rPr>
      </w:pPr>
    </w:p>
    <w:p w:rsidR="00D40258" w:rsidRDefault="00D40258">
      <w:pPr>
        <w:pStyle w:val="Default"/>
        <w:jc w:val="center"/>
        <w:rPr>
          <w:sz w:val="84"/>
          <w:szCs w:val="84"/>
        </w:rPr>
      </w:pPr>
    </w:p>
    <w:p w:rsidR="00D40258" w:rsidRDefault="00A40DFF">
      <w:pPr>
        <w:pStyle w:val="Default"/>
        <w:jc w:val="center"/>
        <w:rPr>
          <w:sz w:val="84"/>
          <w:szCs w:val="84"/>
        </w:rPr>
      </w:pPr>
      <w:r>
        <w:rPr>
          <w:rFonts w:hint="eastAsia"/>
          <w:sz w:val="84"/>
          <w:szCs w:val="84"/>
        </w:rPr>
        <w:t>2020年度</w:t>
      </w:r>
    </w:p>
    <w:p w:rsidR="00D40258" w:rsidRDefault="00A40DFF">
      <w:pPr>
        <w:pStyle w:val="Default"/>
        <w:jc w:val="center"/>
        <w:rPr>
          <w:sz w:val="84"/>
          <w:szCs w:val="84"/>
        </w:rPr>
      </w:pPr>
      <w:r>
        <w:rPr>
          <w:rFonts w:hint="eastAsia"/>
          <w:sz w:val="84"/>
          <w:szCs w:val="84"/>
        </w:rPr>
        <w:t>衡南县民政局</w:t>
      </w:r>
    </w:p>
    <w:p w:rsidR="00D40258" w:rsidRDefault="00A40DFF">
      <w:pPr>
        <w:pStyle w:val="Default"/>
        <w:jc w:val="center"/>
        <w:rPr>
          <w:sz w:val="84"/>
          <w:szCs w:val="84"/>
        </w:rPr>
      </w:pPr>
      <w:r>
        <w:rPr>
          <w:rFonts w:hint="eastAsia"/>
          <w:sz w:val="84"/>
          <w:szCs w:val="84"/>
        </w:rPr>
        <w:t>部门决算</w:t>
      </w:r>
    </w:p>
    <w:p w:rsidR="00D40258" w:rsidRDefault="00D40258">
      <w:pPr>
        <w:pStyle w:val="Default"/>
        <w:jc w:val="center"/>
        <w:rPr>
          <w:sz w:val="56"/>
          <w:szCs w:val="56"/>
        </w:rPr>
      </w:pPr>
    </w:p>
    <w:p w:rsidR="00D40258" w:rsidRDefault="00D40258">
      <w:pPr>
        <w:pStyle w:val="Default"/>
        <w:jc w:val="center"/>
        <w:rPr>
          <w:sz w:val="56"/>
          <w:szCs w:val="56"/>
        </w:rPr>
      </w:pPr>
    </w:p>
    <w:p w:rsidR="00D40258" w:rsidRDefault="00D40258">
      <w:pPr>
        <w:pStyle w:val="Default"/>
        <w:jc w:val="center"/>
        <w:rPr>
          <w:sz w:val="56"/>
          <w:szCs w:val="56"/>
        </w:rPr>
      </w:pPr>
    </w:p>
    <w:p w:rsidR="00D40258" w:rsidRDefault="00D40258">
      <w:pPr>
        <w:pStyle w:val="Default"/>
        <w:jc w:val="center"/>
        <w:rPr>
          <w:sz w:val="56"/>
          <w:szCs w:val="56"/>
        </w:rPr>
      </w:pPr>
    </w:p>
    <w:p w:rsidR="00D40258" w:rsidRDefault="00D40258">
      <w:pPr>
        <w:pStyle w:val="Default"/>
        <w:jc w:val="center"/>
        <w:rPr>
          <w:sz w:val="56"/>
          <w:szCs w:val="56"/>
        </w:rPr>
      </w:pPr>
    </w:p>
    <w:p w:rsidR="00D40258" w:rsidRDefault="00D40258">
      <w:pPr>
        <w:pStyle w:val="Default"/>
        <w:jc w:val="center"/>
        <w:rPr>
          <w:sz w:val="56"/>
          <w:szCs w:val="56"/>
        </w:rPr>
      </w:pPr>
    </w:p>
    <w:p w:rsidR="00D40258" w:rsidRDefault="00A40DFF">
      <w:pPr>
        <w:pStyle w:val="Default"/>
        <w:spacing w:line="520" w:lineRule="exact"/>
        <w:jc w:val="center"/>
        <w:rPr>
          <w:sz w:val="56"/>
          <w:szCs w:val="56"/>
        </w:rPr>
      </w:pPr>
      <w:r>
        <w:rPr>
          <w:rFonts w:hint="eastAsia"/>
          <w:sz w:val="56"/>
          <w:szCs w:val="56"/>
        </w:rPr>
        <w:lastRenderedPageBreak/>
        <w:t>目录</w:t>
      </w:r>
    </w:p>
    <w:p w:rsidR="00D40258" w:rsidRDefault="00A40DFF">
      <w:pPr>
        <w:pStyle w:val="Default"/>
        <w:spacing w:line="520" w:lineRule="exact"/>
        <w:rPr>
          <w:rFonts w:ascii="仿宋_GB2312" w:hAnsi="仿宋_GB2312" w:cs="仿宋_GB2312"/>
          <w:b/>
          <w:sz w:val="28"/>
          <w:szCs w:val="28"/>
        </w:rPr>
      </w:pPr>
      <w:r>
        <w:rPr>
          <w:rFonts w:hint="eastAsia"/>
          <w:b/>
          <w:sz w:val="28"/>
          <w:szCs w:val="28"/>
        </w:rPr>
        <w:t>第一部分衡南县民政局概况</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D40258" w:rsidRDefault="00A40DFF">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w:t>
      </w:r>
      <w:r>
        <w:rPr>
          <w:rFonts w:hAnsi="仿宋_GB2312" w:hint="eastAsia"/>
          <w:b/>
          <w:sz w:val="28"/>
          <w:szCs w:val="28"/>
        </w:rPr>
        <w:t>20年度部门决算表</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A40DFF" w:rsidRDefault="00A40DFF" w:rsidP="00A40DFF">
      <w:pPr>
        <w:pStyle w:val="Default"/>
        <w:spacing w:line="520" w:lineRule="exact"/>
        <w:ind w:firstLineChars="250" w:firstLine="700"/>
        <w:rPr>
          <w:rFonts w:asciiTheme="minorEastAsia" w:eastAsiaTheme="minorEastAsia" w:hAnsiTheme="minorEastAsia" w:cs="仿宋_GB2312"/>
          <w:sz w:val="28"/>
          <w:szCs w:val="28"/>
        </w:rPr>
      </w:pPr>
      <w:r w:rsidRPr="00A40DFF">
        <w:rPr>
          <w:rFonts w:asciiTheme="minorEastAsia" w:eastAsiaTheme="minorEastAsia" w:hAnsiTheme="minorEastAsia" w:cs="仿宋_GB2312" w:hint="eastAsia"/>
          <w:sz w:val="28"/>
          <w:szCs w:val="28"/>
        </w:rPr>
        <w:t>九、国有资本经营预算财政拨款支出决算表</w:t>
      </w:r>
    </w:p>
    <w:p w:rsidR="00D40258" w:rsidRDefault="00A40DFF">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w:t>
      </w:r>
      <w:r>
        <w:rPr>
          <w:rFonts w:hAnsi="仿宋_GB2312" w:hint="eastAsia"/>
          <w:b/>
          <w:sz w:val="28"/>
          <w:szCs w:val="28"/>
        </w:rPr>
        <w:t>20年度部门决算情况说明</w:t>
      </w:r>
    </w:p>
    <w:p w:rsidR="00D40258" w:rsidRDefault="00A40DFF">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D40258" w:rsidRDefault="00A40DFF">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D40258" w:rsidRDefault="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D40258" w:rsidRDefault="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D40258" w:rsidRDefault="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D40258" w:rsidRDefault="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D40258" w:rsidRDefault="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rsidR="00A40DFF" w:rsidRDefault="00A40DFF" w:rsidP="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A40DFF" w:rsidRDefault="00A40DFF" w:rsidP="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A40DFF">
        <w:rPr>
          <w:rFonts w:ascii="仿宋_GB2312" w:hAnsi="仿宋_GB2312" w:cs="仿宋_GB2312" w:hint="eastAsia"/>
          <w:color w:val="000000"/>
          <w:kern w:val="0"/>
          <w:sz w:val="28"/>
          <w:szCs w:val="28"/>
        </w:rPr>
        <w:t>九、国有资本经营预算财政拨款支出决算情况</w:t>
      </w:r>
    </w:p>
    <w:p w:rsidR="00A40DFF" w:rsidRDefault="00A40DFF" w:rsidP="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A40DFF">
        <w:rPr>
          <w:rFonts w:ascii="仿宋_GB2312" w:hAnsi="仿宋_GB2312" w:cs="仿宋_GB2312" w:hint="eastAsia"/>
          <w:color w:val="000000"/>
          <w:kern w:val="0"/>
          <w:sz w:val="28"/>
          <w:szCs w:val="28"/>
        </w:rPr>
        <w:t>十、关于机关运行经费支出说明</w:t>
      </w:r>
    </w:p>
    <w:p w:rsidR="00A40DFF" w:rsidRDefault="00A40DFF" w:rsidP="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A40DFF">
        <w:rPr>
          <w:rFonts w:ascii="仿宋_GB2312" w:hAnsi="仿宋_GB2312" w:cs="仿宋_GB2312" w:hint="eastAsia"/>
          <w:color w:val="000000"/>
          <w:kern w:val="0"/>
          <w:sz w:val="28"/>
          <w:szCs w:val="28"/>
        </w:rPr>
        <w:t>十一、一般性支出情况说明</w:t>
      </w:r>
    </w:p>
    <w:p w:rsidR="00A40DFF" w:rsidRDefault="00A40DFF" w:rsidP="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A40DFF">
        <w:rPr>
          <w:rFonts w:ascii="仿宋_GB2312" w:hAnsi="仿宋_GB2312" w:cs="仿宋_GB2312" w:hint="eastAsia"/>
          <w:color w:val="000000"/>
          <w:kern w:val="0"/>
          <w:sz w:val="28"/>
          <w:szCs w:val="28"/>
        </w:rPr>
        <w:lastRenderedPageBreak/>
        <w:t>十二、关于政府采购支出说明</w:t>
      </w:r>
    </w:p>
    <w:p w:rsidR="00A40DFF" w:rsidRDefault="00A40DFF" w:rsidP="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A40DFF">
        <w:rPr>
          <w:rFonts w:ascii="仿宋_GB2312" w:hAnsi="仿宋_GB2312" w:cs="仿宋_GB2312" w:hint="eastAsia"/>
          <w:color w:val="000000"/>
          <w:kern w:val="0"/>
          <w:sz w:val="28"/>
          <w:szCs w:val="28"/>
        </w:rPr>
        <w:t>十三、关于国有资产占用情况说明</w:t>
      </w:r>
    </w:p>
    <w:p w:rsidR="00A40DFF" w:rsidRDefault="00A40DFF" w:rsidP="00A40DF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A40DFF">
        <w:rPr>
          <w:rFonts w:ascii="仿宋_GB2312" w:hAnsi="仿宋_GB2312" w:cs="仿宋_GB2312" w:hint="eastAsia"/>
          <w:color w:val="000000"/>
          <w:kern w:val="0"/>
          <w:sz w:val="28"/>
          <w:szCs w:val="28"/>
        </w:rPr>
        <w:t>十四、关于</w:t>
      </w:r>
      <w:r w:rsidRPr="00A40DFF">
        <w:rPr>
          <w:rFonts w:ascii="仿宋_GB2312" w:hAnsi="仿宋_GB2312" w:cs="仿宋_GB2312" w:hint="eastAsia"/>
          <w:color w:val="000000"/>
          <w:kern w:val="0"/>
          <w:sz w:val="28"/>
          <w:szCs w:val="28"/>
        </w:rPr>
        <w:t>2020</w:t>
      </w:r>
      <w:r w:rsidRPr="00A40DFF">
        <w:rPr>
          <w:rFonts w:ascii="仿宋_GB2312" w:hAnsi="仿宋_GB2312" w:cs="仿宋_GB2312" w:hint="eastAsia"/>
          <w:color w:val="000000"/>
          <w:kern w:val="0"/>
          <w:sz w:val="28"/>
          <w:szCs w:val="28"/>
        </w:rPr>
        <w:t>年度预算绩效情况说明</w:t>
      </w:r>
    </w:p>
    <w:p w:rsidR="00A40DFF" w:rsidRDefault="00A40DFF" w:rsidP="00A40DFF">
      <w:pPr>
        <w:autoSpaceDE w:val="0"/>
        <w:autoSpaceDN w:val="0"/>
        <w:adjustRightInd w:val="0"/>
        <w:spacing w:line="520" w:lineRule="exact"/>
        <w:ind w:firstLineChars="250" w:firstLine="703"/>
        <w:jc w:val="left"/>
        <w:rPr>
          <w:rFonts w:ascii="仿宋_GB2312" w:hAnsi="仿宋_GB2312" w:cs="仿宋_GB2312"/>
          <w:color w:val="000000"/>
          <w:kern w:val="0"/>
          <w:sz w:val="28"/>
          <w:szCs w:val="28"/>
        </w:rPr>
      </w:pPr>
      <w:r>
        <w:rPr>
          <w:rFonts w:ascii="黑体" w:eastAsia="黑体" w:hAnsi="黑体" w:cs="黑体"/>
          <w:b/>
          <w:color w:val="000000"/>
          <w:kern w:val="0"/>
          <w:sz w:val="28"/>
          <w:szCs w:val="28"/>
        </w:rPr>
        <w:t>第四部分名词解释</w:t>
      </w:r>
    </w:p>
    <w:p w:rsidR="00D40258" w:rsidRPr="00A40DFF" w:rsidRDefault="00A40DFF" w:rsidP="00A40DFF">
      <w:pPr>
        <w:autoSpaceDE w:val="0"/>
        <w:autoSpaceDN w:val="0"/>
        <w:adjustRightInd w:val="0"/>
        <w:spacing w:line="520" w:lineRule="exact"/>
        <w:ind w:firstLineChars="250" w:firstLine="703"/>
        <w:jc w:val="left"/>
        <w:rPr>
          <w:rFonts w:ascii="仿宋_GB2312" w:hAnsi="仿宋_GB2312" w:cs="仿宋_GB2312"/>
          <w:color w:val="000000"/>
          <w:kern w:val="0"/>
          <w:sz w:val="28"/>
          <w:szCs w:val="28"/>
        </w:rPr>
      </w:pPr>
      <w:r>
        <w:rPr>
          <w:rFonts w:ascii="黑体" w:eastAsia="黑体" w:hAnsi="黑体" w:cs="黑体"/>
          <w:b/>
          <w:color w:val="000000"/>
          <w:kern w:val="0"/>
          <w:sz w:val="28"/>
          <w:szCs w:val="28"/>
        </w:rPr>
        <w:t>第五部分附件</w:t>
      </w:r>
    </w:p>
    <w:p w:rsidR="00D40258" w:rsidRDefault="00D40258">
      <w:pPr>
        <w:jc w:val="center"/>
        <w:rPr>
          <w:sz w:val="72"/>
          <w:szCs w:val="72"/>
        </w:rPr>
      </w:pPr>
    </w:p>
    <w:p w:rsidR="00D40258" w:rsidRDefault="00D40258">
      <w:pPr>
        <w:jc w:val="center"/>
        <w:rPr>
          <w:sz w:val="72"/>
          <w:szCs w:val="72"/>
        </w:rPr>
      </w:pPr>
    </w:p>
    <w:p w:rsidR="00D40258" w:rsidRDefault="00D40258">
      <w:pPr>
        <w:jc w:val="center"/>
        <w:rPr>
          <w:sz w:val="72"/>
          <w:szCs w:val="72"/>
        </w:rPr>
      </w:pPr>
    </w:p>
    <w:p w:rsidR="00D40258" w:rsidRDefault="00D40258">
      <w:pPr>
        <w:jc w:val="center"/>
        <w:rPr>
          <w:sz w:val="72"/>
          <w:szCs w:val="72"/>
        </w:rPr>
      </w:pPr>
    </w:p>
    <w:p w:rsidR="00A40DFF" w:rsidRDefault="00A40DFF">
      <w:pPr>
        <w:jc w:val="center"/>
        <w:rPr>
          <w:sz w:val="72"/>
          <w:szCs w:val="72"/>
        </w:rPr>
      </w:pPr>
    </w:p>
    <w:p w:rsidR="00A40DFF" w:rsidRDefault="00A40DFF">
      <w:pPr>
        <w:jc w:val="center"/>
        <w:rPr>
          <w:sz w:val="72"/>
          <w:szCs w:val="72"/>
        </w:rPr>
      </w:pPr>
    </w:p>
    <w:p w:rsidR="00A40DFF" w:rsidRDefault="00A40DFF">
      <w:pPr>
        <w:jc w:val="center"/>
        <w:rPr>
          <w:sz w:val="72"/>
          <w:szCs w:val="72"/>
        </w:rPr>
      </w:pPr>
    </w:p>
    <w:p w:rsidR="00A40DFF" w:rsidRDefault="00A40DFF">
      <w:pPr>
        <w:jc w:val="center"/>
        <w:rPr>
          <w:sz w:val="72"/>
          <w:szCs w:val="72"/>
        </w:rPr>
      </w:pPr>
    </w:p>
    <w:p w:rsidR="00A40DFF" w:rsidRDefault="00A40DFF">
      <w:pPr>
        <w:jc w:val="center"/>
        <w:rPr>
          <w:sz w:val="72"/>
          <w:szCs w:val="72"/>
        </w:rPr>
      </w:pPr>
    </w:p>
    <w:p w:rsidR="00A40DFF" w:rsidRDefault="00A40DFF">
      <w:pPr>
        <w:jc w:val="center"/>
        <w:rPr>
          <w:sz w:val="72"/>
          <w:szCs w:val="72"/>
        </w:rPr>
      </w:pPr>
    </w:p>
    <w:p w:rsidR="00A40DFF" w:rsidRDefault="00A40DFF">
      <w:pPr>
        <w:jc w:val="center"/>
        <w:rPr>
          <w:sz w:val="72"/>
          <w:szCs w:val="72"/>
        </w:rPr>
      </w:pPr>
    </w:p>
    <w:p w:rsidR="00A40DFF" w:rsidRDefault="00A40DFF">
      <w:pPr>
        <w:jc w:val="center"/>
        <w:rPr>
          <w:sz w:val="72"/>
          <w:szCs w:val="72"/>
        </w:rPr>
      </w:pPr>
    </w:p>
    <w:p w:rsidR="00A40DFF" w:rsidRDefault="00A40DFF">
      <w:pPr>
        <w:jc w:val="center"/>
        <w:rPr>
          <w:sz w:val="72"/>
          <w:szCs w:val="72"/>
        </w:rPr>
      </w:pPr>
    </w:p>
    <w:p w:rsidR="00A40DFF" w:rsidRDefault="00A40DFF">
      <w:pPr>
        <w:jc w:val="center"/>
        <w:rPr>
          <w:sz w:val="72"/>
          <w:szCs w:val="72"/>
        </w:rPr>
      </w:pPr>
    </w:p>
    <w:p w:rsidR="00A40DFF" w:rsidRDefault="00A40DFF">
      <w:pPr>
        <w:jc w:val="center"/>
        <w:rPr>
          <w:sz w:val="72"/>
          <w:szCs w:val="72"/>
        </w:rPr>
      </w:pPr>
    </w:p>
    <w:p w:rsidR="00D40258" w:rsidRDefault="00D40258">
      <w:pPr>
        <w:rPr>
          <w:sz w:val="72"/>
          <w:szCs w:val="72"/>
        </w:rPr>
      </w:pPr>
    </w:p>
    <w:p w:rsidR="00D40258" w:rsidRDefault="00A40DFF">
      <w:pPr>
        <w:pStyle w:val="Default"/>
        <w:jc w:val="center"/>
        <w:rPr>
          <w:sz w:val="84"/>
          <w:szCs w:val="84"/>
        </w:rPr>
      </w:pPr>
      <w:r>
        <w:rPr>
          <w:rFonts w:hint="eastAsia"/>
          <w:sz w:val="84"/>
          <w:szCs w:val="84"/>
        </w:rPr>
        <w:t>第一部分</w:t>
      </w:r>
    </w:p>
    <w:p w:rsidR="00D40258" w:rsidRDefault="00D40258">
      <w:pPr>
        <w:pStyle w:val="Default"/>
        <w:jc w:val="center"/>
        <w:rPr>
          <w:sz w:val="84"/>
          <w:szCs w:val="84"/>
        </w:rPr>
      </w:pPr>
    </w:p>
    <w:p w:rsidR="00D40258" w:rsidRDefault="00A40DFF">
      <w:pPr>
        <w:pStyle w:val="Default"/>
        <w:jc w:val="center"/>
        <w:rPr>
          <w:sz w:val="84"/>
          <w:szCs w:val="84"/>
        </w:rPr>
      </w:pPr>
      <w:r>
        <w:rPr>
          <w:rFonts w:hint="eastAsia"/>
          <w:sz w:val="84"/>
          <w:szCs w:val="84"/>
        </w:rPr>
        <w:t>衡南县民政局</w:t>
      </w:r>
    </w:p>
    <w:p w:rsidR="00D40258" w:rsidRDefault="00A40DFF">
      <w:pPr>
        <w:pStyle w:val="Default"/>
        <w:jc w:val="center"/>
        <w:rPr>
          <w:sz w:val="84"/>
          <w:szCs w:val="84"/>
        </w:rPr>
      </w:pPr>
      <w:r>
        <w:rPr>
          <w:rFonts w:hint="eastAsia"/>
          <w:sz w:val="84"/>
          <w:szCs w:val="84"/>
        </w:rPr>
        <w:t>概况</w:t>
      </w:r>
    </w:p>
    <w:p w:rsidR="00D40258" w:rsidRDefault="00D40258">
      <w:pPr>
        <w:jc w:val="center"/>
        <w:rPr>
          <w:sz w:val="72"/>
          <w:szCs w:val="72"/>
        </w:rPr>
      </w:pPr>
    </w:p>
    <w:p w:rsidR="00D40258" w:rsidRDefault="00D40258">
      <w:pPr>
        <w:jc w:val="center"/>
        <w:rPr>
          <w:sz w:val="72"/>
          <w:szCs w:val="72"/>
        </w:rPr>
      </w:pPr>
    </w:p>
    <w:p w:rsidR="00D40258" w:rsidRDefault="00D40258">
      <w:pPr>
        <w:jc w:val="center"/>
        <w:rPr>
          <w:sz w:val="72"/>
          <w:szCs w:val="72"/>
        </w:rPr>
      </w:pPr>
    </w:p>
    <w:p w:rsidR="00A40DFF" w:rsidRDefault="00A40DFF">
      <w:pPr>
        <w:jc w:val="center"/>
        <w:rPr>
          <w:sz w:val="72"/>
          <w:szCs w:val="72"/>
        </w:rPr>
      </w:pPr>
    </w:p>
    <w:p w:rsidR="00D40258" w:rsidRDefault="00D40258">
      <w:pPr>
        <w:pStyle w:val="a7"/>
        <w:ind w:left="720" w:firstLineChars="0" w:firstLine="0"/>
        <w:jc w:val="left"/>
        <w:rPr>
          <w:sz w:val="72"/>
          <w:szCs w:val="72"/>
        </w:rPr>
      </w:pPr>
    </w:p>
    <w:p w:rsidR="00A40DFF" w:rsidRDefault="00A40DFF">
      <w:pPr>
        <w:pStyle w:val="a7"/>
        <w:ind w:left="720" w:firstLineChars="0" w:firstLine="0"/>
        <w:jc w:val="left"/>
        <w:rPr>
          <w:rFonts w:ascii="黑体" w:eastAsia="黑体" w:hAnsi="黑体"/>
          <w:sz w:val="32"/>
          <w:szCs w:val="32"/>
        </w:rPr>
      </w:pPr>
    </w:p>
    <w:p w:rsidR="00D40258" w:rsidRDefault="00A40DFF">
      <w:pPr>
        <w:pStyle w:val="a7"/>
        <w:numPr>
          <w:ilvl w:val="0"/>
          <w:numId w:val="1"/>
        </w:numPr>
        <w:ind w:firstLineChars="0"/>
        <w:jc w:val="left"/>
        <w:rPr>
          <w:rFonts w:ascii="黑体" w:eastAsia="黑体" w:hAnsi="黑体"/>
          <w:sz w:val="32"/>
          <w:szCs w:val="32"/>
        </w:rPr>
      </w:pPr>
      <w:r>
        <w:rPr>
          <w:rFonts w:ascii="黑体" w:eastAsia="黑体" w:hAnsi="黑体"/>
          <w:sz w:val="32"/>
          <w:szCs w:val="32"/>
        </w:rPr>
        <w:lastRenderedPageBreak/>
        <w:t>部门职责</w:t>
      </w:r>
    </w:p>
    <w:p w:rsidR="00D40258" w:rsidRDefault="00A40DFF">
      <w:pPr>
        <w:ind w:firstLineChars="200" w:firstLine="640"/>
        <w:jc w:val="left"/>
        <w:rPr>
          <w:rFonts w:asciiTheme="minorEastAsia" w:hAnsiTheme="minorEastAsia"/>
          <w:sz w:val="32"/>
          <w:szCs w:val="32"/>
        </w:rPr>
      </w:pPr>
      <w:r>
        <w:rPr>
          <w:rFonts w:asciiTheme="minorEastAsia" w:hAnsiTheme="minorEastAsia" w:hint="eastAsia"/>
          <w:sz w:val="32"/>
          <w:szCs w:val="32"/>
        </w:rPr>
        <w:t>1、贯彻执行党和国家关于民政工作的法律、法规和方针、政策。拟订全县民政方面的规范性文件，拟订全县民政事业发展规划，并组织实施和监督检查。</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2、依法对全县社会团体、社会服务机构、基金会登记管理和执法监督。负责县本级无业务主管单位、直接登记的社会组织党建工作。</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3、拟订全县社会救助规划和标准并组织实施。推进全县社会救助体系建设工作。负责城乡居民最低生活保障、特困人员供养、临时救助、生活无着流浪乞讨人员救助工作。</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4、拟订全县城乡基层群众自治组织建设和社区治理相关制度并组织实施。指导城乡社区治理体系和治理能力建设，提出加强和改进城乡基层政权建设的建议。推动基层民主政治建设。</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5、负责指导、监督国家行政区划、行政区域界线、地名管理法规和规章的实施。拟订县本级行政区划规划。依法负责村（居）委会及以上行政区域的设立、撤销、调整、更名和行政区域界线变更及政府驻地迁移的审核、报批工作；负责街道办事处设立、撤销、调整、更名及其驻地迁移的报批工作；负责全县行政区域界线的管理和勘定，调处边界争议与纠纷。负责全县地名工作的指导和管理，负责中心城区地名的命名、更名、门牌号码的编排和地名标志的设置和管</w:t>
      </w:r>
      <w:r>
        <w:rPr>
          <w:rFonts w:asciiTheme="minorEastAsia" w:hAnsiTheme="minorEastAsia" w:hint="eastAsia"/>
          <w:sz w:val="32"/>
          <w:szCs w:val="32"/>
        </w:rPr>
        <w:lastRenderedPageBreak/>
        <w:t>理。</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6、贯彻执行国家的婚姻管理政策并组织实施，推进婚俗改革。</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7、贯彻执行国家的殡葬管理政策、服务规范并组织实施，推进殡葬改革。</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8、统筹推进、督促指导、监督管理全县养老服务工作。拟订全县养老服务体系建设规划、政策、标准并组织实施。承担全县老年人福利和特殊困难老年人关爱服务工作。</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9、贯彻执行国家的残疾人权益保护政策，统筹推进全县残疾人福利制度建设；对困难残疾人生活补贴和重度残疾人护理补贴发放进行资格审定。</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10、贯彻执行国家的儿童福利、孤弃儿童保障、儿童收养、儿童救助保护政策、标准。健全农村留守儿童关爱服务体系和困境儿童保障制度。完善未成年人关爱保护体系。</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11、拟订促进全县慈善事业发展规划，指导开展慈善工作和社会捐助工作。负责福利彩票管理工作。</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12、贯彻执行国家的社会工作、志愿服务政策和标准。会同有关部门推进社会工作人才队伍建设和志愿者队伍建设。</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13、负责本行业、领域的应急管理工作，对本行业、领域的安全生产工作实施监督管理。</w:t>
      </w:r>
    </w:p>
    <w:p w:rsidR="00D40258" w:rsidRDefault="00A40DFF">
      <w:pPr>
        <w:jc w:val="left"/>
        <w:rPr>
          <w:rFonts w:asciiTheme="minorEastAsia" w:hAnsiTheme="minorEastAsia"/>
          <w:sz w:val="32"/>
          <w:szCs w:val="32"/>
        </w:rPr>
      </w:pPr>
      <w:r>
        <w:rPr>
          <w:rFonts w:asciiTheme="minorEastAsia" w:hAnsiTheme="minorEastAsia" w:hint="eastAsia"/>
          <w:sz w:val="32"/>
          <w:szCs w:val="32"/>
        </w:rPr>
        <w:t xml:space="preserve">　　14、完成县委、县政府交办的其他任务。</w:t>
      </w:r>
    </w:p>
    <w:p w:rsidR="00D40258" w:rsidRDefault="00A40DFF">
      <w:pPr>
        <w:jc w:val="left"/>
        <w:rPr>
          <w:rFonts w:asciiTheme="minorEastAsia" w:hAnsiTheme="minorEastAsia"/>
          <w:sz w:val="32"/>
          <w:szCs w:val="32"/>
        </w:rPr>
      </w:pPr>
      <w:r>
        <w:rPr>
          <w:rFonts w:asciiTheme="minorEastAsia" w:hAnsiTheme="minorEastAsia" w:hint="eastAsia"/>
          <w:sz w:val="32"/>
          <w:szCs w:val="32"/>
        </w:rPr>
        <w:lastRenderedPageBreak/>
        <w:t xml:space="preserve">　　15、职能转变。县民政局应聚焦脱贫攻坚、聚焦特殊群体、聚焦群众关切，强化基本民生保障职能，为困难群众、孤老孤残孤儿等特殊群体提供基本社会服务，促进资源向薄弱地区、领域、环节倾斜。积极培育社会组织、社会工作者等多元参与主体，推动搭建基层社会治理和社区公共服务平台。</w:t>
      </w:r>
    </w:p>
    <w:p w:rsidR="00D40258" w:rsidRDefault="00A40DFF">
      <w:pPr>
        <w:spacing w:line="360" w:lineRule="auto"/>
        <w:jc w:val="left"/>
        <w:rPr>
          <w:rFonts w:asciiTheme="minorEastAsia" w:hAnsiTheme="minorEastAsia"/>
          <w:sz w:val="32"/>
          <w:szCs w:val="32"/>
        </w:rPr>
      </w:pPr>
      <w:r>
        <w:rPr>
          <w:rFonts w:asciiTheme="minorEastAsia" w:hAnsiTheme="minorEastAsia" w:hint="eastAsia"/>
          <w:sz w:val="32"/>
          <w:szCs w:val="32"/>
        </w:rPr>
        <w:t xml:space="preserve">　　16、有关职责分工。</w:t>
      </w:r>
    </w:p>
    <w:p w:rsidR="00D40258" w:rsidRDefault="00A40DFF">
      <w:pPr>
        <w:spacing w:line="360" w:lineRule="auto"/>
        <w:jc w:val="left"/>
        <w:rPr>
          <w:rFonts w:ascii="仿宋_GB2312" w:eastAsia="仿宋_GB2312" w:hAnsiTheme="minorEastAsia"/>
          <w:sz w:val="28"/>
          <w:szCs w:val="32"/>
        </w:rPr>
      </w:pPr>
      <w:r>
        <w:rPr>
          <w:rFonts w:asciiTheme="minorEastAsia" w:hAnsiTheme="minorEastAsia" w:hint="eastAsia"/>
          <w:sz w:val="32"/>
          <w:szCs w:val="32"/>
        </w:rPr>
        <w:t xml:space="preserve">　　与县卫生健康局的有关职责分工。县民政局负责统筹推进、督促指导、监督管理全县养老服务工作，拟订养老服务体系建设规划、政策、标准并组织实施，承担老年人福利和特殊困难老年人救助工作。县卫生健康局负责拟订应对人口老龄化、医养结合政策措施，综合协调、督促指导、组织推进老龄事业发展，承担老年疾病防治、老年人医疗照护、老年人心理健康与关怀服务等老年健康工作。</w:t>
      </w:r>
    </w:p>
    <w:p w:rsidR="00D40258" w:rsidRDefault="00A40DFF">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D40258" w:rsidRDefault="00A40DFF">
      <w:pPr>
        <w:widowControl/>
        <w:spacing w:line="600" w:lineRule="exact"/>
        <w:rPr>
          <w:rFonts w:asciiTheme="minorEastAsia" w:hAnsiTheme="minorEastAsia"/>
          <w:bCs/>
          <w:kern w:val="0"/>
          <w:sz w:val="32"/>
          <w:szCs w:val="32"/>
        </w:rPr>
      </w:pPr>
      <w:r>
        <w:rPr>
          <w:rFonts w:asciiTheme="minorEastAsia" w:hAnsiTheme="minorEastAsia" w:hint="eastAsia"/>
          <w:bCs/>
          <w:kern w:val="0"/>
          <w:sz w:val="32"/>
          <w:szCs w:val="32"/>
        </w:rPr>
        <w:t>（一）内设机构设置。内设办公室（政策法规股）、组织人事股、规划财务股、基层政权建设和社区治理股(区划地名办公室)、社会事务和慈善事业促进股（养老服务和儿童福利股）、行政审批股等6个股室。</w:t>
      </w:r>
    </w:p>
    <w:p w:rsidR="00D40258" w:rsidRDefault="00A40DFF">
      <w:pPr>
        <w:jc w:val="left"/>
        <w:rPr>
          <w:rFonts w:ascii="黑体" w:hAnsi="黑体"/>
          <w:sz w:val="28"/>
          <w:szCs w:val="28"/>
        </w:rPr>
      </w:pPr>
      <w:r>
        <w:rPr>
          <w:rFonts w:asciiTheme="minorEastAsia" w:hAnsiTheme="minorEastAsia" w:hint="eastAsia"/>
          <w:bCs/>
          <w:kern w:val="0"/>
          <w:sz w:val="32"/>
          <w:szCs w:val="32"/>
        </w:rPr>
        <w:t>（二）决算单位构成。衡南县民政局2020年部门决算公开单位构成：衡南县民政局本级。衡南县民政局为县直一级预算单位。</w:t>
      </w:r>
    </w:p>
    <w:p w:rsidR="00D40258" w:rsidRDefault="00D40258">
      <w:pPr>
        <w:jc w:val="center"/>
        <w:rPr>
          <w:rFonts w:ascii="黑体" w:eastAsia="黑体" w:hAnsi="黑体"/>
          <w:sz w:val="28"/>
          <w:szCs w:val="28"/>
        </w:rPr>
      </w:pPr>
    </w:p>
    <w:p w:rsidR="00D40258" w:rsidRDefault="00D40258">
      <w:pPr>
        <w:jc w:val="center"/>
        <w:rPr>
          <w:rFonts w:ascii="黑体" w:eastAsia="黑体" w:hAnsi="黑体"/>
          <w:sz w:val="28"/>
          <w:szCs w:val="28"/>
        </w:rPr>
      </w:pPr>
    </w:p>
    <w:p w:rsidR="00D40258" w:rsidRDefault="00D40258">
      <w:pPr>
        <w:jc w:val="center"/>
        <w:rPr>
          <w:sz w:val="72"/>
          <w:szCs w:val="72"/>
        </w:rPr>
      </w:pPr>
    </w:p>
    <w:p w:rsidR="00D40258" w:rsidRDefault="00D40258">
      <w:pPr>
        <w:jc w:val="center"/>
        <w:rPr>
          <w:sz w:val="72"/>
          <w:szCs w:val="72"/>
        </w:rPr>
      </w:pPr>
    </w:p>
    <w:p w:rsidR="00D40258" w:rsidRDefault="00D40258">
      <w:pPr>
        <w:jc w:val="center"/>
        <w:rPr>
          <w:sz w:val="72"/>
          <w:szCs w:val="72"/>
        </w:rPr>
      </w:pPr>
    </w:p>
    <w:p w:rsidR="00D40258" w:rsidRDefault="00A40DFF">
      <w:pPr>
        <w:jc w:val="center"/>
        <w:rPr>
          <w:sz w:val="72"/>
          <w:szCs w:val="72"/>
        </w:rPr>
      </w:pPr>
      <w:r>
        <w:rPr>
          <w:rFonts w:hint="eastAsia"/>
          <w:sz w:val="72"/>
          <w:szCs w:val="72"/>
        </w:rPr>
        <w:t>第二部分</w:t>
      </w:r>
    </w:p>
    <w:p w:rsidR="00D40258" w:rsidRDefault="00D40258">
      <w:pPr>
        <w:jc w:val="center"/>
        <w:rPr>
          <w:sz w:val="72"/>
          <w:szCs w:val="72"/>
        </w:rPr>
      </w:pPr>
    </w:p>
    <w:p w:rsidR="00D40258" w:rsidRDefault="00A40DFF">
      <w:pPr>
        <w:jc w:val="center"/>
        <w:rPr>
          <w:sz w:val="72"/>
          <w:szCs w:val="72"/>
        </w:rPr>
      </w:pPr>
      <w:r>
        <w:rPr>
          <w:rFonts w:hint="eastAsia"/>
          <w:sz w:val="72"/>
          <w:szCs w:val="72"/>
        </w:rPr>
        <w:t>部门决算表</w:t>
      </w:r>
    </w:p>
    <w:p w:rsidR="00D40258" w:rsidRDefault="00D40258">
      <w:pPr>
        <w:jc w:val="center"/>
        <w:rPr>
          <w:sz w:val="72"/>
          <w:szCs w:val="72"/>
        </w:rPr>
      </w:pPr>
    </w:p>
    <w:p w:rsidR="00D40258" w:rsidRDefault="00A40DFF">
      <w:pPr>
        <w:jc w:val="center"/>
        <w:rPr>
          <w:sz w:val="72"/>
          <w:szCs w:val="72"/>
        </w:rPr>
      </w:pPr>
      <w:r>
        <w:rPr>
          <w:rFonts w:hint="eastAsia"/>
          <w:sz w:val="72"/>
          <w:szCs w:val="72"/>
        </w:rPr>
        <w:t>(</w:t>
      </w:r>
      <w:r>
        <w:rPr>
          <w:rFonts w:hint="eastAsia"/>
          <w:sz w:val="72"/>
          <w:szCs w:val="72"/>
        </w:rPr>
        <w:t>部门决算公示表附后</w:t>
      </w:r>
      <w:r>
        <w:rPr>
          <w:rFonts w:hint="eastAsia"/>
          <w:sz w:val="72"/>
          <w:szCs w:val="72"/>
        </w:rPr>
        <w:t>)</w:t>
      </w:r>
    </w:p>
    <w:p w:rsidR="00D40258" w:rsidRDefault="00D40258">
      <w:pPr>
        <w:jc w:val="center"/>
        <w:rPr>
          <w:sz w:val="72"/>
          <w:szCs w:val="72"/>
        </w:rPr>
      </w:pPr>
    </w:p>
    <w:p w:rsidR="00D40258" w:rsidRDefault="00D40258">
      <w:pPr>
        <w:jc w:val="center"/>
        <w:rPr>
          <w:sz w:val="72"/>
          <w:szCs w:val="72"/>
        </w:rPr>
      </w:pPr>
    </w:p>
    <w:p w:rsidR="00D40258" w:rsidRDefault="00D40258">
      <w:pPr>
        <w:jc w:val="center"/>
        <w:rPr>
          <w:sz w:val="72"/>
          <w:szCs w:val="72"/>
        </w:rPr>
      </w:pPr>
    </w:p>
    <w:p w:rsidR="00D40258" w:rsidRDefault="00D40258">
      <w:pPr>
        <w:jc w:val="center"/>
        <w:rPr>
          <w:sz w:val="72"/>
          <w:szCs w:val="72"/>
        </w:rPr>
      </w:pPr>
    </w:p>
    <w:p w:rsidR="00D40258" w:rsidRDefault="00D40258">
      <w:pPr>
        <w:jc w:val="left"/>
        <w:rPr>
          <w:sz w:val="32"/>
          <w:szCs w:val="32"/>
        </w:rPr>
      </w:pPr>
    </w:p>
    <w:p w:rsidR="00D40258" w:rsidRDefault="00D40258">
      <w:pPr>
        <w:jc w:val="left"/>
        <w:rPr>
          <w:rFonts w:asciiTheme="minorEastAsia" w:hAnsiTheme="minorEastAsia"/>
          <w:sz w:val="32"/>
          <w:szCs w:val="32"/>
        </w:rPr>
        <w:sectPr w:rsidR="00D40258">
          <w:pgSz w:w="11906" w:h="16838"/>
          <w:pgMar w:top="1440" w:right="1800" w:bottom="1440" w:left="1800" w:header="851" w:footer="992" w:gutter="0"/>
          <w:cols w:space="425"/>
          <w:docGrid w:type="lines" w:linePitch="312"/>
        </w:sectPr>
      </w:pPr>
    </w:p>
    <w:p w:rsidR="00D40258" w:rsidRDefault="00D40258">
      <w:pPr>
        <w:pStyle w:val="Default"/>
        <w:rPr>
          <w:sz w:val="72"/>
          <w:szCs w:val="72"/>
        </w:rPr>
      </w:pPr>
    </w:p>
    <w:p w:rsidR="00D40258" w:rsidRDefault="00D40258">
      <w:pPr>
        <w:pStyle w:val="Default"/>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A40DFF">
      <w:pPr>
        <w:pStyle w:val="Default"/>
        <w:jc w:val="center"/>
        <w:rPr>
          <w:sz w:val="72"/>
          <w:szCs w:val="72"/>
        </w:rPr>
      </w:pPr>
      <w:r>
        <w:rPr>
          <w:rFonts w:hint="eastAsia"/>
          <w:sz w:val="72"/>
          <w:szCs w:val="72"/>
        </w:rPr>
        <w:t>第三部分</w:t>
      </w:r>
    </w:p>
    <w:p w:rsidR="00D40258" w:rsidRDefault="00D40258">
      <w:pPr>
        <w:pStyle w:val="Default"/>
        <w:jc w:val="center"/>
        <w:rPr>
          <w:sz w:val="70"/>
          <w:szCs w:val="70"/>
        </w:rPr>
      </w:pPr>
    </w:p>
    <w:p w:rsidR="00D40258" w:rsidRDefault="00A40DFF">
      <w:pPr>
        <w:pStyle w:val="Default"/>
        <w:jc w:val="center"/>
        <w:rPr>
          <w:sz w:val="70"/>
          <w:szCs w:val="70"/>
        </w:rPr>
      </w:pPr>
      <w:r>
        <w:rPr>
          <w:sz w:val="70"/>
          <w:szCs w:val="70"/>
        </w:rPr>
        <w:t>20</w:t>
      </w:r>
      <w:r>
        <w:rPr>
          <w:rFonts w:hint="eastAsia"/>
          <w:sz w:val="70"/>
          <w:szCs w:val="70"/>
        </w:rPr>
        <w:t>20年度部门决算情况说明</w:t>
      </w:r>
    </w:p>
    <w:p w:rsidR="00D40258" w:rsidRDefault="00A40DFF">
      <w:pPr>
        <w:widowControl/>
        <w:jc w:val="left"/>
        <w:rPr>
          <w:rFonts w:ascii="黑体" w:eastAsia="黑体" w:cs="黑体"/>
          <w:color w:val="000000"/>
          <w:kern w:val="0"/>
          <w:sz w:val="70"/>
          <w:szCs w:val="70"/>
        </w:rPr>
      </w:pPr>
      <w:r>
        <w:rPr>
          <w:sz w:val="70"/>
          <w:szCs w:val="70"/>
        </w:rPr>
        <w:br w:type="page"/>
      </w:r>
    </w:p>
    <w:p w:rsidR="00D40258" w:rsidRDefault="00D40258">
      <w:pPr>
        <w:pStyle w:val="Default"/>
        <w:rPr>
          <w:rFonts w:asciiTheme="minorEastAsia" w:eastAsiaTheme="minorEastAsia" w:hAnsiTheme="minorEastAsia"/>
          <w:sz w:val="32"/>
          <w:szCs w:val="32"/>
        </w:rPr>
      </w:pPr>
    </w:p>
    <w:p w:rsidR="00D40258" w:rsidRDefault="00A40DFF">
      <w:pPr>
        <w:pStyle w:val="Default"/>
        <w:rPr>
          <w:rFonts w:hAnsi="黑体"/>
          <w:b/>
          <w:sz w:val="32"/>
          <w:szCs w:val="32"/>
        </w:rPr>
      </w:pPr>
      <w:r>
        <w:rPr>
          <w:rFonts w:hAnsi="黑体" w:hint="eastAsia"/>
          <w:b/>
          <w:sz w:val="32"/>
          <w:szCs w:val="32"/>
        </w:rPr>
        <w:t>一、收入支出决算总体情况说明</w:t>
      </w:r>
    </w:p>
    <w:p w:rsidR="00D40258" w:rsidRDefault="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2020年度收、支总计22803.12万元。与2019年相比，较上年决算数增加11073.90 万元，</w:t>
      </w:r>
      <w:r w:rsidR="00B9737B">
        <w:rPr>
          <w:rFonts w:asciiTheme="minorEastAsia" w:eastAsiaTheme="minorEastAsia" w:hAnsiTheme="minorEastAsia" w:hint="eastAsia"/>
          <w:sz w:val="32"/>
          <w:szCs w:val="32"/>
        </w:rPr>
        <w:t>增加</w:t>
      </w:r>
      <w:r>
        <w:rPr>
          <w:rFonts w:asciiTheme="minorEastAsia" w:eastAsiaTheme="minorEastAsia" w:hAnsiTheme="minorEastAsia" w:hint="eastAsia"/>
          <w:sz w:val="32"/>
          <w:szCs w:val="32"/>
        </w:rPr>
        <w:t>94.41%。主要是因为：当年新增云龙山陵园项目专项债券资金。</w:t>
      </w:r>
    </w:p>
    <w:p w:rsidR="00D40258" w:rsidRDefault="00A40DFF">
      <w:pPr>
        <w:pStyle w:val="Default"/>
        <w:rPr>
          <w:rFonts w:hAnsi="黑体"/>
          <w:b/>
          <w:sz w:val="32"/>
          <w:szCs w:val="32"/>
        </w:rPr>
      </w:pPr>
      <w:r>
        <w:rPr>
          <w:rFonts w:hAnsi="黑体" w:hint="eastAsia"/>
          <w:b/>
          <w:sz w:val="32"/>
          <w:szCs w:val="32"/>
        </w:rPr>
        <w:t>二、收入决算情况说明</w:t>
      </w:r>
    </w:p>
    <w:p w:rsidR="00D40258" w:rsidRDefault="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本年收入合计</w:t>
      </w:r>
      <w:r w:rsidR="00B9737B">
        <w:rPr>
          <w:rFonts w:asciiTheme="minorEastAsia" w:eastAsiaTheme="minorEastAsia" w:hAnsiTheme="minorEastAsia" w:hint="eastAsia"/>
          <w:sz w:val="32"/>
          <w:szCs w:val="32"/>
        </w:rPr>
        <w:t>21072.18</w:t>
      </w:r>
      <w:r>
        <w:rPr>
          <w:rFonts w:asciiTheme="minorEastAsia" w:eastAsiaTheme="minorEastAsia" w:hAnsiTheme="minorEastAsia" w:hint="eastAsia"/>
          <w:sz w:val="32"/>
          <w:szCs w:val="32"/>
        </w:rPr>
        <w:t>元，其中：财政拨款收入210</w:t>
      </w:r>
      <w:r w:rsidR="00B9737B">
        <w:rPr>
          <w:rFonts w:asciiTheme="minorEastAsia" w:eastAsiaTheme="minorEastAsia" w:hAnsiTheme="minorEastAsia" w:hint="eastAsia"/>
          <w:sz w:val="32"/>
          <w:szCs w:val="32"/>
        </w:rPr>
        <w:t>55.94</w:t>
      </w:r>
      <w:r>
        <w:rPr>
          <w:rFonts w:asciiTheme="minorEastAsia" w:eastAsiaTheme="minorEastAsia" w:hAnsiTheme="minorEastAsia" w:hint="eastAsia"/>
          <w:sz w:val="32"/>
          <w:szCs w:val="32"/>
        </w:rPr>
        <w:t>万元，占9</w:t>
      </w:r>
      <w:r w:rsidR="00B9737B">
        <w:rPr>
          <w:rFonts w:asciiTheme="minorEastAsia" w:eastAsiaTheme="minorEastAsia" w:hAnsiTheme="minorEastAsia" w:hint="eastAsia"/>
          <w:sz w:val="32"/>
          <w:szCs w:val="32"/>
        </w:rPr>
        <w:t>9.93</w:t>
      </w:r>
      <w:r>
        <w:rPr>
          <w:rFonts w:asciiTheme="minorEastAsia" w:eastAsiaTheme="minorEastAsia" w:hAnsiTheme="minorEastAsia" w:hint="eastAsia"/>
          <w:sz w:val="32"/>
          <w:szCs w:val="32"/>
        </w:rPr>
        <w:t>%；</w:t>
      </w:r>
      <w:r w:rsidR="00B9737B">
        <w:rPr>
          <w:rFonts w:asciiTheme="minorEastAsia" w:eastAsiaTheme="minorEastAsia" w:hAnsiTheme="minorEastAsia" w:hint="eastAsia"/>
          <w:sz w:val="32"/>
          <w:szCs w:val="32"/>
        </w:rPr>
        <w:t>其他收入16.18</w:t>
      </w:r>
      <w:r>
        <w:rPr>
          <w:rFonts w:asciiTheme="minorEastAsia" w:eastAsiaTheme="minorEastAsia" w:hAnsiTheme="minorEastAsia" w:hint="eastAsia"/>
          <w:sz w:val="32"/>
          <w:szCs w:val="32"/>
        </w:rPr>
        <w:t>，占</w:t>
      </w:r>
      <w:r w:rsidR="00B9737B">
        <w:rPr>
          <w:rFonts w:asciiTheme="minorEastAsia" w:eastAsiaTheme="minorEastAsia" w:hAnsiTheme="minorEastAsia" w:hint="eastAsia"/>
          <w:sz w:val="32"/>
          <w:szCs w:val="32"/>
        </w:rPr>
        <w:t>0.07</w:t>
      </w:r>
      <w:r>
        <w:rPr>
          <w:rFonts w:asciiTheme="minorEastAsia" w:eastAsiaTheme="minorEastAsia" w:hAnsiTheme="minorEastAsia" w:hint="eastAsia"/>
          <w:sz w:val="32"/>
          <w:szCs w:val="32"/>
        </w:rPr>
        <w:t>%。</w:t>
      </w:r>
    </w:p>
    <w:p w:rsidR="00D40258" w:rsidRDefault="00A40DFF">
      <w:pPr>
        <w:pStyle w:val="Default"/>
        <w:rPr>
          <w:rFonts w:hAnsi="黑体"/>
          <w:b/>
          <w:sz w:val="32"/>
          <w:szCs w:val="32"/>
        </w:rPr>
      </w:pPr>
      <w:r>
        <w:rPr>
          <w:rFonts w:hAnsi="黑体" w:hint="eastAsia"/>
          <w:b/>
          <w:sz w:val="32"/>
          <w:szCs w:val="32"/>
        </w:rPr>
        <w:t>三、支出决算情况说明</w:t>
      </w:r>
    </w:p>
    <w:p w:rsidR="00D40258" w:rsidRDefault="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本年支出合计7,725.88 万元，其中：基本支出733.47万元，占9.49%；项目支出6992.41万元，占90.51%。</w:t>
      </w:r>
    </w:p>
    <w:p w:rsidR="00D40258" w:rsidRDefault="00A40DFF" w:rsidP="00A40DFF">
      <w:pPr>
        <w:pStyle w:val="Default"/>
        <w:ind w:firstLineChars="200" w:firstLine="643"/>
        <w:rPr>
          <w:rFonts w:hAnsi="黑体"/>
          <w:b/>
          <w:sz w:val="32"/>
          <w:szCs w:val="32"/>
        </w:rPr>
      </w:pPr>
      <w:r>
        <w:rPr>
          <w:rFonts w:hAnsi="黑体" w:hint="eastAsia"/>
          <w:b/>
          <w:sz w:val="32"/>
          <w:szCs w:val="32"/>
        </w:rPr>
        <w:t>四、财政拨款收入支出决算总体情况说明</w:t>
      </w:r>
    </w:p>
    <w:p w:rsidR="00D40258" w:rsidRDefault="00A40DFF">
      <w:pPr>
        <w:pStyle w:val="Default"/>
        <w:ind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2020年度财政拨款收、支总计2</w:t>
      </w:r>
      <w:r w:rsidR="00B9737B">
        <w:rPr>
          <w:rFonts w:asciiTheme="minorEastAsia" w:eastAsiaTheme="minorEastAsia" w:hAnsiTheme="minorEastAsia" w:hint="eastAsia"/>
          <w:sz w:val="32"/>
          <w:szCs w:val="32"/>
        </w:rPr>
        <w:t>2756.23</w:t>
      </w:r>
      <w:r>
        <w:rPr>
          <w:rFonts w:asciiTheme="minorEastAsia" w:eastAsiaTheme="minorEastAsia" w:hAnsiTheme="minorEastAsia" w:hint="eastAsia"/>
          <w:sz w:val="32"/>
          <w:szCs w:val="32"/>
        </w:rPr>
        <w:t>万元。与2019年相比，较上年决算数增加9357.43万元，增加79.99%。主要是因为：当年新增云龙山陵园项目专项债券资金。</w:t>
      </w:r>
    </w:p>
    <w:p w:rsidR="00D40258" w:rsidRDefault="00A40DFF">
      <w:pPr>
        <w:pStyle w:val="Default"/>
        <w:ind w:firstLine="640"/>
        <w:rPr>
          <w:rFonts w:hAnsi="黑体"/>
          <w:b/>
          <w:sz w:val="32"/>
          <w:szCs w:val="32"/>
        </w:rPr>
      </w:pPr>
      <w:r>
        <w:rPr>
          <w:rFonts w:hAnsi="黑体" w:hint="eastAsia"/>
          <w:b/>
          <w:sz w:val="32"/>
          <w:szCs w:val="32"/>
        </w:rPr>
        <w:t>五、一般公共预算财政拨款支出决算情况说明</w:t>
      </w:r>
    </w:p>
    <w:p w:rsidR="00D40258" w:rsidRDefault="00A40DFF" w:rsidP="00A40DFF">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w:t>
      </w:r>
      <w:r w:rsidR="00B9737B">
        <w:rPr>
          <w:rFonts w:asciiTheme="minorEastAsia" w:eastAsiaTheme="minorEastAsia" w:hAnsiTheme="minorEastAsia" w:hint="eastAsia"/>
          <w:sz w:val="32"/>
          <w:szCs w:val="32"/>
        </w:rPr>
        <w:t>6984.91</w:t>
      </w:r>
      <w:r>
        <w:rPr>
          <w:rFonts w:asciiTheme="minorEastAsia" w:eastAsiaTheme="minorEastAsia" w:hAnsiTheme="minorEastAsia" w:hint="eastAsia"/>
          <w:sz w:val="32"/>
          <w:szCs w:val="32"/>
        </w:rPr>
        <w:t xml:space="preserve"> 万元，占本年支出合计的</w:t>
      </w:r>
      <w:r w:rsidR="00B9737B">
        <w:rPr>
          <w:rFonts w:asciiTheme="minorEastAsia" w:eastAsiaTheme="minorEastAsia" w:hAnsiTheme="minorEastAsia" w:hint="eastAsia"/>
          <w:sz w:val="32"/>
          <w:szCs w:val="32"/>
        </w:rPr>
        <w:t>90.50</w:t>
      </w:r>
      <w:r>
        <w:rPr>
          <w:rFonts w:asciiTheme="minorEastAsia" w:eastAsiaTheme="minorEastAsia" w:hAnsiTheme="minorEastAsia" w:hint="eastAsia"/>
          <w:sz w:val="32"/>
          <w:szCs w:val="32"/>
        </w:rPr>
        <w:t>%，与2019年相比，财政拨款支出减少2272.34万元，减少22.73%，主要是因为机构改革：从2019年5月起原优抚工作、退役军人的接收安置工作及救灾减灾工作职能分别转至退役军人事务局、医疗保障局及应急管理局。</w:t>
      </w:r>
    </w:p>
    <w:p w:rsidR="00D40258" w:rsidRDefault="00A40DFF" w:rsidP="00A40DFF">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t>（二）财政拨款支出决算结构情况</w:t>
      </w:r>
    </w:p>
    <w:p w:rsidR="00D40258" w:rsidRDefault="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w:t>
      </w:r>
      <w:r w:rsidR="00265A1D">
        <w:rPr>
          <w:rFonts w:asciiTheme="minorEastAsia" w:eastAsiaTheme="minorEastAsia" w:hAnsiTheme="minorEastAsia" w:hint="eastAsia"/>
          <w:sz w:val="32"/>
          <w:szCs w:val="32"/>
        </w:rPr>
        <w:t>6984.91</w:t>
      </w:r>
      <w:r>
        <w:rPr>
          <w:rFonts w:asciiTheme="minorEastAsia" w:eastAsiaTheme="minorEastAsia" w:hAnsiTheme="minorEastAsia" w:hint="eastAsia"/>
          <w:sz w:val="32"/>
          <w:szCs w:val="32"/>
        </w:rPr>
        <w:t>万元，主要用于以下方面：一般公共服务（类）支出65万元，占0.84%；社会保障和就业支出6769.38 万元，占87.62%，</w:t>
      </w:r>
      <w:r>
        <w:rPr>
          <w:rFonts w:asciiTheme="minorEastAsia" w:eastAsiaTheme="minorEastAsia" w:hAnsiTheme="minorEastAsia" w:hint="eastAsia"/>
          <w:sz w:val="32"/>
          <w:szCs w:val="32"/>
        </w:rPr>
        <w:lastRenderedPageBreak/>
        <w:t>卫生健康支出支出133.95万元，占1.73%，住房保障支出16.59 万元，占0.22%，其他支出733.10 万元，占9.49%，抗疫特别国债安排的支出7.86 万元，占0.10%。</w:t>
      </w:r>
    </w:p>
    <w:p w:rsidR="00D40258" w:rsidRDefault="00A40DFF" w:rsidP="00A40DFF">
      <w:pPr>
        <w:pStyle w:val="Default"/>
        <w:ind w:firstLineChars="250" w:firstLine="803"/>
        <w:rPr>
          <w:rFonts w:asciiTheme="minorEastAsia" w:eastAsiaTheme="minorEastAsia" w:hAnsiTheme="minorEastAsia"/>
          <w:b/>
          <w:sz w:val="32"/>
          <w:szCs w:val="32"/>
        </w:rPr>
      </w:pPr>
      <w:r>
        <w:rPr>
          <w:rFonts w:asciiTheme="minorEastAsia" w:eastAsiaTheme="minorEastAsia" w:hAnsiTheme="minorEastAsia" w:hint="eastAsia"/>
          <w:b/>
          <w:sz w:val="32"/>
          <w:szCs w:val="32"/>
        </w:rPr>
        <w:t>（三）财政拨款支出决算具体情况</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2020年度财政拨款支出年初预算数为</w:t>
      </w:r>
      <w:r w:rsidR="00D11C8E">
        <w:rPr>
          <w:rFonts w:asciiTheme="minorEastAsia" w:eastAsiaTheme="minorEastAsia" w:hAnsiTheme="minorEastAsia" w:hint="eastAsia"/>
          <w:sz w:val="32"/>
          <w:szCs w:val="32"/>
        </w:rPr>
        <w:t>21072.12万元</w:t>
      </w:r>
      <w:r>
        <w:rPr>
          <w:rFonts w:asciiTheme="minorEastAsia" w:eastAsiaTheme="minorEastAsia" w:hAnsiTheme="minorEastAsia" w:hint="eastAsia"/>
          <w:sz w:val="32"/>
          <w:szCs w:val="32"/>
        </w:rPr>
        <w:t>，</w:t>
      </w:r>
      <w:bookmarkStart w:id="0" w:name="_GoBack"/>
      <w:bookmarkEnd w:id="0"/>
      <w:r>
        <w:rPr>
          <w:rFonts w:asciiTheme="minorEastAsia" w:eastAsiaTheme="minorEastAsia" w:hAnsiTheme="minorEastAsia" w:hint="eastAsia"/>
          <w:sz w:val="32"/>
          <w:szCs w:val="32"/>
        </w:rPr>
        <w:t>支出决算数为</w:t>
      </w:r>
      <w:r w:rsidR="00D11C8E">
        <w:rPr>
          <w:rFonts w:asciiTheme="minorEastAsia" w:eastAsiaTheme="minorEastAsia" w:hAnsiTheme="minorEastAsia"/>
          <w:sz w:val="32"/>
          <w:szCs w:val="32"/>
        </w:rPr>
        <w:t>6984.91</w:t>
      </w:r>
      <w:r>
        <w:rPr>
          <w:rFonts w:asciiTheme="minorEastAsia" w:eastAsiaTheme="minorEastAsia" w:hAnsiTheme="minorEastAsia" w:hint="eastAsia"/>
          <w:sz w:val="32"/>
          <w:szCs w:val="32"/>
        </w:rPr>
        <w:t>万元，完成预算的36.66%，决算数小于年初预算数的主要原因是：救灾仓库、养护楼及殡仪馆建设资金尚未结算，云龙山陵园建设项目按工程进度付款。</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1、一般公共服务支出</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2020年预算为 65 万元，支出决算为 65万元，完成年初预算的100%。</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2、社会保障和就业支出</w:t>
      </w:r>
    </w:p>
    <w:p w:rsidR="00D40258" w:rsidRDefault="00A40DFF">
      <w:pPr>
        <w:pStyle w:val="Default"/>
        <w:ind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2020年预算数为19883.62万元，支出决算为6769.38万元，完成年初预算的35.35%，决算数小于年初预算数的主要原因是：云龙山陵园建设项目按工程进度付款。其中：</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（1）人力资源和社会保障管理事务（款）—行政运行（项）支出决算数104.27元，该科目与年初预算数持平。</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（2）民政管理事务（款）—行政运行（项）支出决算数458.52万元，该科目与年初预算数持平。</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（3）民政管理事务（款）—一般行政管理事务（项）支出决算数35.98元，该科目与年初预算数持平。</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（4）民政管理事务（款）—民间组织管理（项）年初预算数3万元，支出决算数3.41万元，完成年初预算的113.67%。</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（5）民政管理事务（款）—行政区划和地名管理（项）年初预算工作经费3万元，支出决算数79.52万元，支出经费来源主要为上年结转。</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（6）民政管理事务（款）—基层政权和社区建设（项）年初预算1226.95万元，支出决算数1226.95万元，完成年初预算的100%。由财政直接打卡发放。</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（7）民政管理事务（款）—其他民政管理事务支出（项）年初预算1663.67万元，支出决算数1663.67万元，完成年初预算的100%。</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（8）行政事业单位离退休（款）—事业单位离退休（项）年初预算14.2万元，支出决算数14.2万元，完成年初预算的100%。</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（9）行政事业单位离退休（款）—机关事业单位基本养老保险缴费支出（项）年初预算72.84万元，支出决算数72.84万元，完成年初预算的100%。</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（10）行政事业单位离退休（款）—其他行政事业单位养老支出（项）年初预算10.56万元，支出决算数10.56万元，完成年初预算的100%。</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（11）抚恤（款）上年结转228.09万元，支出决算数199.83万元，完成预算的87.61%。</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（12）退役安置（款）年初预算0万元，上年结转93.02万元，支出决算数73.54万元，完成预算的79.06%。</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（13）社会福利（款）—儿童福利（项）年初预算956.23万元，支出决算数860.67万元，完成年初预算的90%。</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（14）社会福利（款）—殡葬（项）年初预算14000万元，支出决算数610万元，完成年初预算的0.04%。</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（15）社会福利（款）—其他社会福利支出（项）支出决算数111.15万元，与年初预算数持平。</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（16）残疾人事业（款）—残疾人生活和护理补贴（项）年初预算1159.21万元，支出决算数1159.21万元，完成年初预算的100%。由财政直接一卡通发放。</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（17）临时救助（款）—临时救助支出（项）上年结转收入19.48万元，支出决算数</w:t>
      </w:r>
      <w:r>
        <w:rPr>
          <w:rFonts w:asciiTheme="minorEastAsia" w:eastAsiaTheme="minorEastAsia" w:hAnsiTheme="minorEastAsia" w:hint="eastAsia"/>
          <w:color w:val="auto"/>
          <w:sz w:val="32"/>
          <w:szCs w:val="32"/>
        </w:rPr>
        <w:t>17.82</w:t>
      </w:r>
      <w:r>
        <w:rPr>
          <w:rFonts w:asciiTheme="minorEastAsia" w:eastAsiaTheme="minorEastAsia" w:hAnsiTheme="minorEastAsia" w:hint="eastAsia"/>
          <w:sz w:val="32"/>
          <w:szCs w:val="32"/>
        </w:rPr>
        <w:t>万元，完成预算的91.48%。</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（18）临时救助（款）—流浪乞讨人员救助支出（项）年初预算30万元，支出决算数30万元，完成年初预算的100%。</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sz w:val="32"/>
          <w:szCs w:val="32"/>
        </w:rPr>
        <w:t>（</w:t>
      </w:r>
      <w:r>
        <w:rPr>
          <w:rFonts w:asciiTheme="minorEastAsia" w:eastAsiaTheme="minorEastAsia" w:hAnsiTheme="minorEastAsia" w:hint="eastAsia"/>
          <w:sz w:val="32"/>
          <w:szCs w:val="32"/>
        </w:rPr>
        <w:t>19</w:t>
      </w:r>
      <w:r>
        <w:rPr>
          <w:rFonts w:asciiTheme="minorEastAsia" w:eastAsiaTheme="minorEastAsia" w:hAnsiTheme="minorEastAsia"/>
          <w:sz w:val="32"/>
          <w:szCs w:val="32"/>
        </w:rPr>
        <w:t>）其他生活救助（款）—其他农村生活救助（项）</w:t>
      </w:r>
      <w:r>
        <w:rPr>
          <w:rFonts w:asciiTheme="minorEastAsia" w:eastAsiaTheme="minorEastAsia" w:hAnsiTheme="minorEastAsia" w:hint="eastAsia"/>
          <w:sz w:val="32"/>
          <w:szCs w:val="32"/>
        </w:rPr>
        <w:t>年初预算30万元，上年结转2.16万元，</w:t>
      </w:r>
      <w:r>
        <w:rPr>
          <w:rFonts w:asciiTheme="minorEastAsia" w:eastAsiaTheme="minorEastAsia" w:hAnsiTheme="minorEastAsia"/>
          <w:sz w:val="32"/>
          <w:szCs w:val="32"/>
        </w:rPr>
        <w:t>支出决算数</w:t>
      </w:r>
      <w:r>
        <w:rPr>
          <w:rFonts w:asciiTheme="minorEastAsia" w:eastAsiaTheme="minorEastAsia" w:hAnsiTheme="minorEastAsia" w:hint="eastAsia"/>
          <w:sz w:val="32"/>
          <w:szCs w:val="32"/>
        </w:rPr>
        <w:t>31.42</w:t>
      </w:r>
      <w:r>
        <w:rPr>
          <w:rFonts w:asciiTheme="minorEastAsia" w:eastAsiaTheme="minorEastAsia" w:hAnsiTheme="minorEastAsia"/>
          <w:sz w:val="32"/>
          <w:szCs w:val="32"/>
        </w:rPr>
        <w:t>万元，</w:t>
      </w:r>
      <w:r>
        <w:rPr>
          <w:rFonts w:asciiTheme="minorEastAsia" w:eastAsiaTheme="minorEastAsia" w:hAnsiTheme="minorEastAsia" w:hint="eastAsia"/>
          <w:sz w:val="32"/>
          <w:szCs w:val="32"/>
        </w:rPr>
        <w:t>完成预算的97.7%。</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sz w:val="32"/>
          <w:szCs w:val="32"/>
        </w:rPr>
        <w:t>（</w:t>
      </w:r>
      <w:r>
        <w:rPr>
          <w:rFonts w:asciiTheme="minorEastAsia" w:eastAsiaTheme="minorEastAsia" w:hAnsiTheme="minorEastAsia" w:hint="eastAsia"/>
          <w:sz w:val="32"/>
          <w:szCs w:val="32"/>
        </w:rPr>
        <w:t>20</w:t>
      </w:r>
      <w:r>
        <w:rPr>
          <w:rFonts w:asciiTheme="minorEastAsia" w:eastAsiaTheme="minorEastAsia" w:hAnsiTheme="minorEastAsia"/>
          <w:sz w:val="32"/>
          <w:szCs w:val="32"/>
        </w:rPr>
        <w:t>）财政对基本养老保险基金的补助（款）—财政对城乡居民基本养老保险基金的补助（项）</w:t>
      </w:r>
      <w:r>
        <w:rPr>
          <w:rFonts w:asciiTheme="minorEastAsia" w:eastAsiaTheme="minorEastAsia" w:hAnsiTheme="minorEastAsia" w:hint="eastAsia"/>
          <w:sz w:val="32"/>
          <w:szCs w:val="32"/>
        </w:rPr>
        <w:t>上年结转1.78万元，</w:t>
      </w:r>
      <w:r>
        <w:rPr>
          <w:rFonts w:asciiTheme="minorEastAsia" w:eastAsiaTheme="minorEastAsia" w:hAnsiTheme="minorEastAsia"/>
          <w:sz w:val="32"/>
          <w:szCs w:val="32"/>
        </w:rPr>
        <w:t>支出决算数</w:t>
      </w:r>
      <w:r>
        <w:rPr>
          <w:rFonts w:asciiTheme="minorEastAsia" w:eastAsiaTheme="minorEastAsia" w:hAnsiTheme="minorEastAsia" w:hint="eastAsia"/>
          <w:sz w:val="32"/>
          <w:szCs w:val="32"/>
        </w:rPr>
        <w:t>1.78</w:t>
      </w:r>
      <w:r>
        <w:rPr>
          <w:rFonts w:asciiTheme="minorEastAsia" w:eastAsiaTheme="minorEastAsia" w:hAnsiTheme="minorEastAsia"/>
          <w:sz w:val="32"/>
          <w:szCs w:val="32"/>
        </w:rPr>
        <w:t>万元，</w:t>
      </w:r>
      <w:r>
        <w:rPr>
          <w:rFonts w:asciiTheme="minorEastAsia" w:eastAsiaTheme="minorEastAsia" w:hAnsiTheme="minorEastAsia" w:hint="eastAsia"/>
          <w:sz w:val="32"/>
          <w:szCs w:val="32"/>
        </w:rPr>
        <w:t>完成预算的100%。</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sz w:val="32"/>
          <w:szCs w:val="32"/>
        </w:rPr>
        <w:t>（</w:t>
      </w:r>
      <w:r>
        <w:rPr>
          <w:rFonts w:asciiTheme="minorEastAsia" w:eastAsiaTheme="minorEastAsia" w:hAnsiTheme="minorEastAsia" w:hint="eastAsia"/>
          <w:sz w:val="32"/>
          <w:szCs w:val="32"/>
        </w:rPr>
        <w:t>21</w:t>
      </w:r>
      <w:r>
        <w:rPr>
          <w:rFonts w:asciiTheme="minorEastAsia" w:eastAsiaTheme="minorEastAsia" w:hAnsiTheme="minorEastAsia"/>
          <w:sz w:val="32"/>
          <w:szCs w:val="32"/>
        </w:rPr>
        <w:t>）财政对其他社会保险基金的补助（款）— 财政对工伤保险基金的补助（项）支出决算数</w:t>
      </w:r>
      <w:r>
        <w:rPr>
          <w:rFonts w:asciiTheme="minorEastAsia" w:eastAsiaTheme="minorEastAsia" w:hAnsiTheme="minorEastAsia" w:hint="eastAsia"/>
          <w:sz w:val="32"/>
          <w:szCs w:val="32"/>
        </w:rPr>
        <w:t>2.37</w:t>
      </w:r>
      <w:r>
        <w:rPr>
          <w:rFonts w:asciiTheme="minorEastAsia" w:eastAsiaTheme="minorEastAsia" w:hAnsiTheme="minorEastAsia"/>
          <w:sz w:val="32"/>
          <w:szCs w:val="32"/>
        </w:rPr>
        <w:t>万元，与年初预算数持平。</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（22</w:t>
      </w:r>
      <w:r>
        <w:rPr>
          <w:rFonts w:asciiTheme="minorEastAsia" w:eastAsiaTheme="minorEastAsia" w:hAnsiTheme="minorEastAsia"/>
          <w:sz w:val="32"/>
          <w:szCs w:val="32"/>
        </w:rPr>
        <w:t>）财政对其他社会保险基金的补助（款）— 财政对生育保险基金的补助（项）支出决算数</w:t>
      </w:r>
      <w:r>
        <w:rPr>
          <w:rFonts w:asciiTheme="minorEastAsia" w:eastAsiaTheme="minorEastAsia" w:hAnsiTheme="minorEastAsia" w:hint="eastAsia"/>
          <w:sz w:val="32"/>
          <w:szCs w:val="32"/>
        </w:rPr>
        <w:t>1.67</w:t>
      </w:r>
      <w:r>
        <w:rPr>
          <w:rFonts w:asciiTheme="minorEastAsia" w:eastAsiaTheme="minorEastAsia" w:hAnsiTheme="minorEastAsia"/>
          <w:sz w:val="32"/>
          <w:szCs w:val="32"/>
        </w:rPr>
        <w:t>万元，与年初预算数持平。</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3、卫生健康支出</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年初预算为160.31万元，支出决算为133.94万元，完成年初预算的83.55%。</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4、住房保障支出</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年初预算为16.59万元，支出决算为16.59万元，完成年初预算的100%。</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5、其他支出</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其他支出主要是用于社会福利的彩票公益金支出，年初预算为946.6万元，支出决算为740.96万元，完成年初预算的78.28%。</w:t>
      </w:r>
    </w:p>
    <w:p w:rsidR="00D40258" w:rsidRDefault="00A40DFF" w:rsidP="00A40DFF">
      <w:pPr>
        <w:pStyle w:val="Default"/>
        <w:ind w:firstLineChars="200" w:firstLine="643"/>
        <w:rPr>
          <w:rFonts w:hAnsi="黑体"/>
          <w:b/>
          <w:sz w:val="32"/>
          <w:szCs w:val="32"/>
        </w:rPr>
      </w:pPr>
      <w:r>
        <w:rPr>
          <w:rFonts w:hAnsi="黑体" w:hint="eastAsia"/>
          <w:b/>
          <w:sz w:val="32"/>
          <w:szCs w:val="32"/>
        </w:rPr>
        <w:t>六、一般公共预算财政拨款基本支出决算情况说明</w:t>
      </w:r>
    </w:p>
    <w:p w:rsidR="00D40258" w:rsidRDefault="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2020年度财政拨款基本支出7</w:t>
      </w:r>
      <w:r w:rsidR="00B9737B">
        <w:rPr>
          <w:rFonts w:asciiTheme="minorEastAsia" w:eastAsiaTheme="minorEastAsia" w:hAnsiTheme="minorEastAsia" w:hint="eastAsia"/>
          <w:sz w:val="32"/>
          <w:szCs w:val="32"/>
        </w:rPr>
        <w:t>25.47</w:t>
      </w:r>
      <w:r>
        <w:rPr>
          <w:rFonts w:asciiTheme="minorEastAsia" w:eastAsiaTheme="minorEastAsia" w:hAnsiTheme="minorEastAsia" w:hint="eastAsia"/>
          <w:sz w:val="32"/>
          <w:szCs w:val="32"/>
        </w:rPr>
        <w:t>万元，其中：人员经费</w:t>
      </w:r>
      <w:r w:rsidR="00B9737B">
        <w:rPr>
          <w:rFonts w:asciiTheme="minorEastAsia" w:eastAsiaTheme="minorEastAsia" w:hAnsiTheme="minorEastAsia" w:hint="eastAsia"/>
          <w:sz w:val="32"/>
          <w:szCs w:val="32"/>
        </w:rPr>
        <w:t>698.13</w:t>
      </w:r>
      <w:r>
        <w:rPr>
          <w:rFonts w:asciiTheme="minorEastAsia" w:eastAsiaTheme="minorEastAsia" w:hAnsiTheme="minorEastAsia" w:hint="eastAsia"/>
          <w:sz w:val="32"/>
          <w:szCs w:val="32"/>
        </w:rPr>
        <w:t>万元，占基本支出的96.</w:t>
      </w:r>
      <w:r w:rsidR="00B9737B">
        <w:rPr>
          <w:rFonts w:asciiTheme="minorEastAsia" w:eastAsiaTheme="minorEastAsia" w:hAnsiTheme="minorEastAsia" w:hint="eastAsia"/>
          <w:sz w:val="32"/>
          <w:szCs w:val="32"/>
        </w:rPr>
        <w:t>23</w:t>
      </w:r>
      <w:r>
        <w:rPr>
          <w:rFonts w:asciiTheme="minorEastAsia" w:eastAsiaTheme="minorEastAsia" w:hAnsiTheme="minorEastAsia" w:hint="eastAsia"/>
          <w:sz w:val="32"/>
          <w:szCs w:val="32"/>
        </w:rPr>
        <w:t>%,主要包括基本工资、津贴补贴、奖金、伙食补助费、</w:t>
      </w:r>
      <w:r>
        <w:rPr>
          <w:rFonts w:asciiTheme="minorEastAsia" w:eastAsiaTheme="minorEastAsia" w:hAnsiTheme="minorEastAsia" w:hint="eastAsia"/>
          <w:sz w:val="32"/>
          <w:szCs w:val="32"/>
        </w:rPr>
        <w:lastRenderedPageBreak/>
        <w:t>机关事业单位养老保险缴费、其他社会保障缴费、住房公积金、医疗费、其他工资福利支出、离休费、抚恤金、其他对个人和家庭的补助支出；公用经费27.35万元，占基本支出的3.</w:t>
      </w:r>
      <w:r w:rsidR="00B9737B">
        <w:rPr>
          <w:rFonts w:asciiTheme="minorEastAsia" w:eastAsiaTheme="minorEastAsia" w:hAnsiTheme="minorEastAsia" w:hint="eastAsia"/>
          <w:sz w:val="32"/>
          <w:szCs w:val="32"/>
        </w:rPr>
        <w:t>77</w:t>
      </w:r>
      <w:r>
        <w:rPr>
          <w:rFonts w:asciiTheme="minorEastAsia" w:eastAsiaTheme="minorEastAsia" w:hAnsiTheme="minorEastAsia" w:hint="eastAsia"/>
          <w:sz w:val="32"/>
          <w:szCs w:val="32"/>
        </w:rPr>
        <w:t>%，主要包括办公费、印刷费、水费、电费、邮电费、差旅费、因公出国（境）费用、会议费、培训费、公务接待费、工会经费、福利费、公务用车运行维护费、其他交通费用、其他商品和服务支出、资本性支出。</w:t>
      </w:r>
    </w:p>
    <w:p w:rsidR="00D40258" w:rsidRDefault="00A40DFF">
      <w:pPr>
        <w:pStyle w:val="Default"/>
        <w:rPr>
          <w:rFonts w:hAnsi="黑体"/>
          <w:b/>
          <w:sz w:val="32"/>
          <w:szCs w:val="32"/>
        </w:rPr>
      </w:pPr>
      <w:r>
        <w:rPr>
          <w:rFonts w:hAnsi="黑体" w:hint="eastAsia"/>
          <w:b/>
          <w:sz w:val="32"/>
          <w:szCs w:val="32"/>
        </w:rPr>
        <w:t>七、一般公共预算财政拨款三公经费支出决算情况说明</w:t>
      </w:r>
    </w:p>
    <w:p w:rsidR="00D40258" w:rsidRDefault="00A40DFF">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“三公”经费财政拨款支出预算为</w:t>
      </w:r>
      <w:r w:rsidR="00171BFB">
        <w:rPr>
          <w:rFonts w:asciiTheme="minorEastAsia" w:eastAsiaTheme="minorEastAsia" w:hAnsiTheme="minorEastAsia" w:hint="eastAsia"/>
          <w:sz w:val="32"/>
          <w:szCs w:val="32"/>
        </w:rPr>
        <w:t>34.05</w:t>
      </w:r>
      <w:r>
        <w:rPr>
          <w:rFonts w:asciiTheme="minorEastAsia" w:eastAsiaTheme="minorEastAsia" w:hAnsiTheme="minorEastAsia" w:hint="eastAsia"/>
          <w:sz w:val="32"/>
          <w:szCs w:val="32"/>
        </w:rPr>
        <w:t>万元，支出决算为5.53万元，完成预算的</w:t>
      </w:r>
      <w:r w:rsidR="00171BFB">
        <w:rPr>
          <w:rFonts w:asciiTheme="minorEastAsia" w:eastAsiaTheme="minorEastAsia" w:hAnsiTheme="minorEastAsia" w:hint="eastAsia"/>
          <w:sz w:val="32"/>
          <w:szCs w:val="32"/>
        </w:rPr>
        <w:t>16.24</w:t>
      </w:r>
      <w:r>
        <w:rPr>
          <w:rFonts w:asciiTheme="minorEastAsia" w:eastAsiaTheme="minorEastAsia" w:hAnsiTheme="minorEastAsia" w:hint="eastAsia"/>
          <w:sz w:val="32"/>
          <w:szCs w:val="32"/>
        </w:rPr>
        <w:t>%，其中：</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因公出国（境）费支出预算为0万元，支出决算为0万元。</w:t>
      </w:r>
    </w:p>
    <w:p w:rsidR="00D40258" w:rsidRDefault="00A40DFF">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公务接待费支出预算为</w:t>
      </w:r>
      <w:r w:rsidR="00171BFB">
        <w:rPr>
          <w:rFonts w:asciiTheme="minorEastAsia" w:eastAsiaTheme="minorEastAsia" w:hAnsiTheme="minorEastAsia" w:hint="eastAsia"/>
          <w:sz w:val="32"/>
          <w:szCs w:val="32"/>
        </w:rPr>
        <w:t>14.59</w:t>
      </w:r>
      <w:r>
        <w:rPr>
          <w:rFonts w:asciiTheme="minorEastAsia" w:eastAsiaTheme="minorEastAsia" w:hAnsiTheme="minorEastAsia" w:hint="eastAsia"/>
          <w:sz w:val="32"/>
          <w:szCs w:val="32"/>
        </w:rPr>
        <w:t>万元，支出决算为1.14万元，完成预算的</w:t>
      </w:r>
      <w:r w:rsidR="00171BFB">
        <w:rPr>
          <w:rFonts w:asciiTheme="minorEastAsia" w:eastAsiaTheme="minorEastAsia" w:hAnsiTheme="minorEastAsia" w:hint="eastAsia"/>
          <w:sz w:val="32"/>
          <w:szCs w:val="32"/>
        </w:rPr>
        <w:t>7.81</w:t>
      </w:r>
      <w:r>
        <w:rPr>
          <w:rFonts w:asciiTheme="minorEastAsia" w:eastAsiaTheme="minorEastAsia" w:hAnsiTheme="minorEastAsia" w:hint="eastAsia"/>
          <w:sz w:val="32"/>
          <w:szCs w:val="32"/>
        </w:rPr>
        <w:t>%。与上年相比减少13.45万元，减少92.18%，减少主要原因是不断规范公务接待管理，严格控制陪餐人数，有效控制了公务接待费开支。</w:t>
      </w:r>
    </w:p>
    <w:p w:rsidR="00D40258" w:rsidRDefault="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公务用车购置费及运行维护费支出预算为</w:t>
      </w:r>
      <w:r w:rsidR="00171BFB">
        <w:rPr>
          <w:rFonts w:asciiTheme="minorEastAsia" w:eastAsiaTheme="minorEastAsia" w:hAnsiTheme="minorEastAsia" w:hint="eastAsia"/>
          <w:sz w:val="32"/>
          <w:szCs w:val="32"/>
        </w:rPr>
        <w:t>19.46</w:t>
      </w:r>
      <w:r>
        <w:rPr>
          <w:rFonts w:asciiTheme="minorEastAsia" w:eastAsiaTheme="minorEastAsia" w:hAnsiTheme="minorEastAsia" w:hint="eastAsia"/>
          <w:sz w:val="32"/>
          <w:szCs w:val="32"/>
        </w:rPr>
        <w:t>万元，支出决算为4.39万元，完成预算的</w:t>
      </w:r>
      <w:r w:rsidR="00171BFB">
        <w:rPr>
          <w:rFonts w:asciiTheme="minorEastAsia" w:eastAsiaTheme="minorEastAsia" w:hAnsiTheme="minorEastAsia" w:hint="eastAsia"/>
          <w:sz w:val="32"/>
          <w:szCs w:val="32"/>
        </w:rPr>
        <w:t>22.56</w:t>
      </w:r>
      <w:r>
        <w:rPr>
          <w:rFonts w:asciiTheme="minorEastAsia" w:eastAsiaTheme="minorEastAsia" w:hAnsiTheme="minorEastAsia" w:hint="eastAsia"/>
          <w:sz w:val="32"/>
          <w:szCs w:val="32"/>
        </w:rPr>
        <w:t>%。与上年相比减少7.08万元，减少61.67%，决算数小于年初预算数的主要原因是坚持厉行节约，进一步规范公务用车使用管理。</w:t>
      </w:r>
    </w:p>
    <w:p w:rsidR="00D40258" w:rsidRDefault="00A40DFF">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D40258" w:rsidRDefault="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2020年度“三公”经费财政拨款支出决算中，公务接待费支出决算1.14万元，占20.61%,因公出国（境）费支出决算0万元,公务用车购置费及运行维护费支出决算4.39万元，占79.39%。其中：</w:t>
      </w:r>
    </w:p>
    <w:p w:rsidR="00D40258" w:rsidRDefault="00A40DFF">
      <w:pPr>
        <w:pStyle w:val="Default"/>
        <w:ind w:firstLineChars="200" w:firstLine="640"/>
        <w:rPr>
          <w:rFonts w:asciiTheme="minorEastAsia" w:eastAsiaTheme="minorEastAsia" w:hAnsiTheme="minorEastAsia"/>
          <w:b/>
          <w:sz w:val="32"/>
          <w:szCs w:val="32"/>
        </w:rPr>
      </w:pPr>
      <w:r>
        <w:rPr>
          <w:rFonts w:asciiTheme="minorEastAsia" w:eastAsiaTheme="minorEastAsia" w:hAnsiTheme="minorEastAsia" w:hint="eastAsia"/>
          <w:sz w:val="32"/>
          <w:szCs w:val="32"/>
        </w:rPr>
        <w:t>1、因公出国（境）费支出决算为0万元，全年安排因公出国（境）团组0个，累计0人次。</w:t>
      </w:r>
    </w:p>
    <w:p w:rsidR="00D40258" w:rsidRDefault="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2、公务接待费支出决算为1.14万元，全年共接待来访38批次、来宾196人次，主要是上级组织检查、指导、督导、调研等公务活动的接待支出。</w:t>
      </w:r>
    </w:p>
    <w:p w:rsidR="00D40258" w:rsidRDefault="00A40DFF">
      <w:pPr>
        <w:ind w:firstLineChars="250" w:firstLine="800"/>
        <w:rPr>
          <w:rFonts w:asciiTheme="minorEastAsia" w:hAnsiTheme="minorEastAsia" w:cs="黑体"/>
          <w:color w:val="000000"/>
          <w:kern w:val="0"/>
          <w:sz w:val="32"/>
          <w:szCs w:val="32"/>
        </w:rPr>
      </w:pPr>
      <w:r>
        <w:rPr>
          <w:rFonts w:asciiTheme="minorEastAsia" w:hAnsiTheme="minorEastAsia" w:hint="eastAsia"/>
          <w:sz w:val="32"/>
          <w:szCs w:val="32"/>
        </w:rPr>
        <w:t>3、公务用车购置费及运行维护费支出决算为4.39万元，其中：公务用车购置费0万元</w:t>
      </w:r>
      <w:r>
        <w:rPr>
          <w:rFonts w:asciiTheme="minorEastAsia" w:hAnsiTheme="minorEastAsia" w:hint="eastAsia"/>
          <w:color w:val="000000" w:themeColor="text1"/>
          <w:sz w:val="32"/>
          <w:szCs w:val="32"/>
        </w:rPr>
        <w:t>。</w:t>
      </w:r>
      <w:r>
        <w:rPr>
          <w:rFonts w:asciiTheme="minorEastAsia" w:hAnsiTheme="minorEastAsia" w:hint="eastAsia"/>
          <w:sz w:val="32"/>
          <w:szCs w:val="32"/>
        </w:rPr>
        <w:t>公务用车运行维护费4.39万元，主要是用于市内因公出行及县委、县委组织部派出的专项检查督查所需车辆燃料费、维修费、过桥过路费、保险费等支出。截止2020年12月31日，我单位财政拨款开支的公务用车保有量为2辆。</w:t>
      </w:r>
    </w:p>
    <w:p w:rsidR="00D40258" w:rsidRDefault="00A40DFF">
      <w:pPr>
        <w:pStyle w:val="Default"/>
        <w:rPr>
          <w:rFonts w:hAnsi="黑体"/>
          <w:b/>
          <w:sz w:val="32"/>
          <w:szCs w:val="32"/>
        </w:rPr>
      </w:pPr>
      <w:r>
        <w:rPr>
          <w:rFonts w:hAnsi="黑体" w:hint="eastAsia"/>
          <w:b/>
          <w:sz w:val="32"/>
          <w:szCs w:val="32"/>
        </w:rPr>
        <w:t>八、政府性基金预算收入支出决算情况</w:t>
      </w:r>
    </w:p>
    <w:p w:rsidR="00D40258" w:rsidRDefault="00A40DFF">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2020年度政府性基金预算财政拨款收入946.6万元；年初结转和结余832.07万元；支出732.96万元，其中基本支出0万元，项目支出732.96万元；年末结转和结余1045.71万元。</w:t>
      </w:r>
    </w:p>
    <w:p w:rsidR="00A40DFF" w:rsidRPr="00A40DFF" w:rsidRDefault="00A40DFF" w:rsidP="00A40DFF">
      <w:pPr>
        <w:pStyle w:val="Default"/>
        <w:rPr>
          <w:rFonts w:hAnsi="黑体"/>
          <w:b/>
          <w:sz w:val="32"/>
          <w:szCs w:val="32"/>
        </w:rPr>
      </w:pPr>
      <w:r w:rsidRPr="00A40DFF">
        <w:rPr>
          <w:rFonts w:hAnsi="黑体" w:hint="eastAsia"/>
          <w:b/>
          <w:sz w:val="32"/>
          <w:szCs w:val="32"/>
        </w:rPr>
        <w:t>九、国有资本经营预算财政拨款支出决算情况</w:t>
      </w:r>
    </w:p>
    <w:p w:rsidR="00A40DFF" w:rsidRDefault="00A40DFF" w:rsidP="00A40DFF">
      <w:pPr>
        <w:pStyle w:val="Default"/>
        <w:ind w:firstLineChars="200" w:firstLine="640"/>
        <w:rPr>
          <w:rFonts w:asciiTheme="minorEastAsia" w:eastAsiaTheme="minorEastAsia" w:hAnsiTheme="minorEastAsia"/>
          <w:sz w:val="32"/>
          <w:szCs w:val="32"/>
        </w:rPr>
      </w:pPr>
      <w:r w:rsidRPr="00A40DFF">
        <w:rPr>
          <w:rFonts w:asciiTheme="minorEastAsia" w:eastAsiaTheme="minorEastAsia" w:hAnsiTheme="minorEastAsia" w:hint="eastAsia"/>
          <w:sz w:val="32"/>
          <w:szCs w:val="32"/>
        </w:rPr>
        <w:t>本单位2020年没有国有资本经营预算财政拨款支出。</w:t>
      </w:r>
    </w:p>
    <w:p w:rsidR="00D40258" w:rsidRDefault="00BF563C" w:rsidP="00A40DFF">
      <w:pPr>
        <w:pStyle w:val="Default"/>
        <w:rPr>
          <w:rFonts w:asciiTheme="minorEastAsia" w:hAnsiTheme="minorEastAsia"/>
          <w:b/>
          <w:sz w:val="32"/>
          <w:szCs w:val="32"/>
        </w:rPr>
      </w:pPr>
      <w:r>
        <w:rPr>
          <w:rFonts w:hAnsi="黑体" w:hint="eastAsia"/>
          <w:b/>
          <w:sz w:val="32"/>
          <w:szCs w:val="32"/>
        </w:rPr>
        <w:t>十</w:t>
      </w:r>
      <w:r w:rsidR="00A40DFF">
        <w:rPr>
          <w:rFonts w:hAnsi="黑体" w:hint="eastAsia"/>
          <w:b/>
          <w:sz w:val="32"/>
          <w:szCs w:val="32"/>
        </w:rPr>
        <w:t>、</w:t>
      </w:r>
      <w:r w:rsidR="00A40DFF">
        <w:rPr>
          <w:rFonts w:asciiTheme="minorEastAsia" w:hAnsiTheme="minorEastAsia" w:hint="eastAsia"/>
          <w:b/>
          <w:sz w:val="32"/>
          <w:szCs w:val="32"/>
        </w:rPr>
        <w:t>机关运行经费支出情况</w:t>
      </w:r>
    </w:p>
    <w:p w:rsidR="00D40258" w:rsidRDefault="00A40DFF">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本部门2020年度机关运行经费支出27.35万元，比年初预算数减少28.8万元，减少5.03%。主要原因是：贯彻落实“过紧日子”有关要求，压减一般性支出。</w:t>
      </w:r>
    </w:p>
    <w:p w:rsidR="00D40258" w:rsidRPr="00A40DFF" w:rsidRDefault="00BF563C" w:rsidP="00A40DFF">
      <w:pPr>
        <w:rPr>
          <w:rFonts w:asciiTheme="minorEastAsia" w:eastAsia="黑体" w:hAnsiTheme="minorEastAsia" w:cs="黑体"/>
          <w:b/>
          <w:color w:val="000000"/>
          <w:kern w:val="0"/>
          <w:sz w:val="32"/>
          <w:szCs w:val="32"/>
        </w:rPr>
      </w:pPr>
      <w:r>
        <w:rPr>
          <w:rFonts w:asciiTheme="minorEastAsia" w:eastAsia="黑体" w:hAnsiTheme="minorEastAsia" w:cs="黑体" w:hint="eastAsia"/>
          <w:b/>
          <w:color w:val="000000"/>
          <w:kern w:val="0"/>
          <w:sz w:val="32"/>
          <w:szCs w:val="32"/>
        </w:rPr>
        <w:t>十一</w:t>
      </w:r>
      <w:r w:rsidR="00A40DFF" w:rsidRPr="00A40DFF">
        <w:rPr>
          <w:rFonts w:asciiTheme="minorEastAsia" w:eastAsia="黑体" w:hAnsiTheme="minorEastAsia" w:cs="黑体" w:hint="eastAsia"/>
          <w:b/>
          <w:color w:val="000000"/>
          <w:kern w:val="0"/>
          <w:sz w:val="32"/>
          <w:szCs w:val="32"/>
        </w:rPr>
        <w:t>、一般性支出情况</w:t>
      </w:r>
    </w:p>
    <w:p w:rsidR="00D40258" w:rsidRDefault="00A40DFF">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2020年本部门开支会议费</w:t>
      </w:r>
      <w:r w:rsidR="00BE5FD7">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万元，</w:t>
      </w:r>
      <w:r w:rsidR="00BE5FD7">
        <w:rPr>
          <w:rFonts w:asciiTheme="minorEastAsia" w:hAnsiTheme="minorEastAsia" w:cs="黑体" w:hint="eastAsia"/>
          <w:color w:val="000000"/>
          <w:kern w:val="0"/>
          <w:sz w:val="32"/>
          <w:szCs w:val="32"/>
        </w:rPr>
        <w:t>差旅费0.35万元，用于干部下乡扶贫工作的差旅费用报销</w:t>
      </w:r>
      <w:r>
        <w:rPr>
          <w:rFonts w:asciiTheme="minorEastAsia" w:hAnsiTheme="minorEastAsia" w:cs="黑体" w:hint="eastAsia"/>
          <w:color w:val="000000"/>
          <w:kern w:val="0"/>
          <w:sz w:val="32"/>
          <w:szCs w:val="32"/>
        </w:rPr>
        <w:t>。</w:t>
      </w:r>
    </w:p>
    <w:p w:rsidR="00D40258" w:rsidRPr="00A40DFF" w:rsidRDefault="00A40DFF" w:rsidP="00A40DFF">
      <w:pPr>
        <w:rPr>
          <w:rFonts w:asciiTheme="minorEastAsia" w:eastAsia="黑体" w:hAnsiTheme="minorEastAsia" w:cs="黑体"/>
          <w:b/>
          <w:color w:val="000000"/>
          <w:kern w:val="0"/>
          <w:sz w:val="32"/>
          <w:szCs w:val="32"/>
        </w:rPr>
      </w:pPr>
      <w:r w:rsidRPr="00A40DFF">
        <w:rPr>
          <w:rFonts w:asciiTheme="minorEastAsia" w:eastAsia="黑体" w:hAnsiTheme="minorEastAsia" w:cs="黑体" w:hint="eastAsia"/>
          <w:b/>
          <w:color w:val="000000"/>
          <w:kern w:val="0"/>
          <w:sz w:val="32"/>
          <w:szCs w:val="32"/>
        </w:rPr>
        <w:t>十</w:t>
      </w:r>
      <w:r w:rsidR="00BF563C">
        <w:rPr>
          <w:rFonts w:asciiTheme="minorEastAsia" w:eastAsia="黑体" w:hAnsiTheme="minorEastAsia" w:cs="黑体" w:hint="eastAsia"/>
          <w:b/>
          <w:color w:val="000000"/>
          <w:kern w:val="0"/>
          <w:sz w:val="32"/>
          <w:szCs w:val="32"/>
        </w:rPr>
        <w:t>二</w:t>
      </w:r>
      <w:r w:rsidRPr="00A40DFF">
        <w:rPr>
          <w:rFonts w:asciiTheme="minorEastAsia" w:eastAsia="黑体" w:hAnsiTheme="minorEastAsia" w:cs="黑体" w:hint="eastAsia"/>
          <w:b/>
          <w:color w:val="000000"/>
          <w:kern w:val="0"/>
          <w:sz w:val="32"/>
          <w:szCs w:val="32"/>
        </w:rPr>
        <w:t>、政府采购支出情况</w:t>
      </w:r>
    </w:p>
    <w:p w:rsidR="00D40258" w:rsidRDefault="00A40DFF">
      <w:pPr>
        <w:ind w:firstLineChars="200" w:firstLine="640"/>
        <w:rPr>
          <w:rFonts w:asciiTheme="minorEastAsia" w:hAnsiTheme="minorEastAsia" w:cs="黑体"/>
          <w:i/>
          <w:color w:val="FF0000"/>
          <w:kern w:val="0"/>
          <w:sz w:val="32"/>
          <w:szCs w:val="32"/>
        </w:rPr>
      </w:pPr>
      <w:r>
        <w:rPr>
          <w:rFonts w:asciiTheme="minorEastAsia" w:hAnsiTheme="minorEastAsia" w:cs="黑体" w:hint="eastAsia"/>
          <w:color w:val="000000"/>
          <w:kern w:val="0"/>
          <w:sz w:val="32"/>
          <w:szCs w:val="32"/>
        </w:rPr>
        <w:t>本部门2020年度政府采购支出总额249.51万元，其中：政府采购货物支出143.46万元、政府采购服务支出106.05万元。</w:t>
      </w:r>
    </w:p>
    <w:p w:rsidR="00D40258" w:rsidRPr="00A40DFF" w:rsidRDefault="00A40DFF" w:rsidP="00A40DFF">
      <w:pPr>
        <w:rPr>
          <w:rFonts w:asciiTheme="minorEastAsia" w:eastAsia="黑体" w:hAnsiTheme="minorEastAsia" w:cs="黑体"/>
          <w:b/>
          <w:color w:val="000000"/>
          <w:kern w:val="0"/>
          <w:sz w:val="32"/>
          <w:szCs w:val="32"/>
        </w:rPr>
      </w:pPr>
      <w:r w:rsidRPr="00A40DFF">
        <w:rPr>
          <w:rFonts w:asciiTheme="minorEastAsia" w:eastAsia="黑体" w:hAnsiTheme="minorEastAsia" w:cs="黑体" w:hint="eastAsia"/>
          <w:b/>
          <w:color w:val="000000"/>
          <w:kern w:val="0"/>
          <w:sz w:val="32"/>
          <w:szCs w:val="32"/>
        </w:rPr>
        <w:t>十</w:t>
      </w:r>
      <w:r w:rsidR="00BF563C">
        <w:rPr>
          <w:rFonts w:asciiTheme="minorEastAsia" w:eastAsia="黑体" w:hAnsiTheme="minorEastAsia" w:cs="黑体" w:hint="eastAsia"/>
          <w:b/>
          <w:color w:val="000000"/>
          <w:kern w:val="0"/>
          <w:sz w:val="32"/>
          <w:szCs w:val="32"/>
        </w:rPr>
        <w:t>三</w:t>
      </w:r>
      <w:r w:rsidRPr="00A40DFF">
        <w:rPr>
          <w:rFonts w:asciiTheme="minorEastAsia" w:eastAsia="黑体" w:hAnsiTheme="minorEastAsia" w:cs="黑体" w:hint="eastAsia"/>
          <w:b/>
          <w:color w:val="000000"/>
          <w:kern w:val="0"/>
          <w:sz w:val="32"/>
          <w:szCs w:val="32"/>
        </w:rPr>
        <w:t>、国有资产占用情况</w:t>
      </w:r>
    </w:p>
    <w:p w:rsidR="00D40258" w:rsidRDefault="00A40DFF">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lastRenderedPageBreak/>
        <w:t>截至2020年12月31日，本单位共有车辆2辆，均为一般公务用车；单位无价值50万元以上通用设备，单位无价值100万元以上专用设备。</w:t>
      </w:r>
    </w:p>
    <w:p w:rsidR="00A40DFF" w:rsidRDefault="00A40DFF" w:rsidP="00A40DFF">
      <w:pPr>
        <w:pStyle w:val="Default"/>
        <w:rPr>
          <w:rFonts w:hAnsi="黑体"/>
          <w:b/>
          <w:sz w:val="32"/>
          <w:szCs w:val="32"/>
        </w:rPr>
      </w:pPr>
      <w:r>
        <w:rPr>
          <w:rFonts w:hAnsi="黑体" w:hint="eastAsia"/>
          <w:b/>
          <w:sz w:val="32"/>
          <w:szCs w:val="32"/>
        </w:rPr>
        <w:t>十</w:t>
      </w:r>
      <w:r w:rsidR="00BF563C">
        <w:rPr>
          <w:rFonts w:hAnsi="黑体" w:hint="eastAsia"/>
          <w:b/>
          <w:sz w:val="32"/>
          <w:szCs w:val="32"/>
        </w:rPr>
        <w:t>四</w:t>
      </w:r>
      <w:r>
        <w:rPr>
          <w:rFonts w:hAnsi="黑体" w:hint="eastAsia"/>
          <w:b/>
          <w:sz w:val="32"/>
          <w:szCs w:val="32"/>
        </w:rPr>
        <w:t>、关于2020年度预算绩效情况说明</w:t>
      </w:r>
    </w:p>
    <w:p w:rsidR="00A40DFF" w:rsidRDefault="00A40DFF" w:rsidP="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为了认真贯彻落实 《中共湖南省委办公厅 湖南省人民政府办公厅关于全面实施预算绩效管理的实施意见》（湘办发〔2019〕10号）、财政部《项目支出绩效评价管理办法》（财预〔2020〕10号）、《湖南省预算支出绩效评价管理办法》（湘财绩〔2020〕7号）等文件精神，我单位对2020年度财政资金部门整体支出进行了绩效自评，按财政要求及时报送了《衡南县民政局2020年度部门整体支出绩效评价报告》，并在衡南县人民政府门户网站进行公开。</w:t>
      </w:r>
    </w:p>
    <w:p w:rsidR="00A40DFF" w:rsidRDefault="00A40DFF" w:rsidP="00A40DF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我局严格贯彻落实县委、县政府关于党政机关厉行节约的有关要求，牢固树立“过紧日子”思想，坚持精打细算、勤俭节约，优化支出结构，大力压减一般性支出，保障重点支出，严格审核把关，加强“三公”经费管理，优化资产配置，切实规范有关资产管理，严格政府采购，强化国有资产信息化管理和动态监控，完善内控制度，切实严肃财经纪律，圆满完成了全年各项工作任务，得到了县委、县政府的充分肯定以及社会各界的普遍好评。通过加强预算收支管理，不断建立健全内部管理制度，梳理内部管理流程，部门整体支出管理情况得到提升。根据《部门整体支出绩效评价指标》评分，得分97.5分。 </w:t>
      </w:r>
    </w:p>
    <w:p w:rsidR="00A40DFF" w:rsidRPr="00A40DFF" w:rsidRDefault="00A40DFF">
      <w:pPr>
        <w:ind w:firstLineChars="200" w:firstLine="640"/>
        <w:rPr>
          <w:rFonts w:asciiTheme="minorEastAsia" w:hAnsiTheme="minorEastAsia" w:cs="黑体"/>
          <w:color w:val="000000"/>
          <w:kern w:val="0"/>
          <w:sz w:val="32"/>
          <w:szCs w:val="32"/>
        </w:rPr>
      </w:pPr>
    </w:p>
    <w:p w:rsidR="00D40258" w:rsidRDefault="00A40DFF">
      <w:pPr>
        <w:widowControl/>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A40DFF">
      <w:pPr>
        <w:pStyle w:val="Default"/>
        <w:jc w:val="center"/>
        <w:rPr>
          <w:sz w:val="72"/>
          <w:szCs w:val="72"/>
        </w:rPr>
      </w:pPr>
      <w:r>
        <w:rPr>
          <w:rFonts w:hint="eastAsia"/>
          <w:sz w:val="72"/>
          <w:szCs w:val="72"/>
        </w:rPr>
        <w:t>第四部分</w:t>
      </w:r>
    </w:p>
    <w:p w:rsidR="00D40258" w:rsidRDefault="00D40258">
      <w:pPr>
        <w:jc w:val="center"/>
        <w:rPr>
          <w:rFonts w:ascii="黑体" w:eastAsia="黑体" w:cs="黑体"/>
          <w:color w:val="000000"/>
          <w:kern w:val="0"/>
          <w:sz w:val="70"/>
          <w:szCs w:val="70"/>
        </w:rPr>
      </w:pPr>
    </w:p>
    <w:p w:rsidR="00D40258" w:rsidRDefault="00A40DFF">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D40258" w:rsidRDefault="00A40DFF">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D40258" w:rsidRDefault="00D40258">
      <w:pPr>
        <w:ind w:firstLineChars="200" w:firstLine="640"/>
        <w:jc w:val="left"/>
        <w:rPr>
          <w:rFonts w:asciiTheme="minorEastAsia" w:hAnsiTheme="minorEastAsia" w:cs="黑体"/>
          <w:color w:val="000000"/>
          <w:kern w:val="0"/>
          <w:sz w:val="32"/>
          <w:szCs w:val="32"/>
        </w:rPr>
      </w:pPr>
    </w:p>
    <w:p w:rsidR="00A40DFF" w:rsidRDefault="00A40DFF" w:rsidP="00A40DFF">
      <w:pPr>
        <w:widowControl/>
        <w:jc w:val="left"/>
        <w:rPr>
          <w:color w:val="333333"/>
          <w:sz w:val="28"/>
          <w:szCs w:val="28"/>
        </w:rPr>
      </w:pPr>
      <w:r>
        <w:rPr>
          <w:rFonts w:hint="eastAsia"/>
          <w:color w:val="333333"/>
          <w:sz w:val="28"/>
          <w:szCs w:val="28"/>
        </w:rPr>
        <w:t>一、财政拨款收入：指财政部门核拨给单位的财政预算资金。</w:t>
      </w:r>
    </w:p>
    <w:p w:rsidR="00A40DFF" w:rsidRDefault="00A40DFF" w:rsidP="00A40DFF">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w:t>
      </w:r>
      <w:r>
        <w:rPr>
          <w:rFonts w:hint="eastAsia"/>
          <w:color w:val="333333"/>
          <w:sz w:val="28"/>
          <w:szCs w:val="28"/>
        </w:rPr>
        <w:t> </w:t>
      </w:r>
    </w:p>
    <w:p w:rsidR="00A40DFF" w:rsidRDefault="00A40DFF" w:rsidP="00A40DFF">
      <w:pPr>
        <w:pStyle w:val="a6"/>
        <w:shd w:val="clear" w:color="auto" w:fill="FFFFFF"/>
        <w:spacing w:before="0" w:beforeAutospacing="0" w:after="0" w:afterAutospacing="0"/>
        <w:rPr>
          <w:color w:val="333333"/>
          <w:sz w:val="28"/>
          <w:szCs w:val="28"/>
        </w:rPr>
      </w:pPr>
      <w:r>
        <w:rPr>
          <w:color w:val="333333"/>
          <w:sz w:val="28"/>
          <w:szCs w:val="28"/>
        </w:rPr>
        <w:t>三、附属单位上缴收入：指事业单位附属独立核算单位按有关规定上缴的收入。 </w:t>
      </w:r>
    </w:p>
    <w:p w:rsidR="00A40DFF" w:rsidRDefault="00A40DFF" w:rsidP="00A40DFF">
      <w:pPr>
        <w:pStyle w:val="a6"/>
        <w:shd w:val="clear" w:color="auto" w:fill="FFFFFF"/>
        <w:spacing w:before="0" w:beforeAutospacing="0" w:after="0" w:afterAutospacing="0"/>
        <w:rPr>
          <w:color w:val="333333"/>
          <w:sz w:val="28"/>
          <w:szCs w:val="28"/>
        </w:rPr>
      </w:pPr>
      <w:r>
        <w:rPr>
          <w:color w:val="333333"/>
          <w:sz w:val="28"/>
          <w:szCs w:val="28"/>
        </w:rPr>
        <w:t>四、其他收入：指单位取得的除上述“财政拨款收入”、“事业收入”、“附属单位上缴收入”等以外的收入。 </w:t>
      </w:r>
    </w:p>
    <w:p w:rsidR="00A40DFF" w:rsidRDefault="00A40DFF" w:rsidP="00A40DFF">
      <w:pPr>
        <w:pStyle w:val="a6"/>
        <w:shd w:val="clear" w:color="auto" w:fill="FFFFFF"/>
        <w:spacing w:before="0" w:beforeAutospacing="0" w:after="0" w:afterAutospacing="0"/>
        <w:rPr>
          <w:color w:val="333333"/>
          <w:sz w:val="28"/>
          <w:szCs w:val="28"/>
        </w:rPr>
      </w:pPr>
      <w:r>
        <w:rPr>
          <w:color w:val="333333"/>
          <w:sz w:val="28"/>
          <w:szCs w:val="28"/>
        </w:rPr>
        <w:t>五、年初结转和结余：指以前年度尚未完成、结转到本年仍按有关规定继续使用的资金。 </w:t>
      </w:r>
    </w:p>
    <w:p w:rsidR="00A40DFF" w:rsidRDefault="00A40DFF" w:rsidP="00A40DFF">
      <w:pPr>
        <w:pStyle w:val="a6"/>
        <w:shd w:val="clear" w:color="auto" w:fill="FFFFFF"/>
        <w:spacing w:before="0" w:beforeAutospacing="0" w:after="0" w:afterAutospacing="0"/>
        <w:rPr>
          <w:color w:val="333333"/>
          <w:sz w:val="28"/>
          <w:szCs w:val="28"/>
        </w:rPr>
      </w:pPr>
      <w:r>
        <w:rPr>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rsidR="00A40DFF" w:rsidRDefault="00A40DFF" w:rsidP="00A40DFF">
      <w:pPr>
        <w:pStyle w:val="a6"/>
        <w:shd w:val="clear" w:color="auto" w:fill="FFFFFF"/>
        <w:spacing w:before="0" w:beforeAutospacing="0" w:after="0" w:afterAutospacing="0"/>
        <w:rPr>
          <w:color w:val="333333"/>
          <w:sz w:val="28"/>
          <w:szCs w:val="28"/>
        </w:rPr>
      </w:pPr>
      <w:r>
        <w:rPr>
          <w:color w:val="333333"/>
          <w:sz w:val="28"/>
          <w:szCs w:val="28"/>
        </w:rPr>
        <w:t>七、结余分配：指事业单位按规定提取的职工福利基金、事业基金和缴纳的所得税，以及建设单位按规定应交回的基本建设竣工项目结余资金。 </w:t>
      </w:r>
    </w:p>
    <w:p w:rsidR="00A40DFF" w:rsidRDefault="00A40DFF" w:rsidP="00A40DFF">
      <w:pPr>
        <w:pStyle w:val="a6"/>
        <w:shd w:val="clear" w:color="auto" w:fill="FFFFFF"/>
        <w:spacing w:before="0" w:beforeAutospacing="0" w:after="0" w:afterAutospacing="0"/>
        <w:rPr>
          <w:color w:val="333333"/>
          <w:sz w:val="28"/>
          <w:szCs w:val="28"/>
        </w:rPr>
      </w:pPr>
      <w:r>
        <w:rPr>
          <w:color w:val="333333"/>
          <w:sz w:val="28"/>
          <w:szCs w:val="28"/>
        </w:rPr>
        <w:t>八、年末结转和结余：指本年度或以前年度预算安排、因客观条件发生变化无法按原计划实施，需延迟到以后年度按有关规定继续使用的资金。 </w:t>
      </w:r>
    </w:p>
    <w:p w:rsidR="00A40DFF" w:rsidRDefault="00A40DFF" w:rsidP="00A40DFF">
      <w:pPr>
        <w:pStyle w:val="a6"/>
        <w:shd w:val="clear" w:color="auto" w:fill="FFFFFF"/>
        <w:spacing w:before="0" w:beforeAutospacing="0" w:after="0" w:afterAutospacing="0"/>
        <w:rPr>
          <w:color w:val="333333"/>
          <w:sz w:val="28"/>
          <w:szCs w:val="28"/>
        </w:rPr>
      </w:pPr>
      <w:r>
        <w:rPr>
          <w:color w:val="333333"/>
          <w:sz w:val="28"/>
          <w:szCs w:val="28"/>
        </w:rPr>
        <w:t>九、基本支出：指为保障机构正常运转、完成日常工作任务而发生的人员支出和公用支出。 </w:t>
      </w:r>
    </w:p>
    <w:p w:rsidR="00A40DFF" w:rsidRDefault="00A40DFF" w:rsidP="00A40DFF">
      <w:pPr>
        <w:pStyle w:val="a6"/>
        <w:shd w:val="clear" w:color="auto" w:fill="FFFFFF"/>
        <w:spacing w:before="0" w:beforeAutospacing="0" w:after="0" w:afterAutospacing="0"/>
        <w:rPr>
          <w:color w:val="333333"/>
          <w:sz w:val="28"/>
          <w:szCs w:val="28"/>
        </w:rPr>
      </w:pPr>
      <w:r>
        <w:rPr>
          <w:color w:val="333333"/>
          <w:sz w:val="28"/>
          <w:szCs w:val="28"/>
        </w:rPr>
        <w:t>十、项目支出：指在基本支出之外，为完成特定行政任务和事业发展目标所发生的支出。 </w:t>
      </w:r>
    </w:p>
    <w:p w:rsidR="00A40DFF" w:rsidRDefault="00A40DFF" w:rsidP="00A40DFF">
      <w:pPr>
        <w:pStyle w:val="a6"/>
        <w:shd w:val="clear" w:color="auto" w:fill="FFFFFF"/>
        <w:spacing w:before="0" w:beforeAutospacing="0" w:after="0" w:afterAutospacing="0"/>
        <w:rPr>
          <w:color w:val="333333"/>
          <w:sz w:val="28"/>
          <w:szCs w:val="28"/>
        </w:rPr>
      </w:pPr>
      <w:r>
        <w:rPr>
          <w:color w:val="333333"/>
          <w:sz w:val="28"/>
          <w:szCs w:val="28"/>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w:t>
      </w:r>
      <w:r>
        <w:rPr>
          <w:color w:val="333333"/>
          <w:sz w:val="28"/>
          <w:szCs w:val="28"/>
        </w:rPr>
        <w:lastRenderedPageBreak/>
        <w:t>过桥费、保险费、安全奖励费用等支出；公务接待费反映单位按规定开支的各类公务接待（含外宾接待）支出。  </w:t>
      </w:r>
    </w:p>
    <w:p w:rsidR="00D40258" w:rsidRDefault="00A40DFF" w:rsidP="00A40DFF">
      <w:pPr>
        <w:widowControl/>
        <w:ind w:firstLineChars="200" w:firstLine="560"/>
        <w:jc w:val="left"/>
        <w:rPr>
          <w:rFonts w:asciiTheme="minorEastAsia" w:hAnsiTheme="minorEastAsia"/>
          <w:i/>
          <w:color w:val="FF0000"/>
          <w:sz w:val="32"/>
          <w:szCs w:val="32"/>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Pr>
          <w:rFonts w:asciiTheme="minorEastAsia" w:hAnsiTheme="minorEastAsia"/>
          <w:i/>
          <w:color w:val="FF0000"/>
          <w:sz w:val="32"/>
          <w:szCs w:val="32"/>
        </w:rPr>
        <w:br w:type="page"/>
      </w: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A40DFF">
      <w:pPr>
        <w:pStyle w:val="Default"/>
        <w:jc w:val="center"/>
        <w:rPr>
          <w:sz w:val="72"/>
          <w:szCs w:val="72"/>
        </w:rPr>
      </w:pPr>
      <w:r>
        <w:rPr>
          <w:rFonts w:hint="eastAsia"/>
          <w:sz w:val="72"/>
          <w:szCs w:val="72"/>
        </w:rPr>
        <w:t>第五部分</w:t>
      </w:r>
    </w:p>
    <w:p w:rsidR="00D40258" w:rsidRDefault="00D40258">
      <w:pPr>
        <w:jc w:val="center"/>
        <w:rPr>
          <w:rFonts w:ascii="黑体" w:eastAsia="黑体" w:cs="黑体"/>
          <w:color w:val="000000"/>
          <w:kern w:val="0"/>
          <w:sz w:val="70"/>
          <w:szCs w:val="70"/>
        </w:rPr>
      </w:pPr>
    </w:p>
    <w:p w:rsidR="00D40258" w:rsidRDefault="00A40DFF">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D40258" w:rsidRDefault="00A40DFF">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D40258" w:rsidRDefault="00D40258">
      <w:pPr>
        <w:jc w:val="center"/>
        <w:rPr>
          <w:rFonts w:ascii="黑体" w:eastAsia="黑体" w:cs="黑体"/>
          <w:color w:val="000000"/>
          <w:kern w:val="0"/>
          <w:sz w:val="70"/>
          <w:szCs w:val="70"/>
        </w:rPr>
      </w:pPr>
    </w:p>
    <w:p w:rsidR="00D40258" w:rsidRDefault="00A40DFF">
      <w:pPr>
        <w:widowControl/>
        <w:shd w:val="clear" w:color="auto" w:fill="FFFFFF"/>
        <w:spacing w:before="100" w:beforeAutospacing="1" w:after="100" w:afterAutospacing="1" w:line="480" w:lineRule="exact"/>
        <w:jc w:val="center"/>
        <w:rPr>
          <w:rFonts w:asciiTheme="minorEastAsia" w:hAnsiTheme="minorEastAsia" w:cs="宋体"/>
          <w:b/>
          <w:color w:val="000000" w:themeColor="text1"/>
          <w:kern w:val="0"/>
          <w:sz w:val="44"/>
          <w:szCs w:val="44"/>
        </w:rPr>
      </w:pPr>
      <w:r>
        <w:rPr>
          <w:rFonts w:asciiTheme="minorEastAsia" w:hAnsiTheme="minorEastAsia" w:cs="Tahoma" w:hint="eastAsia"/>
          <w:b/>
          <w:bCs/>
          <w:color w:val="000000" w:themeColor="text1"/>
          <w:kern w:val="0"/>
          <w:sz w:val="44"/>
          <w:szCs w:val="44"/>
        </w:rPr>
        <w:t>2020年民政局</w:t>
      </w:r>
      <w:r>
        <w:rPr>
          <w:rFonts w:asciiTheme="minorEastAsia" w:hAnsiTheme="minorEastAsia" w:hint="eastAsia"/>
          <w:b/>
          <w:color w:val="000000" w:themeColor="text1"/>
          <w:sz w:val="44"/>
          <w:szCs w:val="44"/>
        </w:rPr>
        <w:t>整体支出绩效评价报告</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为了认真贯彻落实《中共湖南省委办公厅湖南省人民政府办公厅关于全面实施预算绩效管理的实施意见》（湘办发〔2019〕10号）、财政部《项目支出绩效评价管理办法》（财预〔2020〕10号）、《湖南省预算支出绩效评价管理办法》（湘财绩〔2020〕7号）等文件精神，现将衡南县民政局2020年度预算管理绩效工作自评报告如下:</w:t>
      </w:r>
    </w:p>
    <w:p w:rsidR="00D40258" w:rsidRDefault="00A40DFF" w:rsidP="00A40DFF">
      <w:pPr>
        <w:widowControl/>
        <w:shd w:val="clear" w:color="auto" w:fill="FFFFFF"/>
        <w:snapToGrid w:val="0"/>
        <w:spacing w:line="360" w:lineRule="auto"/>
        <w:ind w:firstLineChars="200" w:firstLine="562"/>
        <w:jc w:val="left"/>
        <w:rPr>
          <w:rFonts w:ascii="宋体" w:hAnsi="宋体" w:cs="宋体"/>
          <w:b/>
          <w:color w:val="000000"/>
          <w:kern w:val="0"/>
          <w:sz w:val="28"/>
          <w:szCs w:val="28"/>
        </w:rPr>
      </w:pPr>
      <w:r>
        <w:rPr>
          <w:rFonts w:ascii="宋体" w:hAnsi="宋体" w:cs="宋体" w:hint="eastAsia"/>
          <w:b/>
          <w:color w:val="000000"/>
          <w:kern w:val="0"/>
          <w:sz w:val="28"/>
          <w:szCs w:val="28"/>
        </w:rPr>
        <w:t>一、部门概况</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（一）机构组成</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我局内设办公室（政策法规股）、组织人事股、规划财务股、基层政权建设和社区治理股(区划地名办公室)、社会事务和慈善事业促进股（养老服务和儿童福利股）、行政审批股等6个股室，下设县城乡社会救助服务中心、县民间组织服务中心、县慈善总会办公室、县募委办（福彩管理站）、县婚姻登记服务处、县老区开发办公室、县流浪乞讨人员救助管理站、县福利生产办公室、县殡改办、县低收入居民家庭经济状况信息比对中心、县农保办等11个二级事业机构，县福利中心、县园艺场、县殡仪馆等3个下属单位。</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机构职能职责</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1、贯彻执行党和国家关于民政工作的法律、法规和方针政策。拟订全县民政方面的规范性文件，拟订全县民政事业发展规划，并组织实施和监督检查。</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2、依法对全县社会团体、社会服务机构、基金会登记管理和执法监督。负责县本级无业务主管单位、直接登记的社会组织党建工作。</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lastRenderedPageBreak/>
        <w:t>3、拟订全县社会救助规划和标准并组织实施。推进全县社会救助体系建设工作。负责城乡居民最低生活保障、特困人员供养、临时救助、生活无着流浪乞讨人员救助工作。</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4、拟订全县城乡基层群众自治组织建设和社区治理相关制度并组织实施。指导城乡社区治理体系和治理能力建设，提出加强和改进城乡基层政权建设的建议。推动基层民主政治建设。</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5、负责指导、监督国家行政区划、行政区域界线、地名管理法规和规章的实施。拟订县本级行政区划规划。依法负责村（居）委会及以上行政区域的设立、撤销、调整、更名和行政区域界线变更及政府驻地迁移的审核、报批工作。负责街道办事处设立、撤销、调整、更名及其驻地迁移的报批工作。负责全县行政区域界线的管理和勘定，调处边界争议与纠纷。负责全县地名工作的指导和管理，负责中心城区地名的命名、更名、门牌号码的编排和地名标志的设置和管理。</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6、贯彻执行国家的婚姻管理政策并组织实施，推进婚俗改革。</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7、贯彻执行国家的殡葬管理政策、服务规范并组织实施，推进殡葬改革。</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8、统筹推进、督促指导、监督管理全县养老服务工作。拟订全县养老服务体系建设规划、政策、标准并组织实施。承担全县老年人福利和特殊困难老年人关爱服务工作。</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9、贯彻执行国家的残疾人权益保护政策，统筹推进全县残疾人福利制度建设。</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10、贯彻执行国家的儿童福利、孤弃儿童保障、儿童收养、儿童救助保护政策、标准。健全农村留守儿童关爱服务体系和困境儿童保障制度。</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11、拟订促进全县慈善事业发展规划，指导开展慈善工作和社会捐助</w:t>
      </w:r>
      <w:r>
        <w:rPr>
          <w:rFonts w:asciiTheme="minorEastAsia" w:hAnsiTheme="minorEastAsia" w:hint="eastAsia"/>
          <w:sz w:val="32"/>
          <w:szCs w:val="32"/>
        </w:rPr>
        <w:lastRenderedPageBreak/>
        <w:t>工作。负责福利彩票管理工作。</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12、贯彻执行国家的社会工作、志愿服务政策和标准。会同有关部门推进社会工作人才队伍建设和志愿者队伍建设。</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13、负责本行业、领域的应急管理工作，对本行业、领域的安全生产工作实施监督管理。</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14、完成县委、县政府交办的其他任务。</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15、职能转变。县民政局应聚焦脱贫攻坚、聚焦特殊群体、聚焦群众关切，强化基本民生保障职能，为困难群众、孤老孤残孤儿等特殊群体提供基本社会服务，促进资源向薄弱地区、领域、环节倾斜。积极培育社会组织、社会工作者等多元参与主体，推动搭建基层社会治理和社区公共服务平台。</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16、有关职责分工。</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与县卫生健康局的有关职责分工。县民政局负责统筹推进、督促指导、监督管理全县养老服务工作，拟订养老服务体系建设规划、政策、标准并组织实施，承担老年人福利和特殊困难老年人救助工作。县卫生健康局负责拟订应对人口老龄化、医养结合政策措施，综合协调、督促指导、组织推进老龄事业发展，承担老年疾病防治、老年人医疗照护、老年人心理健康与关怀服务等老年健康工作。</w:t>
      </w:r>
    </w:p>
    <w:p w:rsidR="00D40258" w:rsidRDefault="00A40DFF" w:rsidP="00A40DFF">
      <w:pPr>
        <w:widowControl/>
        <w:numPr>
          <w:ilvl w:val="0"/>
          <w:numId w:val="2"/>
        </w:numPr>
        <w:snapToGrid w:val="0"/>
        <w:spacing w:line="360" w:lineRule="auto"/>
        <w:ind w:leftChars="150" w:left="315" w:firstLineChars="200" w:firstLine="562"/>
        <w:jc w:val="left"/>
        <w:rPr>
          <w:rFonts w:ascii="宋体" w:hAnsi="宋体"/>
          <w:b/>
          <w:bCs/>
          <w:color w:val="000000"/>
          <w:sz w:val="28"/>
          <w:szCs w:val="28"/>
        </w:rPr>
      </w:pPr>
      <w:r>
        <w:rPr>
          <w:rFonts w:ascii="宋体" w:hAnsi="宋体" w:hint="eastAsia"/>
          <w:b/>
          <w:bCs/>
          <w:color w:val="000000"/>
          <w:sz w:val="28"/>
          <w:szCs w:val="28"/>
        </w:rPr>
        <w:t>部门整体支出管理及使用情况 </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2020年收入合计22803.12万元，其中：财政拨款收入21055.94万元，其他收入16.18万元，年初结转和结余1731.01万元。2020年支出合计7725.88万元，其中：基本支出733.47万元；项目支出6992.41万元。</w:t>
      </w:r>
    </w:p>
    <w:p w:rsidR="00D40258" w:rsidRDefault="00A40DFF">
      <w:pPr>
        <w:ind w:firstLineChars="250" w:firstLine="700"/>
        <w:rPr>
          <w:rFonts w:asciiTheme="minorEastAsia" w:hAnsiTheme="minorEastAsia"/>
          <w:sz w:val="32"/>
          <w:szCs w:val="32"/>
        </w:rPr>
      </w:pPr>
      <w:r>
        <w:rPr>
          <w:rFonts w:ascii="宋体" w:hAnsi="宋体" w:hint="eastAsia"/>
          <w:color w:val="000000"/>
          <w:sz w:val="28"/>
          <w:szCs w:val="28"/>
        </w:rPr>
        <w:t>（一）基本支出 </w:t>
      </w:r>
      <w:r>
        <w:rPr>
          <w:rFonts w:ascii="宋体" w:hAnsi="宋体" w:hint="eastAsia"/>
          <w:color w:val="000000"/>
          <w:sz w:val="28"/>
          <w:szCs w:val="28"/>
        </w:rPr>
        <w:br/>
      </w:r>
      <w:r>
        <w:rPr>
          <w:rFonts w:asciiTheme="minorEastAsia" w:hAnsiTheme="minorEastAsia" w:hint="eastAsia"/>
          <w:sz w:val="32"/>
          <w:szCs w:val="32"/>
        </w:rPr>
        <w:t>1、基本支出主要用途及范围包括：人员经费和日常公用经费。具体包括：</w:t>
      </w:r>
      <w:r>
        <w:rPr>
          <w:rFonts w:asciiTheme="minorEastAsia" w:hAnsiTheme="minorEastAsia" w:hint="eastAsia"/>
          <w:sz w:val="32"/>
          <w:szCs w:val="32"/>
        </w:rPr>
        <w:lastRenderedPageBreak/>
        <w:t>工资福利支出、对个人和家庭的补助、商品和服务支出、其他资本性支出。</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基本支出的管理和使用情况如下：2020年基本支出733.47万元，其中工资福利及社会保障656.87万元，对个人和家庭的补助支出 41.26万元；商品和服务支出5.32万元，办公设备购置费22.02万元，其他支出8万元。</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2、基本支出管理情况</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 一是完善制度。根据《会计法》、《行政单位会计制度》等法律和财政部门有关文件的规定，局制订了《局机关差旅费管理制度》、《局机关公车使用制度》、《局机关财务管理制度》、《内部控制管理手册》等各项规章制度，从制度进行规范，确保财经纪律落到实处。 </w:t>
      </w:r>
      <w:r>
        <w:rPr>
          <w:rFonts w:asciiTheme="minorEastAsia" w:hAnsiTheme="minorEastAsia" w:hint="eastAsia"/>
          <w:sz w:val="32"/>
          <w:szCs w:val="32"/>
        </w:rPr>
        <w:br/>
        <w:t>二是严控“三公”经费规模。2020年公务接待费支出1.14万元。公务接待做到了“四严格”，即严格预算管理，规定接待经费严格控制在预算额度内使用；严格审批程序，规定了公务接待的审批权限；严格接待标准，规定住宿、用餐原则上安排在政府采购指定的公务接待定点宾馆或者机关食堂；严格报账，要求公务接待费用实行“一支笔”审批，严格执行先审批，后接待的程序。车辆运行维护费4.39万元。公务车辆管理实行“四定”，即定点维修、定点加油、定点保险和定点集中停放制度。车辆具体由局办公室统一调配，公务用车需请示局主要领导后，由办公室具体安排，任何领导和个人不得用公车办私事，下班后车辆集中停放在局大院内，司机不得将车辆带回家。 </w:t>
      </w:r>
      <w:r>
        <w:rPr>
          <w:rFonts w:asciiTheme="minorEastAsia" w:hAnsiTheme="minorEastAsia" w:hint="eastAsia"/>
          <w:sz w:val="32"/>
          <w:szCs w:val="32"/>
        </w:rPr>
        <w:br/>
        <w:t>三是加强对公用支出中重点费用的管理。规范会议费、培训费、差旅费、办公费等费用开支标准，按照国家规定的标准和范围列支，控制会议培训的数量、规模，简化会议培训的形式；控制差旅活动的人数和天数，不安排无明确目的的公务考察活动；坚持厉行节约的原则，控制和压缩办公经</w:t>
      </w:r>
      <w:r>
        <w:rPr>
          <w:rFonts w:asciiTheme="minorEastAsia" w:hAnsiTheme="minorEastAsia" w:hint="eastAsia"/>
          <w:sz w:val="32"/>
          <w:szCs w:val="32"/>
        </w:rPr>
        <w:lastRenderedPageBreak/>
        <w:t>费支出，树立节约观念，通过召开厉行节约、杜绝浪费会议，引导和规范全局工作人员从自身做起，从身边小事做起，倡导网络办公，促进办公低碳化，充分利用现在网络技术，通过邮箱、QQ、拷贝等方式传送普通文件资料，尽量减少文件印发。注重是常节俭，养成节约习惯，做到“人走灯灭”，下班及时关闭电脑、复印机等用电设备。 </w:t>
      </w:r>
      <w:r>
        <w:rPr>
          <w:rFonts w:asciiTheme="minorEastAsia" w:hAnsiTheme="minorEastAsia" w:hint="eastAsia"/>
          <w:sz w:val="32"/>
          <w:szCs w:val="32"/>
        </w:rPr>
        <w:br/>
        <w:t>四是规范资金结算管理。经费报批实行"一支笔"审批制度。资金支付执行国库集中支付制度和公务卡结算有关规定，尽量采用银行转账或者公务卡结算方式，规范公务支出中的现金提取和使用，保证资金支付的安全、透明、规范，提高财政资金支付效率。 </w:t>
      </w:r>
      <w:r>
        <w:rPr>
          <w:rFonts w:asciiTheme="minorEastAsia" w:hAnsiTheme="minorEastAsia" w:hint="eastAsia"/>
          <w:sz w:val="32"/>
          <w:szCs w:val="32"/>
        </w:rPr>
        <w:br/>
        <w:t>（二）专项支出 </w:t>
      </w:r>
      <w:r>
        <w:rPr>
          <w:rFonts w:asciiTheme="minorEastAsia" w:hAnsiTheme="minorEastAsia" w:hint="eastAsia"/>
          <w:sz w:val="32"/>
          <w:szCs w:val="32"/>
        </w:rPr>
        <w:br/>
        <w:t xml:space="preserve">   1、专项资金安排落实、总投入情况分析 </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2020年，专项资金共投入6992.4万元，为我县民政事业的发展提供了资金保障。 </w:t>
      </w:r>
      <w:r>
        <w:rPr>
          <w:rFonts w:asciiTheme="minorEastAsia" w:hAnsiTheme="minorEastAsia" w:hint="eastAsia"/>
          <w:sz w:val="32"/>
          <w:szCs w:val="32"/>
        </w:rPr>
        <w:br/>
        <w:t xml:space="preserve">   2、专项资金管理情况分析 </w:t>
      </w:r>
      <w:r>
        <w:rPr>
          <w:rFonts w:asciiTheme="minorEastAsia" w:hAnsiTheme="minorEastAsia" w:hint="eastAsia"/>
          <w:sz w:val="32"/>
          <w:szCs w:val="32"/>
        </w:rPr>
        <w:br/>
        <w:t>专项资金管理严格按照湖南省民政厅《关于进一步加强民政专项资金管理的通知》（湘民办发〔2007〕52号）文件执行。实际工作中严格按照文件规定，规范审核审批程序及资金拨付程序，建立健全台账、报表等各项数据资料，从各方面推动工作不断完善。岗位职责分工明确，监督制约措施有力，管理服务规范有效。 </w:t>
      </w:r>
      <w:r>
        <w:rPr>
          <w:rFonts w:asciiTheme="minorEastAsia" w:hAnsiTheme="minorEastAsia" w:hint="eastAsia"/>
          <w:sz w:val="32"/>
          <w:szCs w:val="32"/>
        </w:rPr>
        <w:br/>
        <w:t>三、部门专项组织实施情况 </w:t>
      </w:r>
      <w:r>
        <w:rPr>
          <w:rFonts w:asciiTheme="minorEastAsia" w:hAnsiTheme="minorEastAsia" w:hint="eastAsia"/>
          <w:sz w:val="32"/>
          <w:szCs w:val="32"/>
        </w:rPr>
        <w:br/>
        <w:t>我县现有民政服务对象7万余人，做好民政工作，任务繁重而艰巨。 </w:t>
      </w:r>
      <w:r>
        <w:rPr>
          <w:rFonts w:asciiTheme="minorEastAsia" w:hAnsiTheme="minorEastAsia" w:hint="eastAsia"/>
          <w:sz w:val="32"/>
          <w:szCs w:val="32"/>
        </w:rPr>
        <w:br/>
        <w:t>（一）深化思想认识，拧紧“安全阀”。一是统一思想认识。要求各乡镇各股室充分认识加强民政专项资金管理的重要性和紧迫性。二是强化制度保障。出台《关于进一步健全完善临时救助制度的实施意见》、《关于进</w:t>
      </w:r>
      <w:r>
        <w:rPr>
          <w:rFonts w:asciiTheme="minorEastAsia" w:hAnsiTheme="minorEastAsia" w:hint="eastAsia"/>
          <w:sz w:val="32"/>
          <w:szCs w:val="32"/>
        </w:rPr>
        <w:lastRenderedPageBreak/>
        <w:t>一步做好全县医疗救助工作的通知》《关于进一步加强乡镇民政资金财务管理的通知》等系列文件，对民政专项资金的使用范围、资金拨付和发放、资金监管等方面作了进一步明确和规范，确保了救助程序规范、救助对象准确、款物发放及时、账款运行安全。 </w:t>
      </w:r>
      <w:r>
        <w:rPr>
          <w:rFonts w:asciiTheme="minorEastAsia" w:hAnsiTheme="minorEastAsia" w:hint="eastAsia"/>
          <w:sz w:val="32"/>
          <w:szCs w:val="32"/>
        </w:rPr>
        <w:br/>
        <w:t>（二）强化监管管理，筑牢“防火墙”。一是实行精准化管理。严把对象确定关。通过进村入户看、面对面问、拍照取证、邻里访问等多种方式，严格按政策规定核定民政对象，确保资金发放公平公正。二是实行多角度公开。坚持阳光操作，通过互联网+监督平台、门户网以及基层便民服务中心、村（社区）公示栏等场所，将民政政策、民政对象和保障标准全部公开。三是实行全方位监管。纪检、监察、财政、审计等部门将民政资金管理使用纳入重点监管范围，开展有针对性的日常监督，不定期进行跟踪审计检查，发现问题，及时纠正。 </w:t>
      </w:r>
      <w:r>
        <w:rPr>
          <w:rFonts w:asciiTheme="minorEastAsia" w:hAnsiTheme="minorEastAsia" w:hint="eastAsia"/>
          <w:sz w:val="32"/>
          <w:szCs w:val="32"/>
        </w:rPr>
        <w:br/>
        <w:t>（三）狠抓责任落实，严守“高压线”。一是推动责任落实。将民政资金管理使用情况纳入各乡镇年度目标责任考核，加大巡查考评和督促检查力度，对民政专项资金管理工作不落实、监督管理不到位、出现问题的实行“一票否决”。二是严格责任追究。对民政资金管理使用中发生的违规行为，按照“谁主管谁负责”、“谁签字谁负责”、“谁出问题追究谁”的原则，实行责任倒查，严格责任追究，增强了资金管理制度的约束力和震慑力。 </w:t>
      </w:r>
      <w:r>
        <w:rPr>
          <w:rFonts w:asciiTheme="minorEastAsia" w:hAnsiTheme="minorEastAsia" w:hint="eastAsia"/>
          <w:sz w:val="32"/>
          <w:szCs w:val="32"/>
        </w:rPr>
        <w:br/>
        <w:t>（四）采取有力措施，推进项目建设。一是坚持把项目建设作为促进民政事业发展活力的突破口，抢抓政策机遇，完善工作机制，强化协调服务，狠抓责任落实，全力破解难题，有力地促进了重点项目顺利实施。二是按照“谁主管、谁负责”的原则，明确了股室职责，确保项目建设进度和工程质量。在重大项目建设在上，按照项目法人责任制、招标投标制、工程</w:t>
      </w:r>
      <w:r>
        <w:rPr>
          <w:rFonts w:asciiTheme="minorEastAsia" w:hAnsiTheme="minorEastAsia" w:hint="eastAsia"/>
          <w:sz w:val="32"/>
          <w:szCs w:val="32"/>
        </w:rPr>
        <w:lastRenderedPageBreak/>
        <w:t>监理制、合同管理制等建设管理法规进行严格管理。 </w:t>
      </w:r>
      <w:r>
        <w:rPr>
          <w:rFonts w:asciiTheme="minorEastAsia" w:hAnsiTheme="minorEastAsia" w:hint="eastAsia"/>
          <w:sz w:val="32"/>
          <w:szCs w:val="32"/>
        </w:rPr>
        <w:br/>
        <w:t>四、部门整体支出绩效情况 </w:t>
      </w:r>
      <w:r>
        <w:rPr>
          <w:rFonts w:asciiTheme="minorEastAsia" w:hAnsiTheme="minorEastAsia" w:hint="eastAsia"/>
          <w:sz w:val="32"/>
          <w:szCs w:val="32"/>
        </w:rPr>
        <w:br/>
        <w:t>通过加强预算收支管理，不断建立健全内部管理制度，梳理内部管理流程，部门整体支出管理情况得到提升。根据《部门整体支出绩效评价指标》评分，得分97.5分。 </w:t>
      </w:r>
      <w:r>
        <w:rPr>
          <w:rFonts w:asciiTheme="minorEastAsia" w:hAnsiTheme="minorEastAsia" w:hint="eastAsia"/>
          <w:sz w:val="32"/>
          <w:szCs w:val="32"/>
        </w:rPr>
        <w:br/>
        <w:t>（一）经济性分析 </w:t>
      </w:r>
      <w:r>
        <w:rPr>
          <w:rFonts w:asciiTheme="minorEastAsia" w:hAnsiTheme="minorEastAsia" w:hint="eastAsia"/>
          <w:sz w:val="32"/>
          <w:szCs w:val="32"/>
        </w:rPr>
        <w:br/>
        <w:t>支出严格依照相关财务管理规定执行，特别重视量财办事、量力而行，严格控制标准、注重节约，少花钱办好事。一来年，我局及直属单位各项支出都在合理范围内，部分项目支出因加强管理与以前年度相比大幅度下降。 </w:t>
      </w:r>
      <w:r>
        <w:rPr>
          <w:rFonts w:asciiTheme="minorEastAsia" w:hAnsiTheme="minorEastAsia" w:hint="eastAsia"/>
          <w:sz w:val="32"/>
          <w:szCs w:val="32"/>
        </w:rPr>
        <w:br/>
        <w:t>（二）效益性分析 </w:t>
      </w:r>
      <w:r>
        <w:rPr>
          <w:rFonts w:asciiTheme="minorEastAsia" w:hAnsiTheme="minorEastAsia" w:hint="eastAsia"/>
          <w:sz w:val="32"/>
          <w:szCs w:val="32"/>
        </w:rPr>
        <w:br/>
        <w:t>全县民政系统认真贯彻落实党的政策方针，牢固树立“以民为本、为民解困、为民服务”的工作宗旨，按照“抓改革、创特色，抓重点、求突破，抓规范、上水平，抓队伍、树形象”的工作思路，始终把保障和改善民生作为民政工作的出发点和落脚点，大胆创新，主动作为，推动了全市民政事业在新常态下的又好又快发展。 </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1、完善社会救助制度，提高社会救助整体水平，建立了困难群众生活保障工作协调机制，加强了社会救助规范化管理。切实保障城镇低保对象，从严按标施保。我县截止到2020年12月共有城镇低保3755人，累计发放人数：45987人，累计发放总资金：1958.9万元，月人均救助水平达到351.3元，月保障标准为600元/人。农村低保人20887次，累计发放人数：245023人，累计发放总资金：6075.25万元。月人均救助水平达到231元，年保障标准为4200元/年。我县现有敬老院26所，床位数2395张，五保对象5094户，累计发放金额：3119.7元。其中集中供养对象1015人，</w:t>
      </w:r>
      <w:r>
        <w:rPr>
          <w:rFonts w:asciiTheme="minorEastAsia" w:hAnsiTheme="minorEastAsia" w:hint="eastAsia"/>
          <w:sz w:val="32"/>
          <w:szCs w:val="32"/>
        </w:rPr>
        <w:lastRenderedPageBreak/>
        <w:t>月保障标准715元/月；农村分散供养对象3974人，月保障标准455元/月城市分散供养105人。月保障标准715元/月。特困供养现标准集中和分散已经分别达到8580/年和5460元/年。</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2、促进福利事业发展。2020年我县散居和集中供养孤儿生活费每人每月最低保障标准分别提高到950元和1350元。困难残疾人生活补贴和重度残疾人护理补贴发放标准每人每月提高到65元。全面落实老年人各项优待政策,100周岁以上高龄老人每人每年高龄生活津贴10000元，2020年发放72人，共计54.2368万元；90-99周岁高龄老人每人每年高龄生活津贴1200元，2020年发放2799</w:t>
      </w:r>
      <w:r>
        <w:rPr>
          <w:rFonts w:asciiTheme="minorEastAsia" w:hAnsiTheme="minorEastAsia"/>
          <w:sz w:val="32"/>
          <w:szCs w:val="32"/>
        </w:rPr>
        <w:t>人</w:t>
      </w:r>
      <w:r>
        <w:rPr>
          <w:rFonts w:asciiTheme="minorEastAsia" w:hAnsiTheme="minorEastAsia" w:hint="eastAsia"/>
          <w:sz w:val="32"/>
          <w:szCs w:val="32"/>
        </w:rPr>
        <w:t>，共计280.1400万元。稳步推动福彩事业发展，销售福利彩票2571万元。开展了流浪乞讨专项救助活动，全年共救助流浪乞讨人员1104人。建立健全了农村留守人员关爱保护组织体系，对家庭困难的留守儿童、留守妇女和留守老人给予及时帮扶救助。</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3、提升基层政权建设和社区治理水平。积极组织开展村（社区）对村规民约和居民公约进行修订，2020年我县375个村、70个社区的村规民约和居民公约修订工作全部合规合法按时完成。加强村务公开规范化建设，全面规范375个村的村务公开栏, 对村规民约、政策摘要、精准扶贫、社会救助、惠农补贴、项目实施等涉及到村（居）民利益的重大事项都在公示栏予以公示，做到村（社区）群众应知尽知。深入推进我县社区治理能力和治理体系建设，全县开展了城市和谐社区和农村幸福社区建设创建工作。2020年经市里评估组确认，泉湖镇九莲塘社区、松江镇长青社区被命名为市级城市和谐社区，江口镇三平村被命名为市级农村幸福社区。2020年我县全面加强夯实村（社区）基础设施，规范组织活动服务场所管理，落实省委省政府要求，全力推动基层综合公共服务“一门式”全覆盖工作，改造升级乡镇（街道）、村（社区）便民服务中心（便民服务大厅）硬、</w:t>
      </w:r>
      <w:r>
        <w:rPr>
          <w:rFonts w:asciiTheme="minorEastAsia" w:hAnsiTheme="minorEastAsia" w:hint="eastAsia"/>
          <w:sz w:val="32"/>
          <w:szCs w:val="32"/>
        </w:rPr>
        <w:lastRenderedPageBreak/>
        <w:t>软件设施，县级层面对关于加快推进基层公共服务（一门式）全覆盖工作进行了专项督查。目前，全县村（社区）都建有便民服务中心（便民服务大厅）。</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4、推进专项事务管理工作。项目先后完成了立项审批、规划设计、征地、环评工作，建好了水、电基础设施，殡仪馆区完成了综合服务办公楼、餐饮食堂、火化车间、悼念厅、便民厅等工程建设，完成护坡挡土墙及土方平整，现正在进行殡仪馆附属工程（道路、广场、停车场等）项目建设；殡仪冷冻设备和火化设备已通过政府采购全部安装到位，拟于近期进行调试，办公设施（包括电脑、空调）也按程序采购了一部分；公墓山区硬化了进园道路，筑好了环山公路路基，建好了围墙，公墓示范园（一期工程）占地面积66亩，计划开发8000个穴位，于2018年6月开工建设，现基础和墓道工程已完工，拟进行墓碑墓穴施工。截至目前，项目已完成投资额5800万元，占总投资72.5%。</w:t>
      </w:r>
    </w:p>
    <w:p w:rsidR="00D40258" w:rsidRDefault="00A40DFF">
      <w:pPr>
        <w:ind w:firstLineChars="250" w:firstLine="800"/>
        <w:rPr>
          <w:rFonts w:asciiTheme="minorEastAsia" w:hAnsiTheme="minorEastAsia"/>
          <w:sz w:val="32"/>
          <w:szCs w:val="32"/>
        </w:rPr>
      </w:pPr>
      <w:r>
        <w:rPr>
          <w:rFonts w:asciiTheme="minorEastAsia" w:hAnsiTheme="minorEastAsia" w:hint="eastAsia"/>
          <w:sz w:val="32"/>
          <w:szCs w:val="32"/>
        </w:rPr>
        <w:t>（三）有效性分析 民政部门是社会民生保障的重要部门，通过财政部门的资金支撑，为解决民生关注的社会问题，充分发挥民政兜底保障作用，对提高工作人员的积极性和维护社会稳定是非常有效的。 </w:t>
      </w:r>
      <w:r>
        <w:rPr>
          <w:rFonts w:asciiTheme="minorEastAsia" w:hAnsiTheme="minorEastAsia" w:hint="eastAsia"/>
          <w:sz w:val="32"/>
          <w:szCs w:val="32"/>
        </w:rPr>
        <w:br/>
        <w:t>（四）可持续性分析 </w:t>
      </w:r>
      <w:r>
        <w:rPr>
          <w:rFonts w:asciiTheme="minorEastAsia" w:hAnsiTheme="minorEastAsia" w:hint="eastAsia"/>
          <w:sz w:val="32"/>
          <w:szCs w:val="32"/>
        </w:rPr>
        <w:br/>
        <w:t>整体支出既严格遵循了上级相关文件要求，又结合了我县的民政工作实际，在资金安排使用上还是比较科学合理的，具有可持续性。 </w:t>
      </w:r>
      <w:r>
        <w:rPr>
          <w:rFonts w:asciiTheme="minorEastAsia" w:hAnsiTheme="minorEastAsia" w:hint="eastAsia"/>
          <w:sz w:val="32"/>
          <w:szCs w:val="32"/>
        </w:rPr>
        <w:br/>
        <w:t>五、存在的主要问题及建议 </w:t>
      </w:r>
      <w:r>
        <w:rPr>
          <w:rFonts w:asciiTheme="minorEastAsia" w:hAnsiTheme="minorEastAsia" w:hint="eastAsia"/>
          <w:sz w:val="32"/>
          <w:szCs w:val="32"/>
        </w:rPr>
        <w:br/>
        <w:t>（一）部门预算工作经费偏少 </w:t>
      </w:r>
      <w:r>
        <w:rPr>
          <w:rFonts w:asciiTheme="minorEastAsia" w:hAnsiTheme="minorEastAsia" w:hint="eastAsia"/>
          <w:sz w:val="32"/>
          <w:szCs w:val="32"/>
        </w:rPr>
        <w:br/>
        <w:t>部门预算工作经费偏少。新形势下，民政部门工作任务日益繁重，年初预算工作经费远远不足，难以满足新形势下民政工作的要求，请县财政将我局工作经费足额列入当年财政预算。 </w:t>
      </w:r>
      <w:r>
        <w:rPr>
          <w:rFonts w:asciiTheme="minorEastAsia" w:hAnsiTheme="minorEastAsia" w:hint="eastAsia"/>
          <w:sz w:val="32"/>
          <w:szCs w:val="32"/>
        </w:rPr>
        <w:br/>
      </w:r>
      <w:r>
        <w:rPr>
          <w:rFonts w:asciiTheme="minorEastAsia" w:hAnsiTheme="minorEastAsia" w:hint="eastAsia"/>
          <w:sz w:val="32"/>
          <w:szCs w:val="32"/>
        </w:rPr>
        <w:lastRenderedPageBreak/>
        <w:t>（二）工作人员福利待遇难以保障 </w:t>
      </w:r>
      <w:r>
        <w:rPr>
          <w:rFonts w:asciiTheme="minorEastAsia" w:hAnsiTheme="minorEastAsia" w:hint="eastAsia"/>
          <w:sz w:val="32"/>
          <w:szCs w:val="32"/>
        </w:rPr>
        <w:br/>
        <w:t>目前，全国对国家工作人员的福利待遇进行了严格规范，我局都是按照县委、县政府规定的标准对工作人员的福利待遇进行保障，但是在现今的政策条件下，因自费编制多，部门预算资金不够，我局已难以承担工作人员的福利待遇，建议由县财政全额承担工作人员的福利待遇。 </w:t>
      </w:r>
      <w:r>
        <w:rPr>
          <w:rFonts w:asciiTheme="minorEastAsia" w:hAnsiTheme="minorEastAsia" w:hint="eastAsia"/>
          <w:sz w:val="32"/>
          <w:szCs w:val="32"/>
        </w:rPr>
        <w:br/>
        <w:t>（三）民政基础设施建设资金缺口大 </w:t>
      </w:r>
      <w:r>
        <w:rPr>
          <w:rFonts w:asciiTheme="minorEastAsia" w:hAnsiTheme="minorEastAsia" w:hint="eastAsia"/>
          <w:sz w:val="32"/>
          <w:szCs w:val="32"/>
        </w:rPr>
        <w:br/>
        <w:t>随着国家对民生的重视，赋予民政部门的工作越来越多，任务也越来越重，对民政基础服务设施的需求也越来越高，基础设施建设资金缺口极大，需县财政加大民政基础设施建设资金投入。</w:t>
      </w: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pStyle w:val="Default"/>
        <w:jc w:val="center"/>
        <w:rPr>
          <w:sz w:val="72"/>
          <w:szCs w:val="72"/>
        </w:rPr>
      </w:pPr>
    </w:p>
    <w:p w:rsidR="00D40258" w:rsidRDefault="00D40258">
      <w:pPr>
        <w:ind w:firstLineChars="200" w:firstLine="640"/>
        <w:jc w:val="left"/>
        <w:rPr>
          <w:rFonts w:asciiTheme="minorEastAsia" w:hAnsiTheme="minorEastAsia" w:cs="黑体"/>
          <w:color w:val="000000"/>
          <w:kern w:val="0"/>
          <w:sz w:val="32"/>
          <w:szCs w:val="32"/>
        </w:rPr>
      </w:pPr>
    </w:p>
    <w:sectPr w:rsidR="00D40258" w:rsidSect="0069446D">
      <w:pgSz w:w="11906" w:h="16838"/>
      <w:pgMar w:top="720" w:right="720" w:bottom="720" w:left="720"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0DFF" w:rsidRDefault="00A40DFF" w:rsidP="00A40DFF">
      <w:r>
        <w:separator/>
      </w:r>
    </w:p>
  </w:endnote>
  <w:endnote w:type="continuationSeparator" w:id="0">
    <w:p w:rsidR="00A40DFF" w:rsidRDefault="00A40DFF" w:rsidP="00A40D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0DFF" w:rsidRDefault="00A40DFF" w:rsidP="00A40DFF">
      <w:r>
        <w:separator/>
      </w:r>
    </w:p>
  </w:footnote>
  <w:footnote w:type="continuationSeparator" w:id="0">
    <w:p w:rsidR="00A40DFF" w:rsidRDefault="00A40DFF" w:rsidP="00A40DF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EC58778D"/>
    <w:multiLevelType w:val="singleLevel"/>
    <w:tmpl w:val="EC58778D"/>
    <w:lvl w:ilvl="0">
      <w:start w:val="2"/>
      <w:numFmt w:val="chineseCounting"/>
      <w:suff w:val="nothing"/>
      <w:lvlText w:val="%1、"/>
      <w:lvlJc w:val="left"/>
      <w:rPr>
        <w:rFonts w:hint="eastAsia"/>
      </w:rPr>
    </w:lvl>
  </w:abstractNum>
  <w:abstractNum w:abstractNumId="1">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506F9"/>
    <w:rsid w:val="000123FA"/>
    <w:rsid w:val="0002229B"/>
    <w:rsid w:val="000273BD"/>
    <w:rsid w:val="000415B7"/>
    <w:rsid w:val="000658A3"/>
    <w:rsid w:val="00074155"/>
    <w:rsid w:val="000A3F69"/>
    <w:rsid w:val="00152C6D"/>
    <w:rsid w:val="00162D39"/>
    <w:rsid w:val="00171BFB"/>
    <w:rsid w:val="001A67DB"/>
    <w:rsid w:val="001D51E5"/>
    <w:rsid w:val="001F0C3B"/>
    <w:rsid w:val="00214427"/>
    <w:rsid w:val="00265724"/>
    <w:rsid w:val="00265A1D"/>
    <w:rsid w:val="0027426B"/>
    <w:rsid w:val="003479BD"/>
    <w:rsid w:val="003768D5"/>
    <w:rsid w:val="004506F9"/>
    <w:rsid w:val="004717A2"/>
    <w:rsid w:val="00491741"/>
    <w:rsid w:val="004D0B01"/>
    <w:rsid w:val="00500E5F"/>
    <w:rsid w:val="005122EF"/>
    <w:rsid w:val="00517C33"/>
    <w:rsid w:val="00523644"/>
    <w:rsid w:val="0054069E"/>
    <w:rsid w:val="005767CC"/>
    <w:rsid w:val="00590D9F"/>
    <w:rsid w:val="00595D26"/>
    <w:rsid w:val="005A74E6"/>
    <w:rsid w:val="005D4D55"/>
    <w:rsid w:val="005E2CFB"/>
    <w:rsid w:val="0062378F"/>
    <w:rsid w:val="00651EEC"/>
    <w:rsid w:val="00661FC8"/>
    <w:rsid w:val="0069446D"/>
    <w:rsid w:val="006A351B"/>
    <w:rsid w:val="006B0422"/>
    <w:rsid w:val="006C1B53"/>
    <w:rsid w:val="006D7730"/>
    <w:rsid w:val="006E5284"/>
    <w:rsid w:val="006F3EB5"/>
    <w:rsid w:val="00702E34"/>
    <w:rsid w:val="00704395"/>
    <w:rsid w:val="00720FF1"/>
    <w:rsid w:val="00812ED5"/>
    <w:rsid w:val="008277D9"/>
    <w:rsid w:val="008A3E8D"/>
    <w:rsid w:val="008F6C7E"/>
    <w:rsid w:val="009237C4"/>
    <w:rsid w:val="00950252"/>
    <w:rsid w:val="00967F5D"/>
    <w:rsid w:val="009A0F95"/>
    <w:rsid w:val="009B3ADF"/>
    <w:rsid w:val="009C3B52"/>
    <w:rsid w:val="00A40DFF"/>
    <w:rsid w:val="00A42218"/>
    <w:rsid w:val="00A70249"/>
    <w:rsid w:val="00B33BEA"/>
    <w:rsid w:val="00B57C9F"/>
    <w:rsid w:val="00B845B3"/>
    <w:rsid w:val="00B85D8B"/>
    <w:rsid w:val="00B9737B"/>
    <w:rsid w:val="00BE3674"/>
    <w:rsid w:val="00BE5FD7"/>
    <w:rsid w:val="00BF563C"/>
    <w:rsid w:val="00C3049A"/>
    <w:rsid w:val="00C31B1E"/>
    <w:rsid w:val="00C77645"/>
    <w:rsid w:val="00CE04C3"/>
    <w:rsid w:val="00CE76A0"/>
    <w:rsid w:val="00D11C8E"/>
    <w:rsid w:val="00D148C6"/>
    <w:rsid w:val="00D40258"/>
    <w:rsid w:val="00DD06FF"/>
    <w:rsid w:val="00DD5FE9"/>
    <w:rsid w:val="00E00C7A"/>
    <w:rsid w:val="00E55B68"/>
    <w:rsid w:val="00F74360"/>
    <w:rsid w:val="00FB462F"/>
    <w:rsid w:val="00FE16FA"/>
    <w:rsid w:val="00FE328A"/>
    <w:rsid w:val="029D1AFF"/>
    <w:rsid w:val="036B7036"/>
    <w:rsid w:val="03744328"/>
    <w:rsid w:val="049727D9"/>
    <w:rsid w:val="04994C13"/>
    <w:rsid w:val="04E129B6"/>
    <w:rsid w:val="05364E1D"/>
    <w:rsid w:val="05FA1163"/>
    <w:rsid w:val="06261F4F"/>
    <w:rsid w:val="06586C0F"/>
    <w:rsid w:val="074434A3"/>
    <w:rsid w:val="085C7B43"/>
    <w:rsid w:val="090B10A0"/>
    <w:rsid w:val="0915412B"/>
    <w:rsid w:val="0A2368BD"/>
    <w:rsid w:val="0A733E75"/>
    <w:rsid w:val="0AA6125B"/>
    <w:rsid w:val="0B163D2C"/>
    <w:rsid w:val="0B38467B"/>
    <w:rsid w:val="0B955598"/>
    <w:rsid w:val="0CA05FA3"/>
    <w:rsid w:val="0D9718E8"/>
    <w:rsid w:val="0F3E4E9F"/>
    <w:rsid w:val="0F9273E1"/>
    <w:rsid w:val="10724FBF"/>
    <w:rsid w:val="11820290"/>
    <w:rsid w:val="119320E5"/>
    <w:rsid w:val="11942B60"/>
    <w:rsid w:val="11BF0865"/>
    <w:rsid w:val="11C95F9C"/>
    <w:rsid w:val="138159BF"/>
    <w:rsid w:val="13E456E8"/>
    <w:rsid w:val="143F6A3B"/>
    <w:rsid w:val="14D803B8"/>
    <w:rsid w:val="15175270"/>
    <w:rsid w:val="157B3B7F"/>
    <w:rsid w:val="15F86E50"/>
    <w:rsid w:val="16414763"/>
    <w:rsid w:val="16C11A3A"/>
    <w:rsid w:val="17722F85"/>
    <w:rsid w:val="18E61A41"/>
    <w:rsid w:val="196A79D5"/>
    <w:rsid w:val="1A6473BA"/>
    <w:rsid w:val="1AE216BB"/>
    <w:rsid w:val="1AE56547"/>
    <w:rsid w:val="1E9D55E4"/>
    <w:rsid w:val="1EF75DE1"/>
    <w:rsid w:val="20B125D2"/>
    <w:rsid w:val="20B87907"/>
    <w:rsid w:val="21CE6CB6"/>
    <w:rsid w:val="22B6684E"/>
    <w:rsid w:val="231E408F"/>
    <w:rsid w:val="233D51EE"/>
    <w:rsid w:val="25051A1C"/>
    <w:rsid w:val="251B2213"/>
    <w:rsid w:val="254479BB"/>
    <w:rsid w:val="25626751"/>
    <w:rsid w:val="27911943"/>
    <w:rsid w:val="28052008"/>
    <w:rsid w:val="28156D22"/>
    <w:rsid w:val="28A257D0"/>
    <w:rsid w:val="291E49C7"/>
    <w:rsid w:val="29383D5D"/>
    <w:rsid w:val="2979053C"/>
    <w:rsid w:val="29D4744E"/>
    <w:rsid w:val="29DA3F4F"/>
    <w:rsid w:val="2A2C24F5"/>
    <w:rsid w:val="2A372043"/>
    <w:rsid w:val="2B231E21"/>
    <w:rsid w:val="2B4F70BA"/>
    <w:rsid w:val="2B742A76"/>
    <w:rsid w:val="2BB40F3E"/>
    <w:rsid w:val="2BC25ADE"/>
    <w:rsid w:val="2C603208"/>
    <w:rsid w:val="2CBE1C54"/>
    <w:rsid w:val="2CF70382"/>
    <w:rsid w:val="2E250712"/>
    <w:rsid w:val="2EA64725"/>
    <w:rsid w:val="2EDA5BDF"/>
    <w:rsid w:val="30F3371F"/>
    <w:rsid w:val="311C17EC"/>
    <w:rsid w:val="31DF634F"/>
    <w:rsid w:val="31E00A6C"/>
    <w:rsid w:val="324F5BF1"/>
    <w:rsid w:val="327E3EF6"/>
    <w:rsid w:val="32D16B5D"/>
    <w:rsid w:val="32D35FBF"/>
    <w:rsid w:val="33042538"/>
    <w:rsid w:val="33971713"/>
    <w:rsid w:val="34DD43B4"/>
    <w:rsid w:val="351D4844"/>
    <w:rsid w:val="354E6370"/>
    <w:rsid w:val="357A34CD"/>
    <w:rsid w:val="366E6BD7"/>
    <w:rsid w:val="375B0BBC"/>
    <w:rsid w:val="38CA5FD2"/>
    <w:rsid w:val="3908262A"/>
    <w:rsid w:val="392D1953"/>
    <w:rsid w:val="3A1D1EB3"/>
    <w:rsid w:val="3A5F041E"/>
    <w:rsid w:val="3B787F67"/>
    <w:rsid w:val="3CEC530D"/>
    <w:rsid w:val="3DFA09C9"/>
    <w:rsid w:val="3E865FFC"/>
    <w:rsid w:val="3EE64302"/>
    <w:rsid w:val="3F3D5750"/>
    <w:rsid w:val="3FD339BE"/>
    <w:rsid w:val="425C47D1"/>
    <w:rsid w:val="4297646C"/>
    <w:rsid w:val="44071E88"/>
    <w:rsid w:val="44F45F5B"/>
    <w:rsid w:val="46DE3130"/>
    <w:rsid w:val="46F016CE"/>
    <w:rsid w:val="478732AA"/>
    <w:rsid w:val="47CD5AE9"/>
    <w:rsid w:val="47EE5D39"/>
    <w:rsid w:val="48BB2FAE"/>
    <w:rsid w:val="4933371F"/>
    <w:rsid w:val="49DB00F0"/>
    <w:rsid w:val="49E13A4D"/>
    <w:rsid w:val="4C10542E"/>
    <w:rsid w:val="4C4379C7"/>
    <w:rsid w:val="4D4841A6"/>
    <w:rsid w:val="4E9913BC"/>
    <w:rsid w:val="4F246AFD"/>
    <w:rsid w:val="4FB414F3"/>
    <w:rsid w:val="4FB530E0"/>
    <w:rsid w:val="513444D8"/>
    <w:rsid w:val="535E75EB"/>
    <w:rsid w:val="53E47AF0"/>
    <w:rsid w:val="54E95BAD"/>
    <w:rsid w:val="557719F0"/>
    <w:rsid w:val="56812558"/>
    <w:rsid w:val="56FB007F"/>
    <w:rsid w:val="574720D1"/>
    <w:rsid w:val="57B029A4"/>
    <w:rsid w:val="58316BFC"/>
    <w:rsid w:val="58A638B4"/>
    <w:rsid w:val="58BA0C36"/>
    <w:rsid w:val="590C091E"/>
    <w:rsid w:val="5A753B98"/>
    <w:rsid w:val="5ACC6A6C"/>
    <w:rsid w:val="5BD938A5"/>
    <w:rsid w:val="5BDD0181"/>
    <w:rsid w:val="5E192A8C"/>
    <w:rsid w:val="5E795EA7"/>
    <w:rsid w:val="5F7A1C50"/>
    <w:rsid w:val="5FAD16DE"/>
    <w:rsid w:val="609F43DF"/>
    <w:rsid w:val="60B439A9"/>
    <w:rsid w:val="61EA4375"/>
    <w:rsid w:val="64C554BE"/>
    <w:rsid w:val="66D82377"/>
    <w:rsid w:val="693D2AA1"/>
    <w:rsid w:val="69B14DA4"/>
    <w:rsid w:val="6A002D52"/>
    <w:rsid w:val="6E152DD5"/>
    <w:rsid w:val="6E6514D4"/>
    <w:rsid w:val="70095D9A"/>
    <w:rsid w:val="70BF7AB8"/>
    <w:rsid w:val="72451C4A"/>
    <w:rsid w:val="732D1AD6"/>
    <w:rsid w:val="73365D15"/>
    <w:rsid w:val="73DB16BD"/>
    <w:rsid w:val="74704153"/>
    <w:rsid w:val="747173C1"/>
    <w:rsid w:val="751002F7"/>
    <w:rsid w:val="7638398A"/>
    <w:rsid w:val="770420D4"/>
    <w:rsid w:val="778515B2"/>
    <w:rsid w:val="78D944CD"/>
    <w:rsid w:val="795A247F"/>
    <w:rsid w:val="7970148B"/>
    <w:rsid w:val="798E2CBF"/>
    <w:rsid w:val="7A23678E"/>
    <w:rsid w:val="7AD6449A"/>
    <w:rsid w:val="7D435C6D"/>
    <w:rsid w:val="7FAE52D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CB41E47E-21D4-4583-ADD0-D67CF41F7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446D"/>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69446D"/>
    <w:rPr>
      <w:sz w:val="18"/>
      <w:szCs w:val="18"/>
    </w:rPr>
  </w:style>
  <w:style w:type="paragraph" w:styleId="a4">
    <w:name w:val="footer"/>
    <w:basedOn w:val="a"/>
    <w:link w:val="Char0"/>
    <w:uiPriority w:val="99"/>
    <w:unhideWhenUsed/>
    <w:qFormat/>
    <w:rsid w:val="0069446D"/>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69446D"/>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69446D"/>
    <w:pPr>
      <w:widowControl/>
      <w:spacing w:before="100" w:beforeAutospacing="1" w:after="100" w:afterAutospacing="1"/>
      <w:jc w:val="left"/>
    </w:pPr>
    <w:rPr>
      <w:rFonts w:ascii="宋体" w:eastAsia="宋体" w:hAnsi="宋体" w:cs="宋体"/>
      <w:kern w:val="0"/>
      <w:sz w:val="24"/>
      <w:szCs w:val="24"/>
    </w:rPr>
  </w:style>
  <w:style w:type="character" w:customStyle="1" w:styleId="Char1">
    <w:name w:val="页眉 Char"/>
    <w:basedOn w:val="a0"/>
    <w:link w:val="a5"/>
    <w:uiPriority w:val="99"/>
    <w:qFormat/>
    <w:rsid w:val="0069446D"/>
    <w:rPr>
      <w:sz w:val="18"/>
      <w:szCs w:val="18"/>
    </w:rPr>
  </w:style>
  <w:style w:type="character" w:customStyle="1" w:styleId="Char0">
    <w:name w:val="页脚 Char"/>
    <w:basedOn w:val="a0"/>
    <w:link w:val="a4"/>
    <w:uiPriority w:val="99"/>
    <w:qFormat/>
    <w:rsid w:val="0069446D"/>
    <w:rPr>
      <w:sz w:val="18"/>
      <w:szCs w:val="18"/>
    </w:rPr>
  </w:style>
  <w:style w:type="paragraph" w:customStyle="1" w:styleId="Default">
    <w:name w:val="Default"/>
    <w:qFormat/>
    <w:rsid w:val="0069446D"/>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rsid w:val="0069446D"/>
    <w:pPr>
      <w:ind w:firstLineChars="200" w:firstLine="420"/>
    </w:pPr>
  </w:style>
  <w:style w:type="character" w:customStyle="1" w:styleId="Char">
    <w:name w:val="批注框文本 Char"/>
    <w:basedOn w:val="a0"/>
    <w:link w:val="a3"/>
    <w:uiPriority w:val="99"/>
    <w:semiHidden/>
    <w:qFormat/>
    <w:rsid w:val="0069446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FF397A-D83E-4809-B363-439C4D8FC6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30</Pages>
  <Words>2051</Words>
  <Characters>11696</Characters>
  <Application>Microsoft Office Word</Application>
  <DocSecurity>0</DocSecurity>
  <Lines>97</Lines>
  <Paragraphs>27</Paragraphs>
  <ScaleCrop>false</ScaleCrop>
  <Company>Microsoft</Company>
  <LinksUpToDate>false</LinksUpToDate>
  <CharactersWithSpaces>13720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33</cp:revision>
  <cp:lastPrinted>2020-07-15T07:25:00Z</cp:lastPrinted>
  <dcterms:created xsi:type="dcterms:W3CDTF">2020-07-02T02:32:00Z</dcterms:created>
  <dcterms:modified xsi:type="dcterms:W3CDTF">2022-09-07T05:56:00Z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37CBD0AABDD9497D9448A919D3AA7ED9</vt:lpwstr>
  </property>
</Properties>
</file>