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EC" w:rsidRDefault="00BD33EC">
      <w:pPr>
        <w:pStyle w:val="Default"/>
        <w:jc w:val="center"/>
        <w:rPr>
          <w:sz w:val="56"/>
          <w:szCs w:val="56"/>
        </w:rPr>
      </w:pPr>
    </w:p>
    <w:p w:rsidR="00BD33EC" w:rsidRDefault="00BD33EC">
      <w:pPr>
        <w:pStyle w:val="Default"/>
        <w:jc w:val="center"/>
        <w:rPr>
          <w:sz w:val="56"/>
          <w:szCs w:val="56"/>
        </w:rPr>
      </w:pPr>
    </w:p>
    <w:p w:rsidR="00BD33EC" w:rsidRDefault="00BD33EC">
      <w:pPr>
        <w:pStyle w:val="Default"/>
        <w:jc w:val="center"/>
        <w:rPr>
          <w:sz w:val="84"/>
          <w:szCs w:val="84"/>
        </w:rPr>
      </w:pPr>
    </w:p>
    <w:p w:rsidR="00BD33EC" w:rsidRDefault="00BD33EC">
      <w:pPr>
        <w:pStyle w:val="Default"/>
        <w:jc w:val="center"/>
        <w:rPr>
          <w:sz w:val="84"/>
          <w:szCs w:val="84"/>
        </w:rPr>
      </w:pPr>
    </w:p>
    <w:p w:rsidR="00BD33EC" w:rsidRDefault="001F41F8">
      <w:pPr>
        <w:pStyle w:val="Default"/>
        <w:jc w:val="center"/>
        <w:rPr>
          <w:sz w:val="84"/>
          <w:szCs w:val="84"/>
        </w:rPr>
      </w:pPr>
      <w:r>
        <w:rPr>
          <w:rFonts w:hint="eastAsia"/>
          <w:sz w:val="84"/>
          <w:szCs w:val="84"/>
        </w:rPr>
        <w:t>2020年度</w:t>
      </w:r>
    </w:p>
    <w:p w:rsidR="00BD33EC" w:rsidRDefault="001F41F8">
      <w:pPr>
        <w:pStyle w:val="Default"/>
        <w:jc w:val="center"/>
        <w:rPr>
          <w:sz w:val="84"/>
          <w:szCs w:val="84"/>
        </w:rPr>
      </w:pPr>
      <w:r>
        <w:rPr>
          <w:rFonts w:hint="eastAsia"/>
          <w:sz w:val="84"/>
          <w:szCs w:val="84"/>
        </w:rPr>
        <w:t>泉溪镇人民政府</w:t>
      </w:r>
    </w:p>
    <w:p w:rsidR="00BD33EC" w:rsidRDefault="001F41F8">
      <w:pPr>
        <w:pStyle w:val="Default"/>
        <w:jc w:val="center"/>
        <w:rPr>
          <w:sz w:val="84"/>
          <w:szCs w:val="84"/>
        </w:rPr>
      </w:pPr>
      <w:r>
        <w:rPr>
          <w:rFonts w:hint="eastAsia"/>
          <w:sz w:val="84"/>
          <w:szCs w:val="84"/>
        </w:rPr>
        <w:t>部门决算</w:t>
      </w:r>
    </w:p>
    <w:p w:rsidR="00BD33EC" w:rsidRDefault="00BD33EC">
      <w:pPr>
        <w:pStyle w:val="Default"/>
        <w:jc w:val="center"/>
        <w:rPr>
          <w:sz w:val="56"/>
          <w:szCs w:val="56"/>
        </w:rPr>
      </w:pPr>
    </w:p>
    <w:p w:rsidR="00BD33EC" w:rsidRDefault="00BD33EC">
      <w:pPr>
        <w:pStyle w:val="Default"/>
        <w:jc w:val="center"/>
        <w:rPr>
          <w:sz w:val="56"/>
          <w:szCs w:val="56"/>
        </w:rPr>
      </w:pPr>
    </w:p>
    <w:p w:rsidR="00BD33EC" w:rsidRDefault="00BD33EC">
      <w:pPr>
        <w:pStyle w:val="Default"/>
        <w:jc w:val="center"/>
        <w:rPr>
          <w:sz w:val="56"/>
          <w:szCs w:val="56"/>
        </w:rPr>
      </w:pPr>
    </w:p>
    <w:p w:rsidR="00BD33EC" w:rsidRDefault="00BD33EC">
      <w:pPr>
        <w:pStyle w:val="Default"/>
        <w:jc w:val="center"/>
        <w:rPr>
          <w:sz w:val="56"/>
          <w:szCs w:val="56"/>
        </w:rPr>
      </w:pPr>
    </w:p>
    <w:p w:rsidR="00BD33EC" w:rsidRDefault="00BD33EC">
      <w:pPr>
        <w:pStyle w:val="Default"/>
        <w:jc w:val="center"/>
        <w:rPr>
          <w:sz w:val="56"/>
          <w:szCs w:val="56"/>
        </w:rPr>
      </w:pPr>
    </w:p>
    <w:p w:rsidR="00BD33EC" w:rsidRDefault="00BD33EC">
      <w:pPr>
        <w:pStyle w:val="Default"/>
        <w:spacing w:line="540" w:lineRule="exact"/>
        <w:jc w:val="center"/>
        <w:rPr>
          <w:sz w:val="56"/>
          <w:szCs w:val="56"/>
        </w:rPr>
      </w:pPr>
    </w:p>
    <w:p w:rsidR="00BD33EC" w:rsidRDefault="00BD33EC">
      <w:pPr>
        <w:pStyle w:val="Default"/>
        <w:spacing w:line="540" w:lineRule="exact"/>
        <w:jc w:val="center"/>
        <w:rPr>
          <w:sz w:val="56"/>
          <w:szCs w:val="56"/>
        </w:rPr>
      </w:pPr>
    </w:p>
    <w:p w:rsidR="00BD33EC" w:rsidRDefault="00BD33EC">
      <w:pPr>
        <w:pStyle w:val="Default"/>
        <w:spacing w:line="540" w:lineRule="exact"/>
        <w:jc w:val="center"/>
        <w:rPr>
          <w:sz w:val="56"/>
          <w:szCs w:val="56"/>
        </w:rPr>
      </w:pPr>
    </w:p>
    <w:p w:rsidR="00BD33EC" w:rsidRDefault="00BD33EC">
      <w:pPr>
        <w:pStyle w:val="Default"/>
        <w:spacing w:line="540" w:lineRule="exact"/>
        <w:jc w:val="center"/>
        <w:rPr>
          <w:sz w:val="56"/>
          <w:szCs w:val="56"/>
        </w:rPr>
      </w:pPr>
    </w:p>
    <w:p w:rsidR="00BD33EC" w:rsidRDefault="00BD33EC">
      <w:pPr>
        <w:pStyle w:val="Default"/>
        <w:spacing w:line="540" w:lineRule="exact"/>
        <w:jc w:val="center"/>
        <w:rPr>
          <w:sz w:val="56"/>
          <w:szCs w:val="56"/>
        </w:rPr>
      </w:pPr>
    </w:p>
    <w:p w:rsidR="00BD33EC" w:rsidRDefault="001F41F8">
      <w:pPr>
        <w:pStyle w:val="Default"/>
        <w:spacing w:line="520" w:lineRule="exact"/>
        <w:jc w:val="center"/>
        <w:rPr>
          <w:sz w:val="56"/>
          <w:szCs w:val="56"/>
        </w:rPr>
      </w:pPr>
      <w:r>
        <w:rPr>
          <w:rFonts w:hint="eastAsia"/>
          <w:sz w:val="56"/>
          <w:szCs w:val="56"/>
        </w:rPr>
        <w:t>目录</w:t>
      </w:r>
    </w:p>
    <w:p w:rsidR="00BD33EC" w:rsidRDefault="00BD33EC">
      <w:pPr>
        <w:pStyle w:val="Default"/>
        <w:spacing w:line="520" w:lineRule="exact"/>
        <w:jc w:val="center"/>
        <w:rPr>
          <w:sz w:val="56"/>
          <w:szCs w:val="56"/>
        </w:rPr>
      </w:pPr>
    </w:p>
    <w:p w:rsidR="00BD33EC" w:rsidRDefault="00BD33EC">
      <w:pPr>
        <w:pStyle w:val="Default"/>
        <w:spacing w:line="520" w:lineRule="exact"/>
        <w:jc w:val="center"/>
        <w:rPr>
          <w:sz w:val="56"/>
          <w:szCs w:val="56"/>
        </w:rPr>
      </w:pPr>
    </w:p>
    <w:p w:rsidR="00BD33EC" w:rsidRDefault="001F41F8">
      <w:pPr>
        <w:pStyle w:val="Default"/>
        <w:spacing w:line="520" w:lineRule="exact"/>
        <w:rPr>
          <w:rFonts w:ascii="仿宋_GB2312" w:hAnsi="仿宋_GB2312" w:cs="仿宋_GB2312"/>
          <w:b/>
          <w:sz w:val="28"/>
          <w:szCs w:val="28"/>
        </w:rPr>
      </w:pPr>
      <w:r>
        <w:rPr>
          <w:rFonts w:hint="eastAsia"/>
          <w:b/>
          <w:sz w:val="28"/>
          <w:szCs w:val="28"/>
        </w:rPr>
        <w:t>第一部分泉溪镇人民政府概况</w:t>
      </w:r>
    </w:p>
    <w:p w:rsidR="00BD33EC" w:rsidRDefault="001F41F8">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BD33EC" w:rsidRDefault="001F41F8">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BD33EC" w:rsidRDefault="001F41F8">
      <w:pPr>
        <w:pStyle w:val="Default"/>
        <w:spacing w:line="520" w:lineRule="exact"/>
        <w:rPr>
          <w:rFonts w:ascii="仿宋_GB2312" w:hAnsi="仿宋_GB2312" w:cs="仿宋_GB2312"/>
          <w:b/>
          <w:sz w:val="28"/>
          <w:szCs w:val="28"/>
        </w:rPr>
      </w:pPr>
      <w:r>
        <w:rPr>
          <w:rFonts w:hAnsi="仿宋_GB2312" w:hint="eastAsia"/>
          <w:b/>
          <w:sz w:val="28"/>
          <w:szCs w:val="28"/>
        </w:rPr>
        <w:t>第二部分2020年度部门决算表</w:t>
      </w:r>
    </w:p>
    <w:p w:rsidR="00BD33EC" w:rsidRDefault="001F41F8">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BD33EC" w:rsidRDefault="001F41F8">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BD33EC" w:rsidRDefault="001F41F8">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BD33EC" w:rsidRDefault="001F41F8">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BD33EC" w:rsidRDefault="001F41F8">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BD33EC" w:rsidRDefault="001F41F8">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BD33EC" w:rsidRDefault="001F41F8">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BD33EC" w:rsidRDefault="001F41F8">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BD33EC" w:rsidRDefault="001F41F8">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九、国有资本经营预算财政拨款支出决算表</w:t>
      </w:r>
    </w:p>
    <w:p w:rsidR="00BD33EC" w:rsidRDefault="001F41F8">
      <w:pPr>
        <w:pStyle w:val="Default"/>
        <w:spacing w:line="520" w:lineRule="exact"/>
        <w:rPr>
          <w:rFonts w:ascii="仿宋_GB2312" w:hAnsi="仿宋_GB2312" w:cs="仿宋_GB2312"/>
          <w:b/>
          <w:sz w:val="28"/>
          <w:szCs w:val="28"/>
        </w:rPr>
      </w:pPr>
      <w:r>
        <w:rPr>
          <w:rFonts w:hAnsi="仿宋_GB2312" w:hint="eastAsia"/>
          <w:b/>
          <w:sz w:val="28"/>
          <w:szCs w:val="28"/>
        </w:rPr>
        <w:t>第三部分2020年度部门决算情况说明</w:t>
      </w:r>
    </w:p>
    <w:p w:rsidR="00BD33EC" w:rsidRDefault="001F41F8">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BD33EC" w:rsidRDefault="001F41F8">
      <w:pPr>
        <w:spacing w:line="52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BD33EC" w:rsidRDefault="001F41F8">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BD33EC" w:rsidRDefault="001F41F8">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BD33EC" w:rsidRDefault="001F41F8">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BD33EC" w:rsidRDefault="001F41F8">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BD33EC" w:rsidRDefault="001F41F8">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w:t>
      </w:r>
      <w:proofErr w:type="gramStart"/>
      <w:r>
        <w:rPr>
          <w:rFonts w:ascii="仿宋_GB2312" w:hAnsi="仿宋_GB2312" w:cs="仿宋_GB2312"/>
          <w:color w:val="000000"/>
          <w:kern w:val="0"/>
          <w:sz w:val="28"/>
          <w:szCs w:val="28"/>
        </w:rPr>
        <w:t>公经费</w:t>
      </w:r>
      <w:proofErr w:type="gramEnd"/>
      <w:r>
        <w:rPr>
          <w:rFonts w:ascii="仿宋_GB2312" w:hAnsi="仿宋_GB2312" w:cs="仿宋_GB2312"/>
          <w:color w:val="000000"/>
          <w:kern w:val="0"/>
          <w:sz w:val="28"/>
          <w:szCs w:val="28"/>
        </w:rPr>
        <w:t>支出决算情况说明</w:t>
      </w:r>
    </w:p>
    <w:p w:rsidR="00BD33EC" w:rsidRDefault="001F41F8">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1F41F8" w:rsidRPr="00777C36" w:rsidRDefault="001F41F8" w:rsidP="001F41F8">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777C36">
        <w:rPr>
          <w:rFonts w:ascii="仿宋_GB2312" w:hAnsi="仿宋_GB2312" w:cs="仿宋_GB2312" w:hint="eastAsia"/>
          <w:color w:val="000000"/>
          <w:kern w:val="0"/>
          <w:sz w:val="28"/>
          <w:szCs w:val="28"/>
        </w:rPr>
        <w:t>九、国有资本经营预算财政拨款支出决算情况</w:t>
      </w:r>
    </w:p>
    <w:p w:rsidR="001F41F8" w:rsidRPr="00777C36" w:rsidRDefault="001F41F8" w:rsidP="001F41F8">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777C36">
        <w:rPr>
          <w:rFonts w:ascii="仿宋_GB2312" w:hAnsi="仿宋_GB2312" w:cs="仿宋_GB2312" w:hint="eastAsia"/>
          <w:color w:val="000000"/>
          <w:kern w:val="0"/>
          <w:sz w:val="28"/>
          <w:szCs w:val="28"/>
        </w:rPr>
        <w:t>十、关于机关运行经费支出说明</w:t>
      </w:r>
    </w:p>
    <w:p w:rsidR="001F41F8" w:rsidRPr="00777C36" w:rsidRDefault="001F41F8" w:rsidP="001F41F8">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777C36">
        <w:rPr>
          <w:rFonts w:ascii="仿宋_GB2312" w:hAnsi="仿宋_GB2312" w:cs="仿宋_GB2312" w:hint="eastAsia"/>
          <w:color w:val="000000"/>
          <w:kern w:val="0"/>
          <w:sz w:val="28"/>
          <w:szCs w:val="28"/>
        </w:rPr>
        <w:t>十一、一般性支出情况说明</w:t>
      </w:r>
    </w:p>
    <w:p w:rsidR="001F41F8" w:rsidRPr="00777C36" w:rsidRDefault="001F41F8" w:rsidP="001F41F8">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777C36">
        <w:rPr>
          <w:rFonts w:ascii="仿宋_GB2312" w:hAnsi="仿宋_GB2312" w:cs="仿宋_GB2312" w:hint="eastAsia"/>
          <w:color w:val="000000"/>
          <w:kern w:val="0"/>
          <w:sz w:val="28"/>
          <w:szCs w:val="28"/>
        </w:rPr>
        <w:lastRenderedPageBreak/>
        <w:t>十二、关于政府采购支出说明</w:t>
      </w:r>
    </w:p>
    <w:p w:rsidR="001F41F8" w:rsidRPr="00777C36" w:rsidRDefault="001F41F8" w:rsidP="001F41F8">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777C36">
        <w:rPr>
          <w:rFonts w:ascii="仿宋_GB2312" w:hAnsi="仿宋_GB2312" w:cs="仿宋_GB2312" w:hint="eastAsia"/>
          <w:color w:val="000000"/>
          <w:kern w:val="0"/>
          <w:sz w:val="28"/>
          <w:szCs w:val="28"/>
        </w:rPr>
        <w:t>十三、关于国有资产占用情况说明</w:t>
      </w:r>
    </w:p>
    <w:p w:rsidR="001F41F8" w:rsidRPr="00777C36" w:rsidRDefault="001F41F8" w:rsidP="001F41F8">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777C36">
        <w:rPr>
          <w:rFonts w:ascii="仿宋_GB2312" w:hAnsi="仿宋_GB2312" w:cs="仿宋_GB2312" w:hint="eastAsia"/>
          <w:color w:val="000000"/>
          <w:kern w:val="0"/>
          <w:sz w:val="28"/>
          <w:szCs w:val="28"/>
        </w:rPr>
        <w:t>十四、关于</w:t>
      </w:r>
      <w:r w:rsidRPr="00777C36">
        <w:rPr>
          <w:rFonts w:ascii="仿宋_GB2312" w:hAnsi="仿宋_GB2312" w:cs="仿宋_GB2312" w:hint="eastAsia"/>
          <w:color w:val="000000"/>
          <w:kern w:val="0"/>
          <w:sz w:val="28"/>
          <w:szCs w:val="28"/>
        </w:rPr>
        <w:t>2020</w:t>
      </w:r>
      <w:r w:rsidRPr="00777C36">
        <w:rPr>
          <w:rFonts w:ascii="仿宋_GB2312" w:hAnsi="仿宋_GB2312" w:cs="仿宋_GB2312" w:hint="eastAsia"/>
          <w:color w:val="000000"/>
          <w:kern w:val="0"/>
          <w:sz w:val="28"/>
          <w:szCs w:val="28"/>
        </w:rPr>
        <w:t>年度预算绩效情况说明</w:t>
      </w:r>
    </w:p>
    <w:p w:rsidR="00BD33EC" w:rsidRDefault="001F41F8">
      <w:pPr>
        <w:autoSpaceDE w:val="0"/>
        <w:autoSpaceDN w:val="0"/>
        <w:adjustRightInd w:val="0"/>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第四部分名词解释</w:t>
      </w:r>
    </w:p>
    <w:p w:rsidR="00BD33EC" w:rsidRDefault="001F41F8">
      <w:pPr>
        <w:spacing w:line="520" w:lineRule="exact"/>
        <w:jc w:val="left"/>
        <w:rPr>
          <w:rFonts w:ascii="黑体" w:eastAsia="黑体" w:hAnsi="黑体" w:cs="黑体"/>
          <w:b/>
          <w:color w:val="000000"/>
          <w:kern w:val="0"/>
          <w:sz w:val="28"/>
          <w:szCs w:val="28"/>
        </w:rPr>
      </w:pPr>
      <w:r>
        <w:rPr>
          <w:rFonts w:ascii="黑体" w:eastAsia="黑体" w:hAnsi="黑体" w:cs="黑体"/>
          <w:b/>
          <w:color w:val="000000"/>
          <w:kern w:val="0"/>
          <w:sz w:val="28"/>
          <w:szCs w:val="28"/>
        </w:rPr>
        <w:t>第五部分附件</w:t>
      </w:r>
    </w:p>
    <w:p w:rsidR="00BD33EC" w:rsidRDefault="00BD33EC">
      <w:pPr>
        <w:pStyle w:val="a0"/>
        <w:rPr>
          <w:rFonts w:ascii="黑体" w:eastAsia="黑体" w:hAnsi="黑体" w:cs="黑体"/>
          <w:b/>
          <w:color w:val="000000"/>
          <w:kern w:val="0"/>
          <w:sz w:val="28"/>
          <w:szCs w:val="28"/>
        </w:rPr>
      </w:pPr>
    </w:p>
    <w:p w:rsidR="00BD33EC" w:rsidRDefault="00BD33EC">
      <w:pPr>
        <w:pStyle w:val="a0"/>
        <w:rPr>
          <w:rFonts w:ascii="黑体" w:eastAsia="黑体" w:hAnsi="黑体" w:cs="黑体"/>
          <w:b/>
          <w:color w:val="000000"/>
          <w:kern w:val="0"/>
          <w:sz w:val="28"/>
          <w:szCs w:val="28"/>
        </w:rPr>
      </w:pPr>
    </w:p>
    <w:p w:rsidR="00BD33EC" w:rsidRDefault="00BD33EC">
      <w:pPr>
        <w:pStyle w:val="a0"/>
        <w:rPr>
          <w:rFonts w:ascii="黑体" w:eastAsia="黑体" w:hAnsi="黑体" w:cs="黑体"/>
          <w:b/>
          <w:color w:val="000000"/>
          <w:kern w:val="0"/>
          <w:sz w:val="28"/>
          <w:szCs w:val="28"/>
        </w:rPr>
      </w:pPr>
    </w:p>
    <w:p w:rsidR="00BD33EC" w:rsidRDefault="00BD33EC">
      <w:pPr>
        <w:pStyle w:val="a0"/>
        <w:rPr>
          <w:rFonts w:ascii="黑体" w:eastAsia="黑体" w:hAnsi="黑体" w:cs="黑体"/>
          <w:b/>
          <w:color w:val="000000"/>
          <w:kern w:val="0"/>
          <w:sz w:val="28"/>
          <w:szCs w:val="28"/>
        </w:rPr>
      </w:pPr>
    </w:p>
    <w:p w:rsidR="00BD33EC" w:rsidRDefault="00BD33EC">
      <w:pPr>
        <w:pStyle w:val="a0"/>
        <w:rPr>
          <w:rFonts w:ascii="黑体" w:eastAsia="黑体" w:hAnsi="黑体" w:cs="黑体"/>
          <w:b/>
          <w:color w:val="000000"/>
          <w:kern w:val="0"/>
          <w:sz w:val="28"/>
          <w:szCs w:val="28"/>
        </w:rPr>
      </w:pPr>
    </w:p>
    <w:p w:rsidR="00BD33EC" w:rsidRDefault="00BD33EC">
      <w:pPr>
        <w:pStyle w:val="a0"/>
        <w:rPr>
          <w:rFonts w:ascii="黑体" w:eastAsia="黑体" w:hAnsi="黑体" w:cs="黑体"/>
          <w:b/>
          <w:color w:val="000000"/>
          <w:kern w:val="0"/>
          <w:sz w:val="28"/>
          <w:szCs w:val="28"/>
        </w:rPr>
      </w:pPr>
    </w:p>
    <w:p w:rsidR="00BD33EC" w:rsidRDefault="00BD33EC">
      <w:pPr>
        <w:pStyle w:val="a0"/>
        <w:rPr>
          <w:rFonts w:ascii="黑体" w:eastAsia="黑体" w:hAnsi="黑体" w:cs="黑体"/>
          <w:b/>
          <w:color w:val="000000"/>
          <w:kern w:val="0"/>
          <w:sz w:val="28"/>
          <w:szCs w:val="28"/>
        </w:rPr>
      </w:pPr>
    </w:p>
    <w:p w:rsidR="00BD33EC" w:rsidRDefault="00BD33EC">
      <w:pPr>
        <w:pStyle w:val="a0"/>
        <w:rPr>
          <w:rFonts w:ascii="黑体" w:eastAsia="黑体" w:hAnsi="黑体" w:cs="黑体"/>
          <w:b/>
          <w:color w:val="000000"/>
          <w:kern w:val="0"/>
          <w:sz w:val="28"/>
          <w:szCs w:val="28"/>
        </w:rPr>
      </w:pPr>
    </w:p>
    <w:p w:rsidR="00BD33EC" w:rsidRDefault="00BD33EC">
      <w:pPr>
        <w:pStyle w:val="a0"/>
        <w:rPr>
          <w:rFonts w:ascii="黑体" w:eastAsia="黑体" w:hAnsi="黑体" w:cs="黑体"/>
          <w:b/>
          <w:color w:val="000000"/>
          <w:kern w:val="0"/>
          <w:sz w:val="28"/>
          <w:szCs w:val="28"/>
        </w:rPr>
      </w:pPr>
    </w:p>
    <w:p w:rsidR="00BD33EC" w:rsidRDefault="00BD33EC">
      <w:pPr>
        <w:pStyle w:val="a0"/>
        <w:rPr>
          <w:rFonts w:ascii="黑体" w:eastAsia="黑体" w:hAnsi="黑体" w:cs="黑体"/>
          <w:b/>
          <w:color w:val="000000"/>
          <w:kern w:val="0"/>
          <w:sz w:val="28"/>
          <w:szCs w:val="28"/>
        </w:rPr>
      </w:pPr>
    </w:p>
    <w:p w:rsidR="00BD33EC" w:rsidRDefault="00BD33EC">
      <w:pPr>
        <w:pStyle w:val="a0"/>
        <w:rPr>
          <w:rFonts w:ascii="黑体" w:eastAsia="黑体" w:hAnsi="黑体" w:cs="黑体"/>
          <w:b/>
          <w:color w:val="000000"/>
          <w:kern w:val="0"/>
          <w:sz w:val="28"/>
          <w:szCs w:val="28"/>
        </w:rPr>
      </w:pPr>
    </w:p>
    <w:p w:rsidR="00BD33EC" w:rsidRDefault="00BD33EC">
      <w:pPr>
        <w:pStyle w:val="a0"/>
        <w:rPr>
          <w:rFonts w:ascii="黑体" w:eastAsia="黑体" w:hAnsi="黑体" w:cs="黑体"/>
          <w:b/>
          <w:color w:val="000000"/>
          <w:kern w:val="0"/>
          <w:sz w:val="28"/>
          <w:szCs w:val="28"/>
        </w:rPr>
      </w:pPr>
    </w:p>
    <w:p w:rsidR="00BD33EC" w:rsidRDefault="00BD33EC">
      <w:pPr>
        <w:pStyle w:val="a0"/>
        <w:rPr>
          <w:rFonts w:ascii="黑体" w:eastAsia="黑体" w:hAnsi="黑体" w:cs="黑体"/>
          <w:b/>
          <w:color w:val="000000"/>
          <w:kern w:val="0"/>
          <w:sz w:val="28"/>
          <w:szCs w:val="28"/>
        </w:rPr>
      </w:pPr>
    </w:p>
    <w:p w:rsidR="00BD33EC" w:rsidRDefault="00BD33EC">
      <w:pPr>
        <w:pStyle w:val="a0"/>
        <w:rPr>
          <w:rFonts w:ascii="黑体" w:eastAsia="黑体" w:hAnsi="黑体" w:cs="黑体"/>
          <w:b/>
          <w:color w:val="000000"/>
          <w:kern w:val="0"/>
          <w:sz w:val="28"/>
          <w:szCs w:val="28"/>
        </w:rPr>
      </w:pPr>
    </w:p>
    <w:p w:rsidR="00BD33EC" w:rsidRDefault="00BD33EC">
      <w:pPr>
        <w:pStyle w:val="a0"/>
        <w:rPr>
          <w:rFonts w:ascii="黑体" w:eastAsia="黑体" w:hAnsi="黑体" w:cs="黑体"/>
          <w:b/>
          <w:color w:val="000000"/>
          <w:kern w:val="0"/>
          <w:sz w:val="28"/>
          <w:szCs w:val="28"/>
        </w:rPr>
      </w:pPr>
    </w:p>
    <w:p w:rsidR="00BD33EC" w:rsidRDefault="00BD33EC">
      <w:pPr>
        <w:pStyle w:val="a0"/>
        <w:rPr>
          <w:rFonts w:ascii="黑体" w:eastAsia="黑体" w:hAnsi="黑体" w:cs="黑体"/>
          <w:b/>
          <w:color w:val="000000"/>
          <w:kern w:val="0"/>
          <w:sz w:val="28"/>
          <w:szCs w:val="28"/>
        </w:rPr>
      </w:pPr>
    </w:p>
    <w:p w:rsidR="00BD33EC" w:rsidRDefault="00BD33EC">
      <w:pPr>
        <w:pStyle w:val="a0"/>
        <w:rPr>
          <w:rFonts w:ascii="黑体" w:eastAsia="黑体" w:hAnsi="黑体" w:cs="黑体"/>
          <w:b/>
          <w:color w:val="000000"/>
          <w:kern w:val="0"/>
          <w:sz w:val="28"/>
          <w:szCs w:val="28"/>
        </w:rPr>
      </w:pPr>
    </w:p>
    <w:p w:rsidR="00BD33EC" w:rsidRDefault="00BD33EC">
      <w:pPr>
        <w:pStyle w:val="a0"/>
        <w:rPr>
          <w:rFonts w:ascii="黑体" w:eastAsia="黑体" w:hAnsi="黑体" w:cs="黑体"/>
          <w:b/>
          <w:color w:val="000000"/>
          <w:kern w:val="0"/>
          <w:sz w:val="28"/>
          <w:szCs w:val="28"/>
        </w:rPr>
      </w:pPr>
    </w:p>
    <w:p w:rsidR="00BD33EC" w:rsidRDefault="00BD33EC">
      <w:pPr>
        <w:pStyle w:val="a0"/>
        <w:rPr>
          <w:rFonts w:ascii="黑体" w:eastAsia="黑体" w:hAnsi="黑体" w:cs="黑体"/>
          <w:b/>
          <w:color w:val="000000"/>
          <w:kern w:val="0"/>
          <w:sz w:val="28"/>
          <w:szCs w:val="28"/>
        </w:rPr>
      </w:pPr>
    </w:p>
    <w:p w:rsidR="00BD33EC" w:rsidRDefault="00BD33EC">
      <w:pPr>
        <w:pStyle w:val="a0"/>
        <w:rPr>
          <w:rFonts w:ascii="黑体" w:eastAsia="黑体" w:hAnsi="黑体" w:cs="黑体"/>
          <w:b/>
          <w:color w:val="000000"/>
          <w:kern w:val="0"/>
          <w:sz w:val="28"/>
          <w:szCs w:val="28"/>
        </w:rPr>
      </w:pPr>
    </w:p>
    <w:p w:rsidR="00BD33EC" w:rsidRDefault="00BD33EC">
      <w:pPr>
        <w:pStyle w:val="a0"/>
        <w:rPr>
          <w:rFonts w:ascii="黑体" w:eastAsia="黑体" w:hAnsi="黑体" w:cs="黑体"/>
          <w:b/>
          <w:color w:val="000000"/>
          <w:kern w:val="0"/>
          <w:sz w:val="28"/>
          <w:szCs w:val="28"/>
        </w:rPr>
      </w:pPr>
    </w:p>
    <w:p w:rsidR="00BD33EC" w:rsidRDefault="00BD33EC">
      <w:pPr>
        <w:pStyle w:val="a0"/>
        <w:rPr>
          <w:rFonts w:ascii="黑体" w:eastAsia="黑体" w:hAnsi="黑体" w:cs="黑体"/>
          <w:b/>
          <w:color w:val="000000"/>
          <w:kern w:val="0"/>
          <w:sz w:val="28"/>
          <w:szCs w:val="28"/>
        </w:rPr>
      </w:pPr>
    </w:p>
    <w:p w:rsidR="00BD33EC" w:rsidRDefault="00BD33EC">
      <w:pPr>
        <w:pStyle w:val="a0"/>
        <w:rPr>
          <w:rFonts w:ascii="黑体" w:eastAsia="黑体" w:hAnsi="黑体" w:cs="黑体"/>
          <w:b/>
          <w:color w:val="000000"/>
          <w:kern w:val="0"/>
          <w:sz w:val="28"/>
          <w:szCs w:val="28"/>
        </w:rPr>
      </w:pPr>
    </w:p>
    <w:p w:rsidR="00BD33EC" w:rsidRDefault="00BD33EC">
      <w:pPr>
        <w:pStyle w:val="a0"/>
        <w:rPr>
          <w:rFonts w:ascii="黑体" w:eastAsia="黑体" w:hAnsi="黑体" w:cs="黑体"/>
          <w:b/>
          <w:color w:val="000000"/>
          <w:kern w:val="0"/>
          <w:sz w:val="28"/>
          <w:szCs w:val="28"/>
        </w:rPr>
      </w:pPr>
    </w:p>
    <w:p w:rsidR="00BD33EC" w:rsidRDefault="00BD33EC">
      <w:pPr>
        <w:pStyle w:val="a0"/>
        <w:rPr>
          <w:rFonts w:ascii="黑体" w:eastAsia="黑体" w:hAnsi="黑体" w:cs="黑体"/>
          <w:b/>
          <w:color w:val="000000"/>
          <w:kern w:val="0"/>
          <w:sz w:val="28"/>
          <w:szCs w:val="28"/>
        </w:rPr>
      </w:pPr>
    </w:p>
    <w:p w:rsidR="00BD33EC" w:rsidRDefault="00BD33EC">
      <w:pPr>
        <w:pStyle w:val="a0"/>
        <w:rPr>
          <w:rFonts w:ascii="黑体" w:eastAsia="黑体" w:hAnsi="黑体" w:cs="黑体"/>
          <w:b/>
          <w:color w:val="000000"/>
          <w:kern w:val="0"/>
          <w:sz w:val="28"/>
          <w:szCs w:val="28"/>
        </w:rPr>
      </w:pPr>
    </w:p>
    <w:p w:rsidR="00BD33EC" w:rsidRDefault="00BD33EC">
      <w:pPr>
        <w:pStyle w:val="a0"/>
        <w:rPr>
          <w:rFonts w:ascii="黑体" w:eastAsia="黑体" w:hAnsi="黑体" w:cs="黑体"/>
          <w:b/>
          <w:color w:val="000000"/>
          <w:kern w:val="0"/>
          <w:sz w:val="28"/>
          <w:szCs w:val="28"/>
        </w:rPr>
      </w:pPr>
    </w:p>
    <w:p w:rsidR="00BD33EC" w:rsidRDefault="00BD33EC">
      <w:pPr>
        <w:pStyle w:val="a0"/>
        <w:rPr>
          <w:rFonts w:ascii="黑体" w:eastAsia="黑体" w:hAnsi="黑体" w:cs="黑体"/>
          <w:b/>
          <w:color w:val="000000"/>
          <w:kern w:val="0"/>
          <w:sz w:val="28"/>
          <w:szCs w:val="28"/>
        </w:rPr>
      </w:pPr>
    </w:p>
    <w:p w:rsidR="00BD33EC" w:rsidRDefault="00BD33EC">
      <w:pPr>
        <w:pStyle w:val="a0"/>
        <w:rPr>
          <w:rFonts w:ascii="黑体" w:eastAsia="黑体" w:hAnsi="黑体" w:cs="黑体"/>
          <w:b/>
          <w:color w:val="000000"/>
          <w:kern w:val="0"/>
          <w:sz w:val="28"/>
          <w:szCs w:val="28"/>
        </w:rPr>
      </w:pPr>
    </w:p>
    <w:p w:rsidR="00BD33EC" w:rsidRDefault="00BD33EC">
      <w:pPr>
        <w:pStyle w:val="a0"/>
        <w:rPr>
          <w:rFonts w:ascii="黑体" w:eastAsia="黑体" w:hAnsi="黑体" w:cs="黑体"/>
          <w:b/>
          <w:color w:val="000000"/>
          <w:kern w:val="0"/>
          <w:sz w:val="28"/>
          <w:szCs w:val="28"/>
        </w:rPr>
      </w:pPr>
    </w:p>
    <w:p w:rsidR="00BD33EC" w:rsidRDefault="00BD33EC">
      <w:pPr>
        <w:pStyle w:val="a0"/>
        <w:rPr>
          <w:rFonts w:ascii="黑体" w:eastAsia="黑体" w:hAnsi="黑体" w:cs="黑体"/>
          <w:b/>
          <w:color w:val="000000"/>
          <w:kern w:val="0"/>
          <w:sz w:val="28"/>
          <w:szCs w:val="28"/>
        </w:rPr>
      </w:pPr>
    </w:p>
    <w:p w:rsidR="00BD33EC" w:rsidRDefault="00BD33EC">
      <w:pPr>
        <w:pStyle w:val="a0"/>
        <w:rPr>
          <w:rFonts w:ascii="黑体" w:eastAsia="黑体" w:hAnsi="黑体" w:cs="黑体"/>
          <w:b/>
          <w:color w:val="000000"/>
          <w:kern w:val="0"/>
          <w:sz w:val="28"/>
          <w:szCs w:val="28"/>
        </w:rPr>
      </w:pPr>
    </w:p>
    <w:p w:rsidR="00BD33EC" w:rsidRDefault="00BD33EC">
      <w:pPr>
        <w:pStyle w:val="a0"/>
        <w:rPr>
          <w:rFonts w:ascii="黑体" w:eastAsia="黑体" w:hAnsi="黑体" w:cs="黑体"/>
          <w:b/>
          <w:color w:val="000000"/>
          <w:kern w:val="0"/>
          <w:sz w:val="28"/>
          <w:szCs w:val="28"/>
        </w:rPr>
      </w:pPr>
    </w:p>
    <w:p w:rsidR="00BD33EC" w:rsidRDefault="00BD33EC">
      <w:pPr>
        <w:pStyle w:val="a0"/>
        <w:rPr>
          <w:rFonts w:ascii="黑体" w:eastAsia="黑体" w:hAnsi="黑体" w:cs="黑体"/>
          <w:b/>
          <w:color w:val="000000"/>
          <w:kern w:val="0"/>
          <w:sz w:val="28"/>
          <w:szCs w:val="28"/>
        </w:rPr>
      </w:pPr>
    </w:p>
    <w:p w:rsidR="00BD33EC" w:rsidRDefault="00BD33EC">
      <w:pPr>
        <w:pStyle w:val="a0"/>
        <w:rPr>
          <w:rFonts w:ascii="黑体" w:eastAsia="黑体" w:hAnsi="黑体" w:cs="黑体"/>
          <w:b/>
          <w:color w:val="000000"/>
          <w:kern w:val="0"/>
          <w:sz w:val="28"/>
          <w:szCs w:val="28"/>
        </w:rPr>
      </w:pPr>
    </w:p>
    <w:p w:rsidR="00BD33EC" w:rsidRDefault="00BD33EC">
      <w:pPr>
        <w:pStyle w:val="a0"/>
        <w:jc w:val="center"/>
        <w:rPr>
          <w:sz w:val="72"/>
          <w:szCs w:val="72"/>
        </w:rPr>
      </w:pPr>
    </w:p>
    <w:p w:rsidR="00BD33EC" w:rsidRDefault="00BD33EC">
      <w:pPr>
        <w:pStyle w:val="a0"/>
        <w:jc w:val="center"/>
        <w:rPr>
          <w:sz w:val="72"/>
          <w:szCs w:val="72"/>
        </w:rPr>
      </w:pPr>
    </w:p>
    <w:p w:rsidR="00BD33EC" w:rsidRDefault="00BD33EC">
      <w:pPr>
        <w:pStyle w:val="a0"/>
        <w:jc w:val="center"/>
        <w:rPr>
          <w:sz w:val="72"/>
          <w:szCs w:val="72"/>
        </w:rPr>
      </w:pPr>
    </w:p>
    <w:p w:rsidR="00BD33EC" w:rsidRDefault="00BD33EC">
      <w:pPr>
        <w:pStyle w:val="a0"/>
        <w:jc w:val="center"/>
        <w:rPr>
          <w:sz w:val="72"/>
          <w:szCs w:val="72"/>
        </w:rPr>
      </w:pPr>
    </w:p>
    <w:p w:rsidR="00BD33EC" w:rsidRDefault="00BD33EC">
      <w:pPr>
        <w:pStyle w:val="a0"/>
        <w:jc w:val="center"/>
        <w:rPr>
          <w:sz w:val="72"/>
          <w:szCs w:val="72"/>
        </w:rPr>
      </w:pPr>
    </w:p>
    <w:p w:rsidR="00BD33EC" w:rsidRDefault="00BD33EC">
      <w:pPr>
        <w:pStyle w:val="a0"/>
        <w:jc w:val="center"/>
        <w:rPr>
          <w:sz w:val="72"/>
          <w:szCs w:val="72"/>
        </w:rPr>
      </w:pPr>
    </w:p>
    <w:p w:rsidR="00BD33EC" w:rsidRDefault="00BD33EC">
      <w:pPr>
        <w:pStyle w:val="a0"/>
        <w:jc w:val="center"/>
        <w:rPr>
          <w:sz w:val="72"/>
          <w:szCs w:val="72"/>
        </w:rPr>
      </w:pPr>
    </w:p>
    <w:p w:rsidR="00BD33EC" w:rsidRDefault="001F41F8">
      <w:pPr>
        <w:pStyle w:val="a0"/>
        <w:jc w:val="center"/>
        <w:rPr>
          <w:sz w:val="72"/>
          <w:szCs w:val="72"/>
        </w:rPr>
      </w:pPr>
      <w:r>
        <w:rPr>
          <w:rFonts w:hint="eastAsia"/>
          <w:sz w:val="72"/>
          <w:szCs w:val="72"/>
        </w:rPr>
        <w:t>第一部分</w:t>
      </w:r>
    </w:p>
    <w:p w:rsidR="00BD33EC" w:rsidRDefault="00BD33EC">
      <w:pPr>
        <w:pStyle w:val="a0"/>
        <w:jc w:val="center"/>
        <w:rPr>
          <w:sz w:val="72"/>
          <w:szCs w:val="72"/>
        </w:rPr>
      </w:pPr>
    </w:p>
    <w:p w:rsidR="00BD33EC" w:rsidRDefault="001F41F8">
      <w:pPr>
        <w:pStyle w:val="a0"/>
        <w:jc w:val="center"/>
        <w:rPr>
          <w:sz w:val="72"/>
          <w:szCs w:val="72"/>
        </w:rPr>
      </w:pPr>
      <w:r>
        <w:rPr>
          <w:rFonts w:hint="eastAsia"/>
          <w:sz w:val="72"/>
          <w:szCs w:val="72"/>
        </w:rPr>
        <w:t>泉溪镇人民政府概况</w:t>
      </w:r>
    </w:p>
    <w:p w:rsidR="00BD33EC" w:rsidRDefault="00BD33EC">
      <w:pPr>
        <w:pStyle w:val="Default"/>
        <w:jc w:val="center"/>
        <w:rPr>
          <w:sz w:val="84"/>
          <w:szCs w:val="84"/>
        </w:rPr>
      </w:pPr>
    </w:p>
    <w:p w:rsidR="00BD33EC" w:rsidRDefault="00BD33EC">
      <w:pPr>
        <w:pStyle w:val="Default"/>
        <w:jc w:val="center"/>
        <w:rPr>
          <w:sz w:val="84"/>
          <w:szCs w:val="84"/>
        </w:rPr>
      </w:pPr>
    </w:p>
    <w:p w:rsidR="00BD33EC" w:rsidRDefault="00BD33EC">
      <w:pPr>
        <w:pStyle w:val="Default"/>
        <w:jc w:val="center"/>
        <w:rPr>
          <w:sz w:val="84"/>
          <w:szCs w:val="84"/>
        </w:rPr>
      </w:pPr>
    </w:p>
    <w:p w:rsidR="00BD33EC" w:rsidRDefault="00BD33EC">
      <w:pPr>
        <w:pStyle w:val="Default"/>
        <w:jc w:val="center"/>
        <w:rPr>
          <w:sz w:val="84"/>
          <w:szCs w:val="84"/>
        </w:rPr>
      </w:pPr>
    </w:p>
    <w:p w:rsidR="00BD33EC" w:rsidRDefault="00BD33EC">
      <w:pPr>
        <w:pStyle w:val="Default"/>
        <w:jc w:val="center"/>
        <w:rPr>
          <w:sz w:val="84"/>
          <w:szCs w:val="84"/>
        </w:rPr>
      </w:pPr>
    </w:p>
    <w:p w:rsidR="00BD33EC" w:rsidRDefault="00BD33EC">
      <w:pPr>
        <w:pStyle w:val="Default"/>
        <w:jc w:val="center"/>
        <w:rPr>
          <w:sz w:val="84"/>
          <w:szCs w:val="84"/>
        </w:rPr>
      </w:pPr>
    </w:p>
    <w:p w:rsidR="00BD33EC" w:rsidRDefault="001F41F8">
      <w:pPr>
        <w:pStyle w:val="a8"/>
        <w:numPr>
          <w:ilvl w:val="0"/>
          <w:numId w:val="1"/>
        </w:numPr>
        <w:ind w:firstLineChars="0"/>
        <w:jc w:val="left"/>
        <w:rPr>
          <w:rFonts w:ascii="黑体" w:eastAsia="黑体" w:hAnsi="黑体"/>
          <w:sz w:val="32"/>
          <w:szCs w:val="32"/>
        </w:rPr>
      </w:pPr>
      <w:r>
        <w:rPr>
          <w:rFonts w:ascii="黑体" w:eastAsia="黑体" w:hAnsi="黑体"/>
          <w:sz w:val="32"/>
          <w:szCs w:val="32"/>
        </w:rPr>
        <w:t>部门职责</w:t>
      </w:r>
    </w:p>
    <w:p w:rsidR="00BD33EC" w:rsidRDefault="001F41F8">
      <w:pPr>
        <w:pStyle w:val="a6"/>
        <w:numPr>
          <w:ilvl w:val="0"/>
          <w:numId w:val="2"/>
        </w:numPr>
        <w:shd w:val="clear" w:color="auto" w:fill="FFFFFF"/>
        <w:spacing w:before="0" w:beforeAutospacing="0" w:after="0" w:afterAutospacing="0"/>
        <w:ind w:firstLineChars="200" w:firstLine="560"/>
        <w:rPr>
          <w:color w:val="000000"/>
          <w:sz w:val="28"/>
          <w:szCs w:val="28"/>
        </w:rPr>
      </w:pPr>
      <w:r>
        <w:rPr>
          <w:rFonts w:hint="eastAsia"/>
          <w:color w:val="000000"/>
          <w:sz w:val="28"/>
          <w:szCs w:val="28"/>
        </w:rPr>
        <w:t>负责党的路线、方针、政策和国家法律、法规在本行政区域内的宣传、贯彻、落实。加强基层党组织和政权建设，为本地区经济的发展和社会稳定提供政治、社会环境和组织保证。</w:t>
      </w:r>
    </w:p>
    <w:p w:rsidR="00BD33EC" w:rsidRDefault="001F41F8">
      <w:pPr>
        <w:pStyle w:val="a6"/>
        <w:numPr>
          <w:ilvl w:val="0"/>
          <w:numId w:val="2"/>
        </w:numPr>
        <w:shd w:val="clear" w:color="auto" w:fill="FFFFFF"/>
        <w:spacing w:before="0" w:beforeAutospacing="0" w:after="0" w:afterAutospacing="0"/>
        <w:ind w:firstLineChars="200" w:firstLine="560"/>
        <w:rPr>
          <w:color w:val="000000"/>
          <w:sz w:val="28"/>
          <w:szCs w:val="28"/>
        </w:rPr>
      </w:pPr>
      <w:r>
        <w:rPr>
          <w:rFonts w:hint="eastAsia"/>
          <w:color w:val="000000"/>
          <w:sz w:val="28"/>
          <w:szCs w:val="28"/>
        </w:rPr>
        <w:t>负责制定本行政区域内经济建设和各项社会事业发展的规划，并组织实施。依法管理经济和社会事务，促进本片区两个文明建设。负责本行政区域内的民主与法制建设工作，维护和保障公民的各项合法权利。</w:t>
      </w:r>
    </w:p>
    <w:p w:rsidR="00BD33EC" w:rsidRDefault="001F41F8" w:rsidP="001F41F8">
      <w:pPr>
        <w:pStyle w:val="a6"/>
        <w:shd w:val="clear" w:color="auto" w:fill="FFFFFF"/>
        <w:spacing w:before="0" w:beforeAutospacing="0" w:after="0" w:afterAutospacing="0"/>
        <w:ind w:firstLineChars="227" w:firstLine="636"/>
        <w:rPr>
          <w:rFonts w:ascii="Times New Roman" w:eastAsiaTheme="minorEastAsia" w:hAnsi="Times New Roman" w:cs="Times New Roman"/>
          <w:color w:val="000000"/>
          <w:sz w:val="28"/>
          <w:szCs w:val="28"/>
        </w:rPr>
      </w:pPr>
      <w:r>
        <w:rPr>
          <w:rFonts w:ascii="Times New Roman" w:eastAsia="Helvetica" w:hAnsi="Times New Roman" w:cs="Times New Roman"/>
          <w:color w:val="000000"/>
          <w:sz w:val="28"/>
          <w:szCs w:val="28"/>
        </w:rPr>
        <w:t>3</w:t>
      </w:r>
      <w:r>
        <w:rPr>
          <w:rFonts w:ascii="Times New Roman" w:eastAsia="Helvetica" w:hAnsi="Times New Roman" w:cs="Times New Roman"/>
          <w:color w:val="000000"/>
          <w:sz w:val="28"/>
          <w:szCs w:val="28"/>
        </w:rPr>
        <w:t>、负责</w:t>
      </w:r>
      <w:r>
        <w:rPr>
          <w:rFonts w:ascii="Times New Roman" w:hAnsi="Times New Roman" w:cs="Times New Roman" w:hint="eastAsia"/>
          <w:color w:val="000000"/>
          <w:sz w:val="28"/>
          <w:szCs w:val="28"/>
        </w:rPr>
        <w:t>泉溪</w:t>
      </w:r>
      <w:r>
        <w:rPr>
          <w:rFonts w:ascii="Times New Roman" w:eastAsia="Helvetica" w:hAnsi="Times New Roman" w:cs="Times New Roman"/>
          <w:color w:val="000000"/>
          <w:sz w:val="28"/>
          <w:szCs w:val="28"/>
        </w:rPr>
        <w:t>镇党委、</w:t>
      </w:r>
      <w:r>
        <w:rPr>
          <w:rFonts w:ascii="Times New Roman" w:hAnsi="Times New Roman" w:cs="Times New Roman" w:hint="eastAsia"/>
          <w:color w:val="000000"/>
          <w:sz w:val="28"/>
          <w:szCs w:val="28"/>
        </w:rPr>
        <w:t>人大、</w:t>
      </w:r>
      <w:r>
        <w:rPr>
          <w:rFonts w:ascii="Times New Roman" w:eastAsia="Helvetica" w:hAnsi="Times New Roman" w:cs="Times New Roman"/>
          <w:color w:val="000000"/>
          <w:sz w:val="28"/>
          <w:szCs w:val="28"/>
        </w:rPr>
        <w:t>政府、政协联络工委、纪律委员会、人民武装及共青团、妇联等群团组织的日常工作。</w:t>
      </w:r>
    </w:p>
    <w:p w:rsidR="00BD33EC" w:rsidRDefault="001F41F8" w:rsidP="001F41F8">
      <w:pPr>
        <w:pStyle w:val="a6"/>
        <w:shd w:val="clear" w:color="auto" w:fill="FFFFFF"/>
        <w:spacing w:before="0" w:beforeAutospacing="0" w:after="0" w:afterAutospacing="0"/>
        <w:ind w:firstLineChars="227" w:firstLine="636"/>
        <w:rPr>
          <w:rFonts w:ascii="Arial" w:hAnsi="Arial" w:cs="Arial"/>
          <w:color w:val="333333"/>
          <w:sz w:val="28"/>
          <w:szCs w:val="28"/>
        </w:rPr>
      </w:pPr>
      <w:r>
        <w:rPr>
          <w:rFonts w:ascii="Times New Roman" w:eastAsia="Helvetica" w:hAnsi="Times New Roman" w:cs="Times New Roman"/>
          <w:color w:val="000000"/>
          <w:sz w:val="28"/>
          <w:szCs w:val="28"/>
        </w:rPr>
        <w:t>4</w:t>
      </w:r>
      <w:r>
        <w:rPr>
          <w:rFonts w:hint="eastAsia"/>
          <w:color w:val="000000"/>
          <w:sz w:val="28"/>
          <w:szCs w:val="28"/>
        </w:rPr>
        <w:t>、负责完成上级机关交办的其他工作任务。</w:t>
      </w:r>
    </w:p>
    <w:p w:rsidR="00BD33EC" w:rsidRDefault="001F41F8">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BD33EC" w:rsidRDefault="001F41F8">
      <w:pPr>
        <w:widowControl/>
        <w:spacing w:line="600" w:lineRule="exact"/>
        <w:rPr>
          <w:rFonts w:ascii="宋体" w:eastAsia="宋体" w:hAnsi="宋体" w:cs="宋体"/>
          <w:sz w:val="24"/>
          <w:szCs w:val="24"/>
        </w:rPr>
      </w:pPr>
      <w:r>
        <w:rPr>
          <w:rFonts w:asciiTheme="minorEastAsia" w:hAnsiTheme="minorEastAsia" w:hint="eastAsia"/>
          <w:bCs/>
          <w:kern w:val="0"/>
          <w:sz w:val="28"/>
          <w:szCs w:val="28"/>
        </w:rPr>
        <w:t xml:space="preserve">（一）内设机构设置。泉溪镇为独立的行政单位，属于一级预算单位，根 据编委核定，本单位内设机构：党政办公室、党建办公 室、经济发展办公室、社会治安和应急管理办公室、自 </w:t>
      </w:r>
      <w:proofErr w:type="gramStart"/>
      <w:r>
        <w:rPr>
          <w:rFonts w:asciiTheme="minorEastAsia" w:hAnsiTheme="minorEastAsia" w:hint="eastAsia"/>
          <w:bCs/>
          <w:kern w:val="0"/>
          <w:sz w:val="28"/>
          <w:szCs w:val="28"/>
        </w:rPr>
        <w:t>然资源</w:t>
      </w:r>
      <w:proofErr w:type="gramEnd"/>
      <w:r>
        <w:rPr>
          <w:rFonts w:asciiTheme="minorEastAsia" w:hAnsiTheme="minorEastAsia" w:hint="eastAsia"/>
          <w:bCs/>
          <w:kern w:val="0"/>
          <w:sz w:val="28"/>
          <w:szCs w:val="28"/>
        </w:rPr>
        <w:t>和生态环境办公室，社会事务办公室。另设三中 心</w:t>
      </w:r>
      <w:proofErr w:type="gramStart"/>
      <w:r>
        <w:rPr>
          <w:rFonts w:asciiTheme="minorEastAsia" w:hAnsiTheme="minorEastAsia" w:hint="eastAsia"/>
          <w:bCs/>
          <w:kern w:val="0"/>
          <w:sz w:val="28"/>
          <w:szCs w:val="28"/>
        </w:rPr>
        <w:t>一</w:t>
      </w:r>
      <w:proofErr w:type="gramEnd"/>
      <w:r>
        <w:rPr>
          <w:rFonts w:asciiTheme="minorEastAsia" w:hAnsiTheme="minorEastAsia" w:hint="eastAsia"/>
          <w:bCs/>
          <w:kern w:val="0"/>
          <w:sz w:val="28"/>
          <w:szCs w:val="28"/>
        </w:rPr>
        <w:t>大队：社会事务综合服务中心、农业综合服务中心、 政务服务中心和综合行政执法大队。</w:t>
      </w:r>
    </w:p>
    <w:p w:rsidR="00BD33EC" w:rsidRDefault="001F41F8">
      <w:pPr>
        <w:widowControl/>
        <w:spacing w:line="600" w:lineRule="exact"/>
        <w:rPr>
          <w:rFonts w:asciiTheme="minorEastAsia" w:hAnsiTheme="minorEastAsia"/>
          <w:bCs/>
          <w:kern w:val="0"/>
          <w:sz w:val="28"/>
          <w:szCs w:val="28"/>
        </w:rPr>
      </w:pPr>
      <w:r>
        <w:rPr>
          <w:rFonts w:asciiTheme="minorEastAsia" w:hAnsiTheme="minorEastAsia" w:hint="eastAsia"/>
          <w:bCs/>
          <w:kern w:val="0"/>
          <w:sz w:val="28"/>
          <w:szCs w:val="28"/>
        </w:rPr>
        <w:t>（二）决算单位构成。泉溪镇人民政府2020年部门决算汇总公开单位构成包括：泉溪镇人民政府本级</w:t>
      </w:r>
    </w:p>
    <w:p w:rsidR="00BD33EC" w:rsidRDefault="00BD33EC">
      <w:pPr>
        <w:jc w:val="left"/>
        <w:rPr>
          <w:rFonts w:ascii="仿宋_GB2312" w:eastAsia="仿宋_GB2312" w:hAnsiTheme="minorEastAsia"/>
          <w:sz w:val="28"/>
          <w:szCs w:val="32"/>
        </w:rPr>
      </w:pPr>
    </w:p>
    <w:p w:rsidR="00BD33EC" w:rsidRDefault="00BD33EC">
      <w:pPr>
        <w:jc w:val="center"/>
        <w:rPr>
          <w:sz w:val="72"/>
          <w:szCs w:val="72"/>
        </w:rPr>
      </w:pPr>
    </w:p>
    <w:p w:rsidR="00BD33EC" w:rsidRDefault="00BD33EC">
      <w:pPr>
        <w:pStyle w:val="a0"/>
        <w:rPr>
          <w:sz w:val="72"/>
          <w:szCs w:val="72"/>
        </w:rPr>
      </w:pPr>
    </w:p>
    <w:p w:rsidR="00BD33EC" w:rsidRDefault="00BD33EC">
      <w:pPr>
        <w:pStyle w:val="a0"/>
        <w:rPr>
          <w:sz w:val="72"/>
          <w:szCs w:val="72"/>
        </w:rPr>
      </w:pPr>
    </w:p>
    <w:p w:rsidR="00BD33EC" w:rsidRDefault="00BD33EC">
      <w:pPr>
        <w:pStyle w:val="a0"/>
        <w:rPr>
          <w:sz w:val="72"/>
          <w:szCs w:val="72"/>
        </w:rPr>
      </w:pPr>
    </w:p>
    <w:p w:rsidR="00BD33EC" w:rsidRDefault="00BD33EC">
      <w:pPr>
        <w:pStyle w:val="a0"/>
        <w:rPr>
          <w:sz w:val="72"/>
          <w:szCs w:val="72"/>
        </w:rPr>
      </w:pPr>
    </w:p>
    <w:p w:rsidR="00BD33EC" w:rsidRDefault="00BD33EC">
      <w:pPr>
        <w:pStyle w:val="a0"/>
        <w:rPr>
          <w:sz w:val="72"/>
          <w:szCs w:val="72"/>
        </w:rPr>
      </w:pPr>
    </w:p>
    <w:p w:rsidR="00BD33EC" w:rsidRDefault="00BD33EC">
      <w:pPr>
        <w:pStyle w:val="a0"/>
        <w:rPr>
          <w:sz w:val="72"/>
          <w:szCs w:val="72"/>
        </w:rPr>
      </w:pPr>
    </w:p>
    <w:p w:rsidR="00BD33EC" w:rsidRDefault="00BD33EC">
      <w:pPr>
        <w:pStyle w:val="a0"/>
        <w:rPr>
          <w:sz w:val="72"/>
          <w:szCs w:val="72"/>
        </w:rPr>
      </w:pPr>
    </w:p>
    <w:p w:rsidR="00BD33EC" w:rsidRDefault="001F41F8">
      <w:pPr>
        <w:jc w:val="center"/>
        <w:rPr>
          <w:sz w:val="72"/>
          <w:szCs w:val="72"/>
        </w:rPr>
      </w:pPr>
      <w:r>
        <w:rPr>
          <w:rFonts w:hint="eastAsia"/>
          <w:sz w:val="72"/>
          <w:szCs w:val="72"/>
        </w:rPr>
        <w:t>第二部分</w:t>
      </w:r>
    </w:p>
    <w:p w:rsidR="00BD33EC" w:rsidRDefault="00BD33EC">
      <w:pPr>
        <w:jc w:val="center"/>
        <w:rPr>
          <w:sz w:val="72"/>
          <w:szCs w:val="72"/>
        </w:rPr>
      </w:pPr>
    </w:p>
    <w:p w:rsidR="00BD33EC" w:rsidRDefault="001F41F8">
      <w:pPr>
        <w:jc w:val="center"/>
        <w:rPr>
          <w:sz w:val="72"/>
          <w:szCs w:val="72"/>
        </w:rPr>
      </w:pPr>
      <w:r>
        <w:rPr>
          <w:rFonts w:hint="eastAsia"/>
          <w:sz w:val="72"/>
          <w:szCs w:val="72"/>
        </w:rPr>
        <w:t>部门决算表</w:t>
      </w:r>
    </w:p>
    <w:p w:rsidR="00BD33EC" w:rsidRDefault="00BD33EC">
      <w:pPr>
        <w:jc w:val="center"/>
        <w:rPr>
          <w:sz w:val="72"/>
          <w:szCs w:val="72"/>
        </w:rPr>
      </w:pPr>
    </w:p>
    <w:p w:rsidR="00BD33EC" w:rsidRDefault="001F41F8">
      <w:pPr>
        <w:jc w:val="center"/>
        <w:rPr>
          <w:sz w:val="72"/>
          <w:szCs w:val="72"/>
        </w:rPr>
      </w:pPr>
      <w:r>
        <w:rPr>
          <w:rFonts w:hint="eastAsia"/>
          <w:sz w:val="72"/>
          <w:szCs w:val="72"/>
        </w:rPr>
        <w:t>(</w:t>
      </w:r>
      <w:r>
        <w:rPr>
          <w:rFonts w:hint="eastAsia"/>
          <w:sz w:val="72"/>
          <w:szCs w:val="72"/>
        </w:rPr>
        <w:t>部门决算公示表附后</w:t>
      </w:r>
      <w:r>
        <w:rPr>
          <w:rFonts w:hint="eastAsia"/>
          <w:sz w:val="72"/>
          <w:szCs w:val="72"/>
        </w:rPr>
        <w:t>)</w:t>
      </w:r>
    </w:p>
    <w:p w:rsidR="00BD33EC" w:rsidRDefault="00BD33EC">
      <w:pPr>
        <w:jc w:val="center"/>
        <w:rPr>
          <w:sz w:val="72"/>
          <w:szCs w:val="72"/>
        </w:rPr>
      </w:pPr>
    </w:p>
    <w:p w:rsidR="00BD33EC" w:rsidRDefault="00BD33EC">
      <w:pPr>
        <w:pStyle w:val="a0"/>
        <w:rPr>
          <w:sz w:val="72"/>
          <w:szCs w:val="72"/>
        </w:rPr>
      </w:pPr>
    </w:p>
    <w:p w:rsidR="00BD33EC" w:rsidRDefault="00BD33EC">
      <w:pPr>
        <w:pStyle w:val="a0"/>
        <w:rPr>
          <w:sz w:val="72"/>
          <w:szCs w:val="72"/>
        </w:rPr>
      </w:pPr>
    </w:p>
    <w:p w:rsidR="00BD33EC" w:rsidRDefault="00BD33EC">
      <w:pPr>
        <w:pStyle w:val="a0"/>
        <w:rPr>
          <w:sz w:val="72"/>
          <w:szCs w:val="72"/>
        </w:rPr>
      </w:pPr>
    </w:p>
    <w:p w:rsidR="00BD33EC" w:rsidRDefault="00BD33EC">
      <w:pPr>
        <w:pStyle w:val="a0"/>
        <w:rPr>
          <w:sz w:val="72"/>
          <w:szCs w:val="72"/>
        </w:rPr>
      </w:pPr>
    </w:p>
    <w:p w:rsidR="00BD33EC" w:rsidRDefault="00BD33EC">
      <w:pPr>
        <w:pStyle w:val="a0"/>
        <w:rPr>
          <w:sz w:val="72"/>
          <w:szCs w:val="72"/>
        </w:rPr>
      </w:pPr>
    </w:p>
    <w:p w:rsidR="00BD33EC" w:rsidRDefault="00BD33EC">
      <w:pPr>
        <w:jc w:val="center"/>
        <w:rPr>
          <w:sz w:val="72"/>
          <w:szCs w:val="72"/>
        </w:rPr>
      </w:pPr>
    </w:p>
    <w:p w:rsidR="00BD33EC" w:rsidRDefault="00BD33EC">
      <w:pPr>
        <w:jc w:val="center"/>
        <w:rPr>
          <w:sz w:val="72"/>
          <w:szCs w:val="72"/>
        </w:rPr>
      </w:pPr>
    </w:p>
    <w:p w:rsidR="00BD33EC" w:rsidRDefault="00BD33EC">
      <w:pPr>
        <w:pStyle w:val="Default"/>
        <w:jc w:val="center"/>
        <w:rPr>
          <w:sz w:val="72"/>
          <w:szCs w:val="72"/>
        </w:rPr>
      </w:pPr>
    </w:p>
    <w:p w:rsidR="00BD33EC" w:rsidRDefault="00BD33EC">
      <w:pPr>
        <w:pStyle w:val="Default"/>
        <w:jc w:val="center"/>
        <w:rPr>
          <w:sz w:val="72"/>
          <w:szCs w:val="72"/>
        </w:rPr>
      </w:pPr>
    </w:p>
    <w:p w:rsidR="00BD33EC" w:rsidRDefault="00BD33EC">
      <w:pPr>
        <w:jc w:val="center"/>
        <w:rPr>
          <w:sz w:val="72"/>
          <w:szCs w:val="72"/>
        </w:rPr>
      </w:pPr>
    </w:p>
    <w:p w:rsidR="00BD33EC" w:rsidRDefault="001F41F8">
      <w:pPr>
        <w:jc w:val="center"/>
        <w:rPr>
          <w:sz w:val="72"/>
          <w:szCs w:val="72"/>
        </w:rPr>
      </w:pPr>
      <w:r>
        <w:rPr>
          <w:rFonts w:hint="eastAsia"/>
          <w:sz w:val="72"/>
          <w:szCs w:val="72"/>
        </w:rPr>
        <w:t>第三部分</w:t>
      </w:r>
    </w:p>
    <w:p w:rsidR="00BD33EC" w:rsidRDefault="00BD33EC">
      <w:pPr>
        <w:jc w:val="center"/>
        <w:rPr>
          <w:sz w:val="72"/>
          <w:szCs w:val="72"/>
        </w:rPr>
      </w:pPr>
    </w:p>
    <w:p w:rsidR="00BD33EC" w:rsidRDefault="001F41F8">
      <w:pPr>
        <w:jc w:val="center"/>
        <w:rPr>
          <w:sz w:val="72"/>
          <w:szCs w:val="72"/>
        </w:rPr>
      </w:pPr>
      <w:r>
        <w:rPr>
          <w:rFonts w:hint="eastAsia"/>
          <w:sz w:val="72"/>
          <w:szCs w:val="72"/>
        </w:rPr>
        <w:t>2020</w:t>
      </w:r>
      <w:r>
        <w:rPr>
          <w:rFonts w:hint="eastAsia"/>
          <w:sz w:val="72"/>
          <w:szCs w:val="72"/>
        </w:rPr>
        <w:t>年度部门决算情况说明</w:t>
      </w:r>
    </w:p>
    <w:p w:rsidR="00BD33EC" w:rsidRDefault="001F41F8">
      <w:pPr>
        <w:widowControl/>
        <w:jc w:val="left"/>
        <w:rPr>
          <w:rFonts w:ascii="黑体" w:eastAsia="黑体" w:cs="黑体"/>
          <w:color w:val="000000"/>
          <w:kern w:val="0"/>
          <w:sz w:val="70"/>
          <w:szCs w:val="70"/>
        </w:rPr>
      </w:pPr>
      <w:r>
        <w:rPr>
          <w:sz w:val="70"/>
          <w:szCs w:val="70"/>
        </w:rPr>
        <w:br w:type="page"/>
      </w:r>
    </w:p>
    <w:p w:rsidR="00BD33EC" w:rsidRDefault="00BD33EC">
      <w:pPr>
        <w:pStyle w:val="Default"/>
        <w:rPr>
          <w:rFonts w:hAnsi="黑体"/>
          <w:b/>
          <w:sz w:val="32"/>
          <w:szCs w:val="32"/>
        </w:rPr>
      </w:pPr>
    </w:p>
    <w:p w:rsidR="00BD33EC" w:rsidRDefault="001F41F8">
      <w:pPr>
        <w:pStyle w:val="Default"/>
        <w:rPr>
          <w:rFonts w:hAnsi="黑体"/>
          <w:b/>
          <w:sz w:val="32"/>
          <w:szCs w:val="32"/>
        </w:rPr>
      </w:pPr>
      <w:r>
        <w:rPr>
          <w:rFonts w:hAnsi="黑体" w:hint="eastAsia"/>
          <w:b/>
          <w:sz w:val="32"/>
          <w:szCs w:val="32"/>
        </w:rPr>
        <w:t>一、收入支出决算总体情况说明</w:t>
      </w:r>
    </w:p>
    <w:p w:rsidR="00BD33EC" w:rsidRDefault="001F41F8">
      <w:pPr>
        <w:pStyle w:val="Default"/>
        <w:rPr>
          <w:rFonts w:asciiTheme="minorEastAsia" w:eastAsiaTheme="minorEastAsia" w:hAnsiTheme="minorEastAsia" w:cstheme="minorBidi"/>
          <w:color w:val="auto"/>
          <w:kern w:val="2"/>
          <w:sz w:val="32"/>
          <w:szCs w:val="32"/>
        </w:rPr>
      </w:pPr>
      <w:r>
        <w:rPr>
          <w:rFonts w:asciiTheme="minorEastAsia" w:eastAsiaTheme="minorEastAsia" w:hAnsiTheme="minorEastAsia" w:cstheme="minorBidi" w:hint="eastAsia"/>
          <w:color w:val="auto"/>
          <w:kern w:val="2"/>
          <w:sz w:val="32"/>
          <w:szCs w:val="32"/>
        </w:rPr>
        <w:t>2020年度收入总计917.67万元。与2019年相比，减少1503.67万元，减少264%。支出总计917.67万元，与上年相比，减少1503.67万元，增加264%。主要是因为：一般公共预算财政拨款收入完成831.89万元，比上年887.11万元，减少55.21万元</w:t>
      </w:r>
      <w:r>
        <w:rPr>
          <w:rFonts w:asciiTheme="minorEastAsia" w:eastAsiaTheme="minorEastAsia" w:hAnsiTheme="minorEastAsia" w:cstheme="minorBidi" w:hint="eastAsia"/>
          <w:color w:val="auto"/>
          <w:kern w:val="2"/>
          <w:sz w:val="32"/>
          <w:szCs w:val="32"/>
          <w:lang w:val="zh-CN"/>
        </w:rPr>
        <w:t>，</w:t>
      </w:r>
      <w:r>
        <w:rPr>
          <w:rFonts w:asciiTheme="minorEastAsia" w:eastAsiaTheme="minorEastAsia" w:hAnsiTheme="minorEastAsia" w:cstheme="minorBidi" w:hint="eastAsia"/>
          <w:color w:val="auto"/>
          <w:kern w:val="2"/>
          <w:sz w:val="32"/>
          <w:szCs w:val="32"/>
        </w:rPr>
        <w:t>减少比例</w:t>
      </w:r>
      <w:r>
        <w:rPr>
          <w:rFonts w:asciiTheme="minorEastAsia" w:eastAsiaTheme="minorEastAsia" w:hAnsiTheme="minorEastAsia" w:cstheme="minorBidi" w:hint="eastAsia"/>
          <w:color w:val="auto"/>
          <w:kern w:val="2"/>
          <w:sz w:val="32"/>
          <w:szCs w:val="32"/>
          <w:lang w:val="zh-CN"/>
        </w:rPr>
        <w:t>变化的主要原因是：</w:t>
      </w:r>
      <w:r>
        <w:rPr>
          <w:rFonts w:asciiTheme="minorEastAsia" w:eastAsiaTheme="minorEastAsia" w:hAnsiTheme="minorEastAsia" w:cstheme="minorBidi" w:hint="eastAsia"/>
          <w:color w:val="auto"/>
          <w:kern w:val="2"/>
          <w:sz w:val="32"/>
          <w:szCs w:val="32"/>
        </w:rPr>
        <w:t>政策性调整；基金预算收入支出减少1448.46万元。</w:t>
      </w:r>
    </w:p>
    <w:p w:rsidR="00BD33EC" w:rsidRDefault="001F41F8">
      <w:pPr>
        <w:pStyle w:val="Default"/>
        <w:rPr>
          <w:rFonts w:hAnsi="黑体"/>
          <w:b/>
          <w:sz w:val="32"/>
          <w:szCs w:val="32"/>
        </w:rPr>
      </w:pPr>
      <w:r>
        <w:rPr>
          <w:rFonts w:hAnsi="黑体" w:hint="eastAsia"/>
          <w:b/>
          <w:sz w:val="32"/>
          <w:szCs w:val="32"/>
        </w:rPr>
        <w:t>二、收入决算情况说明</w:t>
      </w:r>
    </w:p>
    <w:p w:rsidR="00BD33EC" w:rsidRDefault="001F41F8">
      <w:pPr>
        <w:spacing w:line="520" w:lineRule="exact"/>
        <w:ind w:firstLine="640"/>
        <w:rPr>
          <w:rFonts w:asciiTheme="minorEastAsia" w:hAnsiTheme="minorEastAsia"/>
          <w:sz w:val="32"/>
          <w:szCs w:val="32"/>
        </w:rPr>
      </w:pPr>
      <w:r>
        <w:rPr>
          <w:rFonts w:asciiTheme="minorEastAsia" w:hAnsiTheme="minorEastAsia" w:hint="eastAsia"/>
          <w:sz w:val="32"/>
          <w:szCs w:val="32"/>
        </w:rPr>
        <w:t>本年收入合计917.67万元，其中：财政拨款收入831.89万元，占90.65%；政府性基金预算财政拨款收入85.77万元，占9.35%，上级补助收入0万元，占0%；事业收入0万元，占0%；经营收入0万元，占0%；附属单位上缴收入0万元，占0%；其他收入0万元，占0%。</w:t>
      </w:r>
    </w:p>
    <w:p w:rsidR="00BD33EC" w:rsidRDefault="001F41F8">
      <w:pPr>
        <w:pStyle w:val="Default"/>
        <w:rPr>
          <w:rFonts w:hAnsi="黑体"/>
          <w:b/>
          <w:sz w:val="32"/>
          <w:szCs w:val="32"/>
        </w:rPr>
      </w:pPr>
      <w:r>
        <w:rPr>
          <w:rFonts w:hAnsi="黑体" w:hint="eastAsia"/>
          <w:b/>
          <w:sz w:val="32"/>
          <w:szCs w:val="32"/>
        </w:rPr>
        <w:t>三、支出决算情况说明</w:t>
      </w:r>
    </w:p>
    <w:p w:rsidR="00BD33EC" w:rsidRDefault="001F41F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w:t>
      </w:r>
      <w:r>
        <w:rPr>
          <w:rFonts w:asciiTheme="minorEastAsia" w:eastAsiaTheme="minorEastAsia" w:hAnsiTheme="minorEastAsia" w:cstheme="minorBidi" w:hint="eastAsia"/>
          <w:color w:val="auto"/>
          <w:kern w:val="2"/>
          <w:sz w:val="32"/>
          <w:szCs w:val="32"/>
        </w:rPr>
        <w:t>917.67万</w:t>
      </w:r>
      <w:r>
        <w:rPr>
          <w:rFonts w:asciiTheme="minorEastAsia" w:eastAsiaTheme="minorEastAsia" w:hAnsiTheme="minorEastAsia" w:hint="eastAsia"/>
          <w:sz w:val="32"/>
          <w:szCs w:val="32"/>
        </w:rPr>
        <w:t>元，其中：基本支出539.54万元，占58.79%；项目支出378.13万元，占41.21%；上缴上级支出0万元，占0%；经营支出0万元，占0%；对附属单位补助支出0万元，占0%。</w:t>
      </w:r>
    </w:p>
    <w:p w:rsidR="00BD33EC" w:rsidRDefault="001F41F8">
      <w:pPr>
        <w:pStyle w:val="Default"/>
        <w:rPr>
          <w:rFonts w:hAnsi="黑体"/>
          <w:b/>
          <w:sz w:val="32"/>
          <w:szCs w:val="32"/>
        </w:rPr>
      </w:pPr>
      <w:r>
        <w:rPr>
          <w:rFonts w:hAnsi="黑体" w:hint="eastAsia"/>
          <w:b/>
          <w:sz w:val="32"/>
          <w:szCs w:val="32"/>
        </w:rPr>
        <w:t>四、财政拨款收入支出决算总体情况说明</w:t>
      </w:r>
    </w:p>
    <w:p w:rsidR="00BD33EC" w:rsidRDefault="001F41F8">
      <w:pPr>
        <w:pStyle w:val="a6"/>
        <w:shd w:val="clear" w:color="auto" w:fill="FFFFFF"/>
        <w:spacing w:before="0" w:beforeAutospacing="0" w:after="0" w:afterAutospacing="0"/>
        <w:ind w:firstLineChars="200" w:firstLine="640"/>
        <w:rPr>
          <w:rFonts w:asciiTheme="minorEastAsia" w:eastAsiaTheme="minorEastAsia" w:hAnsiTheme="minorEastAsia" w:cs="黑体"/>
          <w:color w:val="000000"/>
          <w:sz w:val="32"/>
          <w:szCs w:val="32"/>
        </w:rPr>
      </w:pPr>
      <w:r>
        <w:rPr>
          <w:rFonts w:asciiTheme="minorEastAsia" w:eastAsiaTheme="minorEastAsia" w:hAnsiTheme="minorEastAsia" w:cs="黑体" w:hint="eastAsia"/>
          <w:color w:val="000000"/>
          <w:sz w:val="32"/>
          <w:szCs w:val="32"/>
        </w:rPr>
        <w:t>2020年度财政拨款收、支总计917.67万元，与2019年相比，减少1503.67万元,减少264%，主要是因为：减少政府性基金预算财政拨款收入1448.46万元，为一般公共支出减少55.1万元。</w:t>
      </w:r>
    </w:p>
    <w:p w:rsidR="00BD33EC" w:rsidRDefault="001F41F8">
      <w:pPr>
        <w:pStyle w:val="Default"/>
        <w:rPr>
          <w:rFonts w:hAnsi="黑体"/>
          <w:b/>
          <w:sz w:val="32"/>
          <w:szCs w:val="32"/>
        </w:rPr>
      </w:pPr>
      <w:r>
        <w:rPr>
          <w:rFonts w:hAnsi="黑体" w:hint="eastAsia"/>
          <w:b/>
          <w:sz w:val="32"/>
          <w:szCs w:val="32"/>
        </w:rPr>
        <w:t>五、一般公共预算财政拨款支出决算情况说明</w:t>
      </w:r>
    </w:p>
    <w:p w:rsidR="00BD33EC" w:rsidRDefault="001F41F8" w:rsidP="001F41F8">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BD33EC" w:rsidRDefault="001F41F8">
      <w:pPr>
        <w:pStyle w:val="a6"/>
        <w:shd w:val="clear" w:color="auto" w:fill="FFFFFF"/>
        <w:spacing w:before="0" w:beforeAutospacing="0" w:after="0" w:afterAutospacing="0"/>
        <w:ind w:firstLineChars="200" w:firstLine="640"/>
        <w:rPr>
          <w:rFonts w:asciiTheme="minorEastAsia" w:eastAsiaTheme="minorEastAsia" w:hAnsiTheme="minorEastAsia" w:cs="黑体"/>
          <w:color w:val="000000"/>
          <w:sz w:val="32"/>
          <w:szCs w:val="32"/>
        </w:rPr>
      </w:pPr>
      <w:r>
        <w:rPr>
          <w:rFonts w:asciiTheme="minorEastAsia" w:eastAsiaTheme="minorEastAsia" w:hAnsiTheme="minorEastAsia" w:cs="黑体" w:hint="eastAsia"/>
          <w:color w:val="000000"/>
          <w:sz w:val="32"/>
          <w:szCs w:val="32"/>
        </w:rPr>
        <w:lastRenderedPageBreak/>
        <w:t>2020年度财政拨款支出</w:t>
      </w:r>
      <w:r w:rsidR="00CB2695">
        <w:rPr>
          <w:rFonts w:asciiTheme="minorEastAsia" w:eastAsiaTheme="minorEastAsia" w:hAnsiTheme="minorEastAsia" w:cs="黑体" w:hint="eastAsia"/>
          <w:color w:val="000000"/>
          <w:sz w:val="32"/>
          <w:szCs w:val="32"/>
        </w:rPr>
        <w:t>831.9</w:t>
      </w:r>
      <w:r>
        <w:rPr>
          <w:rFonts w:asciiTheme="minorEastAsia" w:eastAsiaTheme="minorEastAsia" w:hAnsiTheme="minorEastAsia" w:cs="黑体" w:hint="eastAsia"/>
          <w:color w:val="000000"/>
          <w:sz w:val="32"/>
          <w:szCs w:val="32"/>
        </w:rPr>
        <w:t>万元，占本年支出合计的</w:t>
      </w:r>
      <w:r w:rsidR="00CB2695">
        <w:rPr>
          <w:rFonts w:asciiTheme="minorEastAsia" w:eastAsiaTheme="minorEastAsia" w:hAnsiTheme="minorEastAsia" w:cs="黑体" w:hint="eastAsia"/>
          <w:color w:val="000000"/>
          <w:sz w:val="32"/>
          <w:szCs w:val="32"/>
        </w:rPr>
        <w:t>90.65</w:t>
      </w:r>
      <w:r>
        <w:rPr>
          <w:rFonts w:asciiTheme="minorEastAsia" w:eastAsiaTheme="minorEastAsia" w:hAnsiTheme="minorEastAsia" w:cs="黑体" w:hint="eastAsia"/>
          <w:color w:val="000000"/>
          <w:sz w:val="32"/>
          <w:szCs w:val="32"/>
        </w:rPr>
        <w:t>%，与2019年相比，财政拨款支出减少了1503.67万元，减少264%，主要是因为政府性基金预算财政拨款的减少。</w:t>
      </w:r>
    </w:p>
    <w:p w:rsidR="00BD33EC" w:rsidRDefault="001F41F8" w:rsidP="001F41F8">
      <w:pPr>
        <w:pStyle w:val="Defaul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BD33EC" w:rsidRDefault="001F41F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w:t>
      </w:r>
      <w:r w:rsidR="00CB2695">
        <w:rPr>
          <w:rFonts w:asciiTheme="minorEastAsia" w:eastAsiaTheme="minorEastAsia" w:hAnsiTheme="minorEastAsia" w:hint="eastAsia"/>
          <w:sz w:val="32"/>
          <w:szCs w:val="32"/>
        </w:rPr>
        <w:t>831.9</w:t>
      </w:r>
      <w:r>
        <w:rPr>
          <w:rFonts w:asciiTheme="minorEastAsia" w:eastAsiaTheme="minorEastAsia" w:hAnsiTheme="minorEastAsia" w:hint="eastAsia"/>
          <w:sz w:val="32"/>
          <w:szCs w:val="32"/>
        </w:rPr>
        <w:t>万元，主要用于以下方面：一般公共服务（类）支出464.62万元，占50.63%；文化旅游体育与传媒支出5万元，占0.54%，社会保障和就业（类）支出50.68万元，占5.52%;卫生健康（类）支出11.55万元，占1.25%；城乡社区支出75.63万元，占8.24%；农林水（类）支出271.65万元，占29.61%；住房保障（类）支出7.69万元，占0.84%；抗</w:t>
      </w:r>
      <w:proofErr w:type="gramStart"/>
      <w:r>
        <w:rPr>
          <w:rFonts w:asciiTheme="minorEastAsia" w:eastAsiaTheme="minorEastAsia" w:hAnsiTheme="minorEastAsia" w:hint="eastAsia"/>
          <w:sz w:val="32"/>
          <w:szCs w:val="32"/>
        </w:rPr>
        <w:t>疫</w:t>
      </w:r>
      <w:proofErr w:type="gramEnd"/>
      <w:r>
        <w:rPr>
          <w:rFonts w:asciiTheme="minorEastAsia" w:eastAsiaTheme="minorEastAsia" w:hAnsiTheme="minorEastAsia" w:hint="eastAsia"/>
          <w:sz w:val="32"/>
          <w:szCs w:val="32"/>
        </w:rPr>
        <w:t>特别国债安排支出30.85万元，占3.37%。</w:t>
      </w:r>
    </w:p>
    <w:p w:rsidR="00BD33EC" w:rsidRDefault="001F41F8" w:rsidP="001F41F8">
      <w:pPr>
        <w:pStyle w:val="Default"/>
        <w:ind w:firstLineChars="250" w:firstLine="80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BD33EC" w:rsidRDefault="001F41F8">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2020年度财政拨款支出年初预算数为525.25万元，支出决算数为</w:t>
      </w:r>
      <w:r w:rsidR="00CB2695">
        <w:rPr>
          <w:rFonts w:asciiTheme="minorEastAsia" w:eastAsiaTheme="minorEastAsia" w:hAnsiTheme="minorEastAsia" w:hint="eastAsia"/>
          <w:sz w:val="32"/>
          <w:szCs w:val="32"/>
        </w:rPr>
        <w:t>831.9</w:t>
      </w:r>
      <w:r>
        <w:rPr>
          <w:rFonts w:asciiTheme="minorEastAsia" w:eastAsiaTheme="minorEastAsia" w:hAnsiTheme="minorEastAsia" w:hint="eastAsia"/>
          <w:sz w:val="32"/>
          <w:szCs w:val="32"/>
        </w:rPr>
        <w:t>万元，完成年初预算的1</w:t>
      </w:r>
      <w:r w:rsidR="00CB2695">
        <w:rPr>
          <w:rFonts w:asciiTheme="minorEastAsia" w:eastAsiaTheme="minorEastAsia" w:hAnsiTheme="minorEastAsia" w:hint="eastAsia"/>
          <w:sz w:val="32"/>
          <w:szCs w:val="32"/>
        </w:rPr>
        <w:t>58.38</w:t>
      </w:r>
      <w:r>
        <w:rPr>
          <w:rFonts w:asciiTheme="minorEastAsia" w:eastAsiaTheme="minorEastAsia" w:hAnsiTheme="minorEastAsia" w:hint="eastAsia"/>
          <w:sz w:val="32"/>
          <w:szCs w:val="32"/>
        </w:rPr>
        <w:t>%，其中：</w:t>
      </w:r>
    </w:p>
    <w:p w:rsidR="00BD33EC" w:rsidRDefault="001F41F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1.一般公共服务</w:t>
      </w:r>
    </w:p>
    <w:p w:rsidR="00BD33EC" w:rsidRDefault="001F41F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年初预算为243.42万元，支出决算为</w:t>
      </w:r>
      <w:r>
        <w:rPr>
          <w:rFonts w:asciiTheme="minorEastAsia" w:eastAsiaTheme="minorEastAsia" w:hAnsiTheme="minorEastAsia" w:hint="eastAsia"/>
          <w:color w:val="auto"/>
          <w:sz w:val="32"/>
          <w:szCs w:val="32"/>
        </w:rPr>
        <w:t>464.62</w:t>
      </w:r>
      <w:r>
        <w:rPr>
          <w:rFonts w:asciiTheme="minorEastAsia" w:eastAsiaTheme="minorEastAsia" w:hAnsiTheme="minorEastAsia" w:hint="eastAsia"/>
          <w:sz w:val="32"/>
          <w:szCs w:val="32"/>
        </w:rPr>
        <w:t>万元，完成年初预算的191%，决算数大于年初预算数的主要原因是：人员异动及政策性调整。</w:t>
      </w:r>
    </w:p>
    <w:p w:rsidR="00BD33EC" w:rsidRDefault="001F41F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2.文化旅游体育与传媒支出</w:t>
      </w:r>
    </w:p>
    <w:p w:rsidR="00BD33EC" w:rsidRDefault="001F41F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年初预算为0万元，支出决算为</w:t>
      </w:r>
      <w:r>
        <w:rPr>
          <w:rFonts w:asciiTheme="minorEastAsia" w:eastAsiaTheme="minorEastAsia" w:hAnsiTheme="minorEastAsia" w:hint="eastAsia"/>
          <w:color w:val="auto"/>
          <w:sz w:val="32"/>
          <w:szCs w:val="32"/>
        </w:rPr>
        <w:t>5</w:t>
      </w:r>
      <w:r>
        <w:rPr>
          <w:rFonts w:asciiTheme="minorEastAsia" w:eastAsiaTheme="minorEastAsia" w:hAnsiTheme="minorEastAsia" w:hint="eastAsia"/>
          <w:sz w:val="32"/>
          <w:szCs w:val="32"/>
        </w:rPr>
        <w:t>万元，决算数大于年初预算数的主要原因是：</w:t>
      </w:r>
      <w:proofErr w:type="gramStart"/>
      <w:r>
        <w:rPr>
          <w:rFonts w:asciiTheme="minorEastAsia" w:eastAsiaTheme="minorEastAsia" w:hAnsiTheme="minorEastAsia" w:hint="eastAsia"/>
          <w:sz w:val="32"/>
          <w:szCs w:val="32"/>
        </w:rPr>
        <w:t>文旅活动</w:t>
      </w:r>
      <w:proofErr w:type="gramEnd"/>
      <w:r>
        <w:rPr>
          <w:rFonts w:asciiTheme="minorEastAsia" w:eastAsiaTheme="minorEastAsia" w:hAnsiTheme="minorEastAsia" w:hint="eastAsia"/>
          <w:sz w:val="32"/>
          <w:szCs w:val="32"/>
        </w:rPr>
        <w:t>。</w:t>
      </w:r>
    </w:p>
    <w:p w:rsidR="00BD33EC" w:rsidRDefault="001F41F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3.社会保障和就业支出</w:t>
      </w:r>
    </w:p>
    <w:p w:rsidR="00BD33EC" w:rsidRDefault="001F41F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年初预算为44.19万元，支出决算为50.68万元，完成年初预算的114.69%，决算数大于年初预算数的主要原因是：人员增加。</w:t>
      </w:r>
    </w:p>
    <w:p w:rsidR="00BD33EC" w:rsidRDefault="001F41F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4.卫生健康支出</w:t>
      </w:r>
    </w:p>
    <w:p w:rsidR="00BD33EC" w:rsidRDefault="001F41F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年初预算为8.87万元，支出决算为11.55万元，完成年初预算的130.21%，决算数大于年初预算数的主要原因是：追加村级改厕项目资金。</w:t>
      </w:r>
    </w:p>
    <w:p w:rsidR="00BD33EC" w:rsidRDefault="001F41F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5.农林水支出</w:t>
      </w:r>
    </w:p>
    <w:p w:rsidR="00BD33EC" w:rsidRDefault="001F41F8">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年初预算为221.08万元，支出决算为271.65万元，完成年初预算的122.87%决算数大于年初预算数的主要原因是：追加村级集体经济引导项目经费。</w:t>
      </w:r>
    </w:p>
    <w:p w:rsidR="00BD33EC" w:rsidRDefault="001F41F8">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6.住房保障支出</w:t>
      </w:r>
    </w:p>
    <w:p w:rsidR="00BD33EC" w:rsidRDefault="001F41F8">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年初预算为7.69万元，支出决算为7.69万元，完成年初预算的100%。</w:t>
      </w:r>
    </w:p>
    <w:p w:rsidR="00BD33EC" w:rsidRDefault="001F41F8">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7.城乡社区支出</w:t>
      </w:r>
    </w:p>
    <w:p w:rsidR="00BD33EC" w:rsidRDefault="001F41F8">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年初预算为0万元，支出决算为75.63万元，决算数大于年初预算数的主要原因是：城乡卫生、社区经费支出。</w:t>
      </w:r>
    </w:p>
    <w:p w:rsidR="00BD33EC" w:rsidRDefault="001F41F8">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8.抗</w:t>
      </w:r>
      <w:proofErr w:type="gramStart"/>
      <w:r>
        <w:rPr>
          <w:rFonts w:asciiTheme="minorEastAsia" w:eastAsiaTheme="minorEastAsia" w:hAnsiTheme="minorEastAsia" w:hint="eastAsia"/>
          <w:sz w:val="32"/>
          <w:szCs w:val="32"/>
        </w:rPr>
        <w:t>疫</w:t>
      </w:r>
      <w:proofErr w:type="gramEnd"/>
      <w:r>
        <w:rPr>
          <w:rFonts w:asciiTheme="minorEastAsia" w:eastAsiaTheme="minorEastAsia" w:hAnsiTheme="minorEastAsia" w:hint="eastAsia"/>
          <w:sz w:val="32"/>
          <w:szCs w:val="32"/>
        </w:rPr>
        <w:t>特别国债安排的支出</w:t>
      </w:r>
    </w:p>
    <w:p w:rsidR="00BD33EC" w:rsidRDefault="001F41F8">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年初预算为0万元，支出决算为30.85万元，决算数大于年初预算数的主要原因是：抗击疫情支出。</w:t>
      </w:r>
    </w:p>
    <w:p w:rsidR="00BD33EC" w:rsidRDefault="001F41F8">
      <w:pPr>
        <w:pStyle w:val="Default"/>
        <w:rPr>
          <w:rFonts w:hAnsi="黑体"/>
          <w:b/>
          <w:sz w:val="32"/>
          <w:szCs w:val="32"/>
        </w:rPr>
      </w:pPr>
      <w:r>
        <w:rPr>
          <w:rFonts w:hAnsi="黑体" w:hint="eastAsia"/>
          <w:b/>
          <w:sz w:val="32"/>
          <w:szCs w:val="32"/>
        </w:rPr>
        <w:t>六、一般公共预算财政拨款基本支出决算情况说明</w:t>
      </w:r>
    </w:p>
    <w:p w:rsidR="00BD33EC" w:rsidRDefault="001F41F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2020年度财政拨款基本支出539.54万元，其中：人员经费295.61万元，</w:t>
      </w:r>
      <w:proofErr w:type="gramStart"/>
      <w:r>
        <w:rPr>
          <w:rFonts w:asciiTheme="minorEastAsia" w:eastAsiaTheme="minorEastAsia" w:hAnsiTheme="minorEastAsia" w:hint="eastAsia"/>
          <w:sz w:val="32"/>
          <w:szCs w:val="32"/>
        </w:rPr>
        <w:t>占基本</w:t>
      </w:r>
      <w:proofErr w:type="gramEnd"/>
      <w:r>
        <w:rPr>
          <w:rFonts w:asciiTheme="minorEastAsia" w:eastAsiaTheme="minorEastAsia" w:hAnsiTheme="minorEastAsia" w:hint="eastAsia"/>
          <w:sz w:val="32"/>
          <w:szCs w:val="32"/>
        </w:rPr>
        <w:t>支出的54.78%,主要包括基本工资、津贴补贴、奖金、绩效工资、机关事业单位基本养老保险缴费、职业年金缴费、职工基本医疗保险缴费、公务员医疗补助缴费、其他社会保障缴费、住房公积金、医疗费、其他工资福利支出、抚恤金、生活补助、其他对个人家庭补助支出；公用经费243.93万元，</w:t>
      </w:r>
      <w:proofErr w:type="gramStart"/>
      <w:r>
        <w:rPr>
          <w:rFonts w:asciiTheme="minorEastAsia" w:eastAsiaTheme="minorEastAsia" w:hAnsiTheme="minorEastAsia" w:hint="eastAsia"/>
          <w:sz w:val="32"/>
          <w:szCs w:val="32"/>
        </w:rPr>
        <w:t>占基本</w:t>
      </w:r>
      <w:proofErr w:type="gramEnd"/>
      <w:r>
        <w:rPr>
          <w:rFonts w:asciiTheme="minorEastAsia" w:eastAsiaTheme="minorEastAsia" w:hAnsiTheme="minorEastAsia" w:hint="eastAsia"/>
          <w:sz w:val="32"/>
          <w:szCs w:val="32"/>
        </w:rPr>
        <w:t>支出的</w:t>
      </w:r>
      <w:r>
        <w:rPr>
          <w:rFonts w:asciiTheme="minorEastAsia" w:eastAsiaTheme="minorEastAsia" w:hAnsiTheme="minorEastAsia" w:hint="eastAsia"/>
          <w:sz w:val="32"/>
          <w:szCs w:val="32"/>
        </w:rPr>
        <w:lastRenderedPageBreak/>
        <w:t>45.22%，主要包括办公费、水费、电费、邮电费、差旅费、维修（护）费、会议费、培训费、公务接待费、劳务费、工会经费、公务用车运行维护费、其他交通费用、其他商品和服务支出。</w:t>
      </w:r>
    </w:p>
    <w:p w:rsidR="00BD33EC" w:rsidRDefault="001F41F8">
      <w:pPr>
        <w:pStyle w:val="Default"/>
        <w:rPr>
          <w:rFonts w:hAnsi="黑体"/>
          <w:b/>
          <w:sz w:val="32"/>
          <w:szCs w:val="32"/>
        </w:rPr>
      </w:pPr>
      <w:r>
        <w:rPr>
          <w:rFonts w:hAnsi="黑体" w:hint="eastAsia"/>
          <w:b/>
          <w:sz w:val="32"/>
          <w:szCs w:val="32"/>
        </w:rPr>
        <w:t>七、一般公共预算财政拨款三</w:t>
      </w:r>
      <w:proofErr w:type="gramStart"/>
      <w:r>
        <w:rPr>
          <w:rFonts w:hAnsi="黑体" w:hint="eastAsia"/>
          <w:b/>
          <w:sz w:val="32"/>
          <w:szCs w:val="32"/>
        </w:rPr>
        <w:t>公经费</w:t>
      </w:r>
      <w:proofErr w:type="gramEnd"/>
      <w:r>
        <w:rPr>
          <w:rFonts w:hAnsi="黑体" w:hint="eastAsia"/>
          <w:b/>
          <w:sz w:val="32"/>
          <w:szCs w:val="32"/>
        </w:rPr>
        <w:t>支出决算情况说明</w:t>
      </w:r>
    </w:p>
    <w:p w:rsidR="00BD33EC" w:rsidRDefault="001F41F8">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BD33EC" w:rsidRDefault="001F41F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“三公”经费年初预算20.9万元，</w:t>
      </w:r>
      <w:r w:rsidR="00E064FF">
        <w:rPr>
          <w:rFonts w:asciiTheme="minorEastAsia" w:eastAsiaTheme="minorEastAsia" w:hAnsiTheme="minorEastAsia" w:hint="eastAsia"/>
          <w:sz w:val="32"/>
          <w:szCs w:val="32"/>
        </w:rPr>
        <w:t>本</w:t>
      </w:r>
      <w:r>
        <w:rPr>
          <w:rFonts w:asciiTheme="minorEastAsia" w:eastAsiaTheme="minorEastAsia" w:hAnsiTheme="minorEastAsia" w:hint="eastAsia"/>
          <w:sz w:val="32"/>
          <w:szCs w:val="32"/>
        </w:rPr>
        <w:t>年决算数20.9万元</w:t>
      </w:r>
      <w:r w:rsidR="00E064FF">
        <w:rPr>
          <w:rFonts w:asciiTheme="minorEastAsia" w:eastAsiaTheme="minorEastAsia" w:hAnsiTheme="minorEastAsia" w:hint="eastAsia"/>
          <w:sz w:val="32"/>
          <w:szCs w:val="32"/>
        </w:rPr>
        <w:t>，与年初预算数</w:t>
      </w:r>
      <w:r>
        <w:rPr>
          <w:rFonts w:asciiTheme="minorEastAsia" w:eastAsiaTheme="minorEastAsia" w:hAnsiTheme="minorEastAsia" w:hint="eastAsia"/>
          <w:sz w:val="32"/>
          <w:szCs w:val="32"/>
        </w:rPr>
        <w:t>持平，本年决算数20.9万元</w:t>
      </w:r>
      <w:r w:rsidR="00E064FF">
        <w:rPr>
          <w:rFonts w:asciiTheme="minorEastAsia" w:eastAsiaTheme="minorEastAsia" w:hAnsiTheme="minorEastAsia" w:hint="eastAsia"/>
          <w:sz w:val="32"/>
          <w:szCs w:val="32"/>
        </w:rPr>
        <w:t>与</w:t>
      </w:r>
      <w:r>
        <w:rPr>
          <w:rFonts w:asciiTheme="minorEastAsia" w:eastAsiaTheme="minorEastAsia" w:hAnsiTheme="minorEastAsia" w:hint="eastAsia"/>
          <w:sz w:val="32"/>
          <w:szCs w:val="32"/>
        </w:rPr>
        <w:t>上年决算数20.9万元一致。</w:t>
      </w:r>
    </w:p>
    <w:p w:rsidR="00BD33EC" w:rsidRDefault="001F41F8">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因公出国（境）费支出预算为0万元，支出决算为0万元，完成预算的0%，决算数与年初预算数持平。与上年一致。</w:t>
      </w:r>
    </w:p>
    <w:p w:rsidR="00BD33EC" w:rsidRDefault="001F41F8">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公务接待本年年初预算13万元，本年决算数13万元，</w:t>
      </w:r>
      <w:r w:rsidR="00E064FF">
        <w:rPr>
          <w:rFonts w:asciiTheme="minorEastAsia" w:eastAsiaTheme="minorEastAsia" w:hAnsiTheme="minorEastAsia" w:hint="eastAsia"/>
          <w:sz w:val="32"/>
          <w:szCs w:val="32"/>
        </w:rPr>
        <w:t>与</w:t>
      </w:r>
      <w:r>
        <w:rPr>
          <w:rFonts w:asciiTheme="minorEastAsia" w:eastAsiaTheme="minorEastAsia" w:hAnsiTheme="minorEastAsia" w:hint="eastAsia"/>
          <w:sz w:val="32"/>
          <w:szCs w:val="32"/>
        </w:rPr>
        <w:t>上年决算13万元一致。本年共接待320批次，共接待2550人次，均为国内公务接待。</w:t>
      </w:r>
    </w:p>
    <w:p w:rsidR="00BD33EC" w:rsidRDefault="001F41F8">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公务用车运行维护本年年初预算7.9万元，</w:t>
      </w:r>
      <w:r w:rsidR="00E064FF">
        <w:rPr>
          <w:rFonts w:asciiTheme="minorEastAsia" w:eastAsiaTheme="minorEastAsia" w:hAnsiTheme="minorEastAsia" w:hint="eastAsia"/>
          <w:sz w:val="32"/>
          <w:szCs w:val="32"/>
        </w:rPr>
        <w:t>本年决算数为7.9万元，与</w:t>
      </w:r>
      <w:r>
        <w:rPr>
          <w:rFonts w:asciiTheme="minorEastAsia" w:eastAsiaTheme="minorEastAsia" w:hAnsiTheme="minorEastAsia" w:hint="eastAsia"/>
          <w:sz w:val="32"/>
          <w:szCs w:val="32"/>
        </w:rPr>
        <w:t>上年决算数7.9万元持平，考虑我单位公务用车一辆的维修保养及用油保险开支。公务用车运行维护本年决算数7.</w:t>
      </w:r>
      <w:proofErr w:type="gramStart"/>
      <w:r>
        <w:rPr>
          <w:rFonts w:asciiTheme="minorEastAsia" w:eastAsiaTheme="minorEastAsia" w:hAnsiTheme="minorEastAsia" w:hint="eastAsia"/>
          <w:sz w:val="32"/>
          <w:szCs w:val="32"/>
        </w:rPr>
        <w:t>9万元较</w:t>
      </w:r>
      <w:r w:rsidR="00E064FF">
        <w:rPr>
          <w:rFonts w:asciiTheme="minorEastAsia" w:eastAsiaTheme="minorEastAsia" w:hAnsiTheme="minorEastAsia" w:hint="eastAsia"/>
          <w:sz w:val="32"/>
          <w:szCs w:val="32"/>
        </w:rPr>
        <w:t>与</w:t>
      </w:r>
      <w:r>
        <w:rPr>
          <w:rFonts w:asciiTheme="minorEastAsia" w:eastAsiaTheme="minorEastAsia" w:hAnsiTheme="minorEastAsia" w:hint="eastAsia"/>
          <w:sz w:val="32"/>
          <w:szCs w:val="32"/>
        </w:rPr>
        <w:t>上年</w:t>
      </w:r>
      <w:proofErr w:type="gramEnd"/>
      <w:r>
        <w:rPr>
          <w:rFonts w:asciiTheme="minorEastAsia" w:eastAsiaTheme="minorEastAsia" w:hAnsiTheme="minorEastAsia" w:hint="eastAsia"/>
          <w:sz w:val="32"/>
          <w:szCs w:val="32"/>
        </w:rPr>
        <w:t>决算数7.9万元保持一致，正常用车开支。较比年初预算保持一致，原因为单位公车年久老化，保障公务用车及下村用。</w:t>
      </w:r>
    </w:p>
    <w:p w:rsidR="00BD33EC" w:rsidRDefault="001F41F8">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BD33EC" w:rsidRDefault="001F41F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2020年度“三公”经费财政拨款支出决算中，公务接待费支出决算13万元，占62.2%,因公出国（境）费支出决算0万元，占0%,公务用车购置费及运行维护费支出决算7.9万元，占37.8%。其中：</w:t>
      </w:r>
    </w:p>
    <w:p w:rsidR="00BD33EC" w:rsidRDefault="001F41F8">
      <w:pPr>
        <w:pStyle w:val="Default"/>
        <w:ind w:firstLineChars="200" w:firstLine="640"/>
        <w:rPr>
          <w:rFonts w:asciiTheme="minorEastAsia" w:eastAsiaTheme="minorEastAsia" w:hAnsiTheme="minorEastAsia"/>
          <w:b/>
          <w:sz w:val="32"/>
          <w:szCs w:val="32"/>
        </w:rPr>
      </w:pPr>
      <w:r>
        <w:rPr>
          <w:rFonts w:asciiTheme="minorEastAsia" w:eastAsiaTheme="minorEastAsia" w:hAnsiTheme="minorEastAsia" w:hint="eastAsia"/>
          <w:sz w:val="32"/>
          <w:szCs w:val="32"/>
        </w:rPr>
        <w:t>1、因公出国（境）费支出决算为0万元，全年安排因公出国（境）团组0个，累计0人次。</w:t>
      </w:r>
    </w:p>
    <w:p w:rsidR="00BD33EC" w:rsidRDefault="001F41F8" w:rsidP="00E064FF">
      <w:pPr>
        <w:pStyle w:val="Default"/>
        <w:spacing w:line="58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2、公务接待费支出决算为13万元，本年共接待320批次，共</w:t>
      </w:r>
      <w:r>
        <w:rPr>
          <w:rFonts w:asciiTheme="minorEastAsia" w:eastAsiaTheme="minorEastAsia" w:hAnsiTheme="minorEastAsia" w:hint="eastAsia"/>
          <w:sz w:val="32"/>
          <w:szCs w:val="32"/>
        </w:rPr>
        <w:lastRenderedPageBreak/>
        <w:t>接待2550人次，均为国内公务接待。</w:t>
      </w:r>
    </w:p>
    <w:p w:rsidR="00BD33EC" w:rsidRDefault="001F41F8" w:rsidP="00E064FF">
      <w:pPr>
        <w:spacing w:line="580" w:lineRule="exact"/>
        <w:ind w:firstLineChars="250" w:firstLine="800"/>
        <w:rPr>
          <w:rFonts w:asciiTheme="minorEastAsia" w:hAnsiTheme="minorEastAsia" w:cs="黑体"/>
          <w:color w:val="000000"/>
          <w:kern w:val="0"/>
          <w:sz w:val="32"/>
          <w:szCs w:val="32"/>
        </w:rPr>
      </w:pPr>
      <w:r>
        <w:rPr>
          <w:rFonts w:asciiTheme="minorEastAsia" w:hAnsiTheme="minorEastAsia" w:hint="eastAsia"/>
          <w:sz w:val="32"/>
          <w:szCs w:val="32"/>
        </w:rPr>
        <w:t>3、公务用车购置费及运行维护费支出决算为7.9万元，其中：公务用车购置费0万元</w:t>
      </w:r>
      <w:r>
        <w:rPr>
          <w:rFonts w:asciiTheme="minorEastAsia" w:hAnsiTheme="minorEastAsia" w:hint="eastAsia"/>
          <w:color w:val="000000" w:themeColor="text1"/>
          <w:sz w:val="32"/>
          <w:szCs w:val="32"/>
        </w:rPr>
        <w:t>。</w:t>
      </w:r>
      <w:r>
        <w:rPr>
          <w:rFonts w:asciiTheme="minorEastAsia" w:hAnsiTheme="minorEastAsia" w:hint="eastAsia"/>
          <w:sz w:val="32"/>
          <w:szCs w:val="32"/>
        </w:rPr>
        <w:t>公务用车运行维护费7.9万元，主要是公务车用油、保养、维修支出，截止2020年12月31日，我单位开支财政拨款的公务用车保有量为1辆。</w:t>
      </w:r>
    </w:p>
    <w:p w:rsidR="00BD33EC" w:rsidRDefault="001F41F8" w:rsidP="00E064FF">
      <w:pPr>
        <w:pStyle w:val="Default"/>
        <w:spacing w:line="580" w:lineRule="exact"/>
        <w:rPr>
          <w:rFonts w:hAnsi="黑体"/>
          <w:b/>
          <w:sz w:val="32"/>
          <w:szCs w:val="32"/>
        </w:rPr>
      </w:pPr>
      <w:r>
        <w:rPr>
          <w:rFonts w:hAnsi="黑体" w:hint="eastAsia"/>
          <w:b/>
          <w:sz w:val="32"/>
          <w:szCs w:val="32"/>
        </w:rPr>
        <w:t>八、政府性基金预算收入支出决算情况</w:t>
      </w:r>
    </w:p>
    <w:p w:rsidR="00BD33EC" w:rsidRDefault="001F41F8" w:rsidP="00E064FF">
      <w:pPr>
        <w:pStyle w:val="Default"/>
        <w:spacing w:line="580" w:lineRule="exact"/>
        <w:rPr>
          <w:rFonts w:asciiTheme="minorEastAsia" w:eastAsiaTheme="minorEastAsia" w:hAnsiTheme="minorEastAsia" w:cstheme="minorBidi"/>
          <w:color w:val="auto"/>
          <w:kern w:val="2"/>
          <w:sz w:val="32"/>
          <w:szCs w:val="32"/>
        </w:rPr>
      </w:pPr>
      <w:r>
        <w:rPr>
          <w:rFonts w:asciiTheme="minorEastAsia" w:eastAsiaTheme="minorEastAsia" w:hAnsiTheme="minorEastAsia" w:hint="eastAsia"/>
          <w:sz w:val="32"/>
          <w:szCs w:val="32"/>
        </w:rPr>
        <w:t xml:space="preserve">     2020年度本单位有政府性基金收支。</w:t>
      </w:r>
      <w:r>
        <w:rPr>
          <w:rFonts w:asciiTheme="minorEastAsia" w:eastAsiaTheme="minorEastAsia" w:hAnsiTheme="minorEastAsia" w:cstheme="minorBidi" w:hint="eastAsia"/>
          <w:color w:val="auto"/>
          <w:kern w:val="2"/>
          <w:sz w:val="32"/>
          <w:szCs w:val="32"/>
        </w:rPr>
        <w:t>2020年，收到衡南县财政局预算股拨付中央直达抗</w:t>
      </w:r>
      <w:proofErr w:type="gramStart"/>
      <w:r>
        <w:rPr>
          <w:rFonts w:asciiTheme="minorEastAsia" w:eastAsiaTheme="minorEastAsia" w:hAnsiTheme="minorEastAsia" w:cstheme="minorBidi" w:hint="eastAsia"/>
          <w:color w:val="auto"/>
          <w:kern w:val="2"/>
          <w:sz w:val="32"/>
          <w:szCs w:val="32"/>
        </w:rPr>
        <w:t>疫</w:t>
      </w:r>
      <w:proofErr w:type="gramEnd"/>
      <w:r>
        <w:rPr>
          <w:rFonts w:asciiTheme="minorEastAsia" w:eastAsiaTheme="minorEastAsia" w:hAnsiTheme="minorEastAsia" w:cstheme="minorBidi" w:hint="eastAsia"/>
          <w:color w:val="auto"/>
          <w:kern w:val="2"/>
          <w:sz w:val="32"/>
          <w:szCs w:val="32"/>
        </w:rPr>
        <w:t>国债资金30.85万元，支付宣传费1.41万元、卫生院防控资金21.25万元、农贸市场及隔离服务点材料费0.49.万元、全镇村（社区）疫情防控资金（8个村、3个社区）7.7万元。</w:t>
      </w:r>
    </w:p>
    <w:p w:rsidR="001F41F8" w:rsidRPr="00777C36" w:rsidRDefault="001F41F8" w:rsidP="00E064FF">
      <w:pPr>
        <w:pStyle w:val="Default"/>
        <w:spacing w:line="580" w:lineRule="exact"/>
        <w:rPr>
          <w:rFonts w:hAnsi="黑体"/>
          <w:b/>
          <w:sz w:val="32"/>
          <w:szCs w:val="32"/>
        </w:rPr>
      </w:pPr>
      <w:r w:rsidRPr="00777C36">
        <w:rPr>
          <w:rFonts w:hAnsi="黑体" w:hint="eastAsia"/>
          <w:b/>
          <w:sz w:val="32"/>
          <w:szCs w:val="32"/>
        </w:rPr>
        <w:t>九、国有资本经营预算财政拨款支出决算情况</w:t>
      </w:r>
    </w:p>
    <w:p w:rsidR="001F41F8" w:rsidRPr="001F41F8" w:rsidRDefault="001F41F8" w:rsidP="00E064FF">
      <w:pPr>
        <w:pStyle w:val="Default"/>
        <w:spacing w:line="580" w:lineRule="exact"/>
        <w:ind w:firstLineChars="200" w:firstLine="640"/>
        <w:rPr>
          <w:rFonts w:asciiTheme="minorEastAsia" w:eastAsiaTheme="minorEastAsia" w:hAnsiTheme="minorEastAsia" w:cstheme="minorBidi"/>
          <w:color w:val="auto"/>
          <w:kern w:val="2"/>
          <w:sz w:val="32"/>
          <w:szCs w:val="32"/>
        </w:rPr>
      </w:pPr>
      <w:r w:rsidRPr="00777C36">
        <w:rPr>
          <w:rFonts w:asciiTheme="minorEastAsia" w:eastAsiaTheme="minorEastAsia" w:hAnsiTheme="minorEastAsia" w:cstheme="minorBidi" w:hint="eastAsia"/>
          <w:color w:val="auto"/>
          <w:kern w:val="2"/>
          <w:sz w:val="32"/>
          <w:szCs w:val="32"/>
        </w:rPr>
        <w:t>本单位2020年没有国有资本经营预算财政拨款支出。</w:t>
      </w:r>
    </w:p>
    <w:p w:rsidR="00BD33EC" w:rsidRDefault="001F41F8" w:rsidP="00E064FF">
      <w:pPr>
        <w:pStyle w:val="Default"/>
        <w:spacing w:line="580" w:lineRule="exact"/>
        <w:rPr>
          <w:rFonts w:hAnsi="黑体"/>
          <w:b/>
          <w:sz w:val="32"/>
          <w:szCs w:val="32"/>
        </w:rPr>
      </w:pPr>
      <w:r>
        <w:rPr>
          <w:rFonts w:hAnsi="黑体" w:hint="eastAsia"/>
          <w:b/>
          <w:sz w:val="32"/>
          <w:szCs w:val="32"/>
        </w:rPr>
        <w:t>十、机关运行经费支出说明</w:t>
      </w:r>
    </w:p>
    <w:p w:rsidR="00BD33EC" w:rsidRDefault="001F41F8" w:rsidP="00E064FF">
      <w:pPr>
        <w:pStyle w:val="Default"/>
        <w:spacing w:line="580" w:lineRule="exact"/>
        <w:ind w:firstLineChars="200" w:firstLine="640"/>
        <w:rPr>
          <w:rFonts w:asciiTheme="minorEastAsia" w:eastAsiaTheme="minorEastAsia" w:hAnsiTheme="minorEastAsia" w:cstheme="minorBidi"/>
          <w:color w:val="auto"/>
          <w:kern w:val="2"/>
          <w:sz w:val="32"/>
          <w:szCs w:val="32"/>
        </w:rPr>
      </w:pPr>
      <w:r>
        <w:rPr>
          <w:rFonts w:asciiTheme="minorEastAsia" w:eastAsiaTheme="minorEastAsia" w:hAnsiTheme="minorEastAsia" w:cstheme="minorBidi" w:hint="eastAsia"/>
          <w:color w:val="auto"/>
          <w:kern w:val="2"/>
          <w:sz w:val="32"/>
          <w:szCs w:val="32"/>
        </w:rPr>
        <w:t>机关运行经费本年支出243.93万元，与上年的274.29万元相比，递减1.24%。变动原因为本年度支出口径与上年度有差异，划分了专项业务支出，譬如信访维稳，安全生产，党建专项，扶贫专项，城乡环境同治，本年度全列入项目支出。</w:t>
      </w:r>
    </w:p>
    <w:p w:rsidR="00BD33EC" w:rsidRDefault="001F41F8" w:rsidP="00E064FF">
      <w:pPr>
        <w:pStyle w:val="Default"/>
        <w:spacing w:line="580" w:lineRule="exact"/>
        <w:rPr>
          <w:rFonts w:hAnsi="黑体"/>
          <w:b/>
          <w:sz w:val="32"/>
          <w:szCs w:val="32"/>
        </w:rPr>
      </w:pPr>
      <w:r>
        <w:rPr>
          <w:rFonts w:hAnsi="黑体" w:hint="eastAsia"/>
          <w:b/>
          <w:sz w:val="32"/>
          <w:szCs w:val="32"/>
        </w:rPr>
        <w:t>十一、一般性支出情况</w:t>
      </w:r>
    </w:p>
    <w:p w:rsidR="00BD33EC" w:rsidRDefault="001F41F8" w:rsidP="00E064FF">
      <w:pPr>
        <w:pStyle w:val="Default"/>
        <w:spacing w:line="580" w:lineRule="exact"/>
        <w:ind w:firstLineChars="200" w:firstLine="640"/>
        <w:rPr>
          <w:rFonts w:asciiTheme="minorEastAsia" w:eastAsiaTheme="minorEastAsia" w:hAnsiTheme="minorEastAsia" w:cstheme="minorBidi"/>
          <w:color w:val="auto"/>
          <w:kern w:val="2"/>
          <w:sz w:val="32"/>
          <w:szCs w:val="32"/>
          <w:lang w:val="zh-CN"/>
        </w:rPr>
      </w:pPr>
      <w:r>
        <w:rPr>
          <w:rFonts w:asciiTheme="minorEastAsia" w:eastAsiaTheme="minorEastAsia" w:hAnsiTheme="minorEastAsia" w:cstheme="minorBidi" w:hint="eastAsia"/>
          <w:color w:val="auto"/>
          <w:kern w:val="2"/>
          <w:sz w:val="32"/>
          <w:szCs w:val="32"/>
        </w:rPr>
        <w:t>会议费支出情况：2020年会议费完成14.35万元，比上年减少11.34万元，下降44.14%，增减变化的主要原因是：压缩会议支出，合并会议；培训费支出情况：2020年培训费完成3.85万元，比上年减少0.33万元，减少7.87%，增减变化的主要原因是：精简村干部培训</w:t>
      </w:r>
      <w:r>
        <w:rPr>
          <w:rFonts w:asciiTheme="minorEastAsia" w:eastAsiaTheme="minorEastAsia" w:hAnsiTheme="minorEastAsia" w:cstheme="minorBidi" w:hint="eastAsia"/>
          <w:color w:val="auto"/>
          <w:kern w:val="2"/>
          <w:sz w:val="32"/>
          <w:szCs w:val="32"/>
          <w:lang w:val="zh-CN"/>
        </w:rPr>
        <w:t>。</w:t>
      </w:r>
    </w:p>
    <w:p w:rsidR="00BD33EC" w:rsidRDefault="001F41F8" w:rsidP="00E064FF">
      <w:pPr>
        <w:pStyle w:val="Default"/>
        <w:spacing w:line="580" w:lineRule="exact"/>
        <w:rPr>
          <w:rFonts w:hAnsi="黑体"/>
          <w:b/>
          <w:sz w:val="32"/>
          <w:szCs w:val="32"/>
        </w:rPr>
      </w:pPr>
      <w:r>
        <w:rPr>
          <w:rFonts w:hAnsi="黑体" w:hint="eastAsia"/>
          <w:b/>
          <w:sz w:val="32"/>
          <w:szCs w:val="32"/>
        </w:rPr>
        <w:t>十二、关于政府采购支出说明</w:t>
      </w:r>
    </w:p>
    <w:p w:rsidR="00BD33EC" w:rsidRDefault="001F41F8" w:rsidP="00E064FF">
      <w:pPr>
        <w:pStyle w:val="Default"/>
        <w:spacing w:line="580" w:lineRule="exact"/>
        <w:ind w:firstLineChars="200" w:firstLine="640"/>
        <w:rPr>
          <w:rFonts w:hAnsi="黑体"/>
          <w:b/>
          <w:sz w:val="32"/>
          <w:szCs w:val="32"/>
        </w:rPr>
      </w:pPr>
      <w:r>
        <w:rPr>
          <w:rFonts w:asciiTheme="minorEastAsia" w:eastAsiaTheme="minorEastAsia" w:hAnsiTheme="minorEastAsia" w:cstheme="minorBidi" w:hint="eastAsia"/>
          <w:color w:val="auto"/>
          <w:kern w:val="2"/>
          <w:sz w:val="32"/>
          <w:szCs w:val="32"/>
        </w:rPr>
        <w:t>本年度本单位政府采购支出162.75万元，均为财政拨款支出。</w:t>
      </w:r>
      <w:r>
        <w:rPr>
          <w:rFonts w:asciiTheme="minorEastAsia" w:eastAsiaTheme="minorEastAsia" w:hAnsiTheme="minorEastAsia" w:cstheme="minorBidi" w:hint="eastAsia"/>
          <w:color w:val="auto"/>
          <w:kern w:val="2"/>
          <w:sz w:val="32"/>
          <w:szCs w:val="32"/>
        </w:rPr>
        <w:lastRenderedPageBreak/>
        <w:t>全部为货物采购支出。包括办公桌椅，办公用电脑，打印机等办公用品和街道垃圾桶。</w:t>
      </w:r>
    </w:p>
    <w:p w:rsidR="00BD33EC" w:rsidRDefault="001F41F8" w:rsidP="00E064FF">
      <w:pPr>
        <w:autoSpaceDE w:val="0"/>
        <w:autoSpaceDN w:val="0"/>
        <w:adjustRightInd w:val="0"/>
        <w:spacing w:line="580" w:lineRule="exact"/>
        <w:jc w:val="left"/>
        <w:rPr>
          <w:rFonts w:ascii="黑体" w:eastAsia="黑体" w:hAnsi="黑体" w:cs="黑体"/>
          <w:b/>
          <w:color w:val="000000"/>
          <w:kern w:val="0"/>
          <w:sz w:val="32"/>
          <w:szCs w:val="32"/>
        </w:rPr>
      </w:pPr>
      <w:r>
        <w:rPr>
          <w:rFonts w:ascii="黑体" w:eastAsia="黑体" w:hAnsi="黑体" w:cs="黑体" w:hint="eastAsia"/>
          <w:b/>
          <w:color w:val="000000"/>
          <w:kern w:val="0"/>
          <w:sz w:val="32"/>
          <w:szCs w:val="32"/>
        </w:rPr>
        <w:t>十三、关于国有资产占用情况说明</w:t>
      </w:r>
    </w:p>
    <w:p w:rsidR="00BD33EC" w:rsidRDefault="001F41F8" w:rsidP="00E064FF">
      <w:pPr>
        <w:pStyle w:val="Default"/>
        <w:spacing w:line="580" w:lineRule="exact"/>
        <w:ind w:firstLineChars="200" w:firstLine="640"/>
        <w:rPr>
          <w:rFonts w:asciiTheme="minorEastAsia" w:eastAsiaTheme="minorEastAsia" w:hAnsiTheme="minorEastAsia" w:cstheme="minorBidi"/>
          <w:color w:val="auto"/>
          <w:kern w:val="2"/>
          <w:sz w:val="32"/>
          <w:szCs w:val="32"/>
        </w:rPr>
      </w:pPr>
      <w:r>
        <w:rPr>
          <w:rFonts w:asciiTheme="minorEastAsia" w:eastAsiaTheme="minorEastAsia" w:hAnsiTheme="minorEastAsia" w:cstheme="minorBidi" w:hint="eastAsia"/>
          <w:color w:val="auto"/>
          <w:kern w:val="2"/>
          <w:sz w:val="32"/>
          <w:szCs w:val="32"/>
        </w:rPr>
        <w:t>截至2020年12月31日，本单位共有车辆1辆，其中，其他用车1辆，其他用车主要是干部下村公务用车；单位价值50万元以上通用设备0台（套）；单位价值100万元以上专用设备0台（套）。</w:t>
      </w:r>
    </w:p>
    <w:p w:rsidR="00BD33EC" w:rsidRDefault="001F41F8" w:rsidP="00E064FF">
      <w:pPr>
        <w:pStyle w:val="Default"/>
        <w:spacing w:line="580" w:lineRule="exact"/>
        <w:rPr>
          <w:rFonts w:hAnsi="黑体"/>
          <w:b/>
          <w:sz w:val="32"/>
          <w:szCs w:val="32"/>
        </w:rPr>
      </w:pPr>
      <w:r>
        <w:rPr>
          <w:rFonts w:hAnsi="黑体" w:hint="eastAsia"/>
          <w:b/>
          <w:sz w:val="32"/>
          <w:szCs w:val="32"/>
        </w:rPr>
        <w:t>十四、关于2020年度预算绩效情况说明</w:t>
      </w:r>
    </w:p>
    <w:p w:rsidR="00BD33EC" w:rsidRDefault="001F41F8" w:rsidP="00E064FF">
      <w:pPr>
        <w:widowControl/>
        <w:spacing w:line="580" w:lineRule="exact"/>
        <w:jc w:val="left"/>
        <w:rPr>
          <w:rFonts w:asciiTheme="minorEastAsia" w:hAnsiTheme="minorEastAsia"/>
          <w:sz w:val="32"/>
          <w:szCs w:val="32"/>
        </w:rPr>
      </w:pPr>
      <w:r>
        <w:rPr>
          <w:rFonts w:asciiTheme="minorEastAsia" w:hAnsiTheme="minorEastAsia" w:hint="eastAsia"/>
          <w:sz w:val="32"/>
          <w:szCs w:val="32"/>
        </w:rPr>
        <w:t>（一）预算绩效管理工作开展情况</w:t>
      </w:r>
    </w:p>
    <w:p w:rsidR="00BD33EC" w:rsidRDefault="001F41F8" w:rsidP="00E064FF">
      <w:pPr>
        <w:pStyle w:val="Default"/>
        <w:spacing w:line="580" w:lineRule="exact"/>
        <w:ind w:firstLineChars="200" w:firstLine="640"/>
        <w:rPr>
          <w:rFonts w:asciiTheme="minorEastAsia" w:eastAsiaTheme="minorEastAsia" w:hAnsiTheme="minorEastAsia" w:cstheme="minorBidi"/>
          <w:color w:val="auto"/>
          <w:kern w:val="2"/>
          <w:sz w:val="32"/>
          <w:szCs w:val="32"/>
        </w:rPr>
      </w:pPr>
      <w:r>
        <w:rPr>
          <w:rFonts w:asciiTheme="minorEastAsia" w:eastAsiaTheme="minorEastAsia" w:hAnsiTheme="minorEastAsia" w:cstheme="minorBidi" w:hint="eastAsia"/>
          <w:color w:val="auto"/>
          <w:kern w:val="2"/>
          <w:sz w:val="32"/>
          <w:szCs w:val="32"/>
        </w:rPr>
        <w:t>我镇对部门整体支出绩效开展了自评。绩效评价结果显示，我镇2020年度绩效目标完成较好，在预算配置、预算执行、预算管理等方面较好的支持了财政中心工作发展。2020年，我镇深入学习贯彻习近平总书记系列重要讲话精神，紧紧围绕县委、县政府决策部署，有效发挥财政职能作用，统筹做好稳增长、促改革、调结构、惠民生、防风险各项工作。全镇财政实力稳步提升，服务发展成效明显，支农力度持续加大，民生保障更加有力，财税改革扎实推进，财政管理日趋规范，党建工作全面加强，较好地服务了全镇经济社会发展大局。</w:t>
      </w:r>
    </w:p>
    <w:p w:rsidR="00BD33EC" w:rsidRDefault="001F41F8" w:rsidP="00E064FF">
      <w:pPr>
        <w:widowControl/>
        <w:spacing w:line="580" w:lineRule="exact"/>
        <w:jc w:val="left"/>
        <w:rPr>
          <w:rFonts w:asciiTheme="minorEastAsia" w:hAnsiTheme="minorEastAsia"/>
          <w:sz w:val="32"/>
          <w:szCs w:val="32"/>
        </w:rPr>
      </w:pPr>
      <w:r>
        <w:rPr>
          <w:rFonts w:asciiTheme="minorEastAsia" w:hAnsiTheme="minorEastAsia" w:hint="eastAsia"/>
          <w:sz w:val="32"/>
          <w:szCs w:val="32"/>
        </w:rPr>
        <w:t xml:space="preserve">（二）部门整体支出绩效自评结果 </w:t>
      </w:r>
    </w:p>
    <w:p w:rsidR="00BD33EC" w:rsidRDefault="001F41F8" w:rsidP="00E064FF">
      <w:pPr>
        <w:widowControl/>
        <w:spacing w:line="580" w:lineRule="exact"/>
        <w:ind w:firstLineChars="200" w:firstLine="640"/>
        <w:jc w:val="left"/>
        <w:rPr>
          <w:rFonts w:asciiTheme="minorEastAsia" w:hAnsiTheme="minorEastAsia"/>
          <w:sz w:val="32"/>
          <w:szCs w:val="32"/>
        </w:rPr>
      </w:pPr>
      <w:r>
        <w:rPr>
          <w:rFonts w:asciiTheme="minorEastAsia" w:hAnsiTheme="minorEastAsia"/>
          <w:sz w:val="32"/>
          <w:szCs w:val="32"/>
        </w:rPr>
        <w:t xml:space="preserve">2020 </w:t>
      </w:r>
      <w:r>
        <w:rPr>
          <w:rFonts w:asciiTheme="minorEastAsia" w:hAnsiTheme="minorEastAsia" w:hint="eastAsia"/>
          <w:sz w:val="32"/>
          <w:szCs w:val="32"/>
        </w:rPr>
        <w:t>年，在县委、县政府的坚强领导下，我镇坚持以习近平新时代中国特色社会主义思想为指导，认真落实中央和省委、省政府重大决策部署，以强化执行力、提升创新力、增强凝聚力为抓手，圆满完成了各项工作任务，在服务省政府统筹推进全省常态化疫情防控和经济社会发展等方面</w:t>
      </w:r>
      <w:proofErr w:type="gramStart"/>
      <w:r>
        <w:rPr>
          <w:rFonts w:asciiTheme="minorEastAsia" w:hAnsiTheme="minorEastAsia" w:hint="eastAsia"/>
          <w:sz w:val="32"/>
          <w:szCs w:val="32"/>
        </w:rPr>
        <w:t>作出</w:t>
      </w:r>
      <w:proofErr w:type="gramEnd"/>
      <w:r>
        <w:rPr>
          <w:rFonts w:asciiTheme="minorEastAsia" w:hAnsiTheme="minorEastAsia" w:hint="eastAsia"/>
          <w:sz w:val="32"/>
          <w:szCs w:val="32"/>
        </w:rPr>
        <w:t>了积极贡献，根据部门整体支出绩效评价指标，部门整体支出绩效得分</w:t>
      </w:r>
      <w:r>
        <w:rPr>
          <w:rFonts w:hint="eastAsia"/>
          <w:sz w:val="28"/>
          <w:szCs w:val="28"/>
        </w:rPr>
        <w:t>97.6</w:t>
      </w:r>
      <w:r>
        <w:rPr>
          <w:rFonts w:asciiTheme="minorEastAsia" w:hAnsiTheme="minorEastAsia" w:hint="eastAsia"/>
          <w:sz w:val="32"/>
          <w:szCs w:val="32"/>
        </w:rPr>
        <w:t>分。从评价情况来看，预算执行有效，完成情况较好，基本达到预算绩效目标</w:t>
      </w:r>
    </w:p>
    <w:p w:rsidR="00BD33EC" w:rsidRDefault="00BD33EC" w:rsidP="00E064FF">
      <w:pPr>
        <w:widowControl/>
        <w:jc w:val="left"/>
        <w:rPr>
          <w:rFonts w:asciiTheme="minorEastAsia" w:hAnsiTheme="minorEastAsia"/>
          <w:sz w:val="32"/>
          <w:szCs w:val="32"/>
        </w:rPr>
      </w:pPr>
    </w:p>
    <w:p w:rsidR="00E064FF" w:rsidRDefault="00E064FF" w:rsidP="00E064FF">
      <w:pPr>
        <w:pStyle w:val="a0"/>
      </w:pPr>
    </w:p>
    <w:p w:rsidR="00E064FF" w:rsidRDefault="00E064FF" w:rsidP="00E064FF">
      <w:pPr>
        <w:pStyle w:val="a0"/>
      </w:pPr>
    </w:p>
    <w:p w:rsidR="00E064FF" w:rsidRDefault="00E064FF" w:rsidP="00E064FF">
      <w:pPr>
        <w:pStyle w:val="a0"/>
      </w:pPr>
    </w:p>
    <w:p w:rsidR="00E064FF" w:rsidRDefault="00E064FF" w:rsidP="00E064FF">
      <w:pPr>
        <w:pStyle w:val="a0"/>
      </w:pPr>
    </w:p>
    <w:p w:rsidR="00E064FF" w:rsidRDefault="00E064FF" w:rsidP="00E064FF">
      <w:pPr>
        <w:pStyle w:val="a0"/>
      </w:pPr>
    </w:p>
    <w:p w:rsidR="00E064FF" w:rsidRDefault="00E064FF" w:rsidP="00E064FF">
      <w:pPr>
        <w:pStyle w:val="a0"/>
      </w:pPr>
    </w:p>
    <w:p w:rsidR="00E064FF" w:rsidRDefault="00E064FF" w:rsidP="00E064FF">
      <w:pPr>
        <w:pStyle w:val="a0"/>
      </w:pPr>
    </w:p>
    <w:p w:rsidR="00E064FF" w:rsidRDefault="00E064FF" w:rsidP="00E064FF">
      <w:pPr>
        <w:pStyle w:val="a0"/>
      </w:pPr>
    </w:p>
    <w:p w:rsidR="00E064FF" w:rsidRDefault="00E064FF" w:rsidP="00E064FF">
      <w:pPr>
        <w:pStyle w:val="a0"/>
      </w:pPr>
    </w:p>
    <w:p w:rsidR="00E064FF" w:rsidRDefault="00E064FF" w:rsidP="00E064FF">
      <w:pPr>
        <w:pStyle w:val="a0"/>
      </w:pPr>
    </w:p>
    <w:p w:rsidR="00E064FF" w:rsidRDefault="00E064FF" w:rsidP="00E064FF">
      <w:pPr>
        <w:pStyle w:val="a0"/>
      </w:pPr>
    </w:p>
    <w:p w:rsidR="00E064FF" w:rsidRDefault="00E064FF" w:rsidP="00E064FF">
      <w:pPr>
        <w:pStyle w:val="a0"/>
      </w:pPr>
    </w:p>
    <w:p w:rsidR="00E064FF" w:rsidRDefault="00E064FF" w:rsidP="00E064FF">
      <w:pPr>
        <w:pStyle w:val="a0"/>
      </w:pPr>
    </w:p>
    <w:p w:rsidR="00E064FF" w:rsidRDefault="00E064FF" w:rsidP="00E064FF">
      <w:pPr>
        <w:pStyle w:val="a0"/>
      </w:pPr>
    </w:p>
    <w:p w:rsidR="00E064FF" w:rsidRDefault="00E064FF" w:rsidP="00E064FF">
      <w:pPr>
        <w:pStyle w:val="a0"/>
      </w:pPr>
    </w:p>
    <w:p w:rsidR="00E064FF" w:rsidRDefault="00E064FF" w:rsidP="00E064FF">
      <w:pPr>
        <w:pStyle w:val="a0"/>
      </w:pPr>
    </w:p>
    <w:p w:rsidR="00E064FF" w:rsidRDefault="00E064FF" w:rsidP="00E064FF">
      <w:pPr>
        <w:pStyle w:val="a0"/>
      </w:pPr>
    </w:p>
    <w:p w:rsidR="00E064FF" w:rsidRPr="00E064FF" w:rsidRDefault="00E064FF" w:rsidP="00E064FF">
      <w:pPr>
        <w:pStyle w:val="a0"/>
      </w:pPr>
    </w:p>
    <w:p w:rsidR="00BD33EC" w:rsidRDefault="001F41F8">
      <w:pPr>
        <w:pStyle w:val="Default"/>
        <w:jc w:val="center"/>
        <w:rPr>
          <w:rFonts w:asciiTheme="minorHAnsi" w:eastAsiaTheme="minorEastAsia" w:cstheme="minorBidi"/>
          <w:color w:val="auto"/>
          <w:kern w:val="2"/>
          <w:sz w:val="72"/>
          <w:szCs w:val="72"/>
        </w:rPr>
      </w:pPr>
      <w:r>
        <w:rPr>
          <w:rFonts w:asciiTheme="minorHAnsi" w:eastAsiaTheme="minorEastAsia" w:cstheme="minorBidi" w:hint="eastAsia"/>
          <w:color w:val="auto"/>
          <w:kern w:val="2"/>
          <w:sz w:val="72"/>
          <w:szCs w:val="72"/>
        </w:rPr>
        <w:t>第四部分</w:t>
      </w:r>
    </w:p>
    <w:p w:rsidR="00BD33EC" w:rsidRDefault="00BD33EC">
      <w:pPr>
        <w:jc w:val="center"/>
        <w:rPr>
          <w:sz w:val="72"/>
          <w:szCs w:val="72"/>
        </w:rPr>
      </w:pPr>
    </w:p>
    <w:p w:rsidR="00BD33EC" w:rsidRDefault="001F41F8">
      <w:pPr>
        <w:jc w:val="center"/>
        <w:rPr>
          <w:sz w:val="72"/>
          <w:szCs w:val="72"/>
        </w:rPr>
      </w:pPr>
      <w:r>
        <w:rPr>
          <w:rFonts w:hint="eastAsia"/>
          <w:sz w:val="72"/>
          <w:szCs w:val="72"/>
        </w:rPr>
        <w:t>名词解释</w:t>
      </w:r>
    </w:p>
    <w:p w:rsidR="00BD33EC" w:rsidRDefault="00BD33EC">
      <w:pPr>
        <w:jc w:val="center"/>
        <w:rPr>
          <w:rFonts w:ascii="黑体" w:eastAsia="黑体" w:cs="黑体"/>
          <w:color w:val="000000"/>
          <w:kern w:val="0"/>
          <w:sz w:val="70"/>
          <w:szCs w:val="70"/>
        </w:rPr>
      </w:pPr>
    </w:p>
    <w:p w:rsidR="00BD33EC" w:rsidRDefault="00BD33EC">
      <w:pPr>
        <w:jc w:val="center"/>
        <w:rPr>
          <w:rFonts w:ascii="黑体" w:eastAsia="黑体" w:cs="黑体"/>
          <w:color w:val="000000"/>
          <w:kern w:val="0"/>
          <w:sz w:val="70"/>
          <w:szCs w:val="70"/>
        </w:rPr>
      </w:pPr>
    </w:p>
    <w:p w:rsidR="00BD33EC" w:rsidRDefault="00BD33EC">
      <w:pPr>
        <w:jc w:val="center"/>
        <w:rPr>
          <w:rFonts w:ascii="黑体" w:eastAsia="黑体" w:cs="黑体"/>
          <w:color w:val="000000"/>
          <w:kern w:val="0"/>
          <w:sz w:val="70"/>
          <w:szCs w:val="70"/>
        </w:rPr>
      </w:pPr>
    </w:p>
    <w:p w:rsidR="00BD33EC" w:rsidRDefault="00BD33EC">
      <w:pPr>
        <w:jc w:val="center"/>
        <w:rPr>
          <w:rFonts w:ascii="黑体" w:eastAsia="黑体" w:cs="黑体"/>
          <w:color w:val="000000"/>
          <w:kern w:val="0"/>
          <w:sz w:val="70"/>
          <w:szCs w:val="70"/>
        </w:rPr>
      </w:pPr>
    </w:p>
    <w:p w:rsidR="00BD33EC" w:rsidRDefault="00BD33EC">
      <w:pPr>
        <w:jc w:val="center"/>
        <w:rPr>
          <w:rFonts w:ascii="黑体" w:eastAsia="黑体" w:cs="黑体"/>
          <w:color w:val="000000"/>
          <w:kern w:val="0"/>
          <w:sz w:val="70"/>
          <w:szCs w:val="70"/>
        </w:rPr>
      </w:pPr>
    </w:p>
    <w:p w:rsidR="00BD33EC" w:rsidRDefault="00BD33EC">
      <w:pPr>
        <w:jc w:val="center"/>
        <w:rPr>
          <w:rFonts w:ascii="黑体" w:eastAsia="黑体" w:cs="黑体"/>
          <w:color w:val="000000"/>
          <w:kern w:val="0"/>
          <w:sz w:val="70"/>
          <w:szCs w:val="70"/>
        </w:rPr>
      </w:pPr>
    </w:p>
    <w:p w:rsidR="00E064FF" w:rsidRDefault="00E064FF" w:rsidP="00E064FF">
      <w:pPr>
        <w:pStyle w:val="a0"/>
      </w:pPr>
    </w:p>
    <w:p w:rsidR="00E064FF" w:rsidRPr="00E064FF" w:rsidRDefault="00E064FF" w:rsidP="00E064FF">
      <w:pPr>
        <w:pStyle w:val="a0"/>
      </w:pPr>
    </w:p>
    <w:p w:rsidR="00BD33EC" w:rsidRDefault="00BD33EC">
      <w:pPr>
        <w:jc w:val="center"/>
        <w:rPr>
          <w:rFonts w:ascii="黑体" w:eastAsia="黑体" w:cs="黑体"/>
          <w:color w:val="000000"/>
          <w:kern w:val="0"/>
          <w:sz w:val="70"/>
          <w:szCs w:val="70"/>
        </w:rPr>
      </w:pPr>
    </w:p>
    <w:p w:rsidR="00BD33EC" w:rsidRDefault="00BD33EC">
      <w:pPr>
        <w:jc w:val="center"/>
        <w:rPr>
          <w:rFonts w:ascii="黑体" w:eastAsia="黑体" w:cs="黑体"/>
          <w:color w:val="000000"/>
          <w:kern w:val="0"/>
          <w:sz w:val="70"/>
          <w:szCs w:val="70"/>
        </w:rPr>
      </w:pPr>
    </w:p>
    <w:p w:rsidR="00BD33EC" w:rsidRDefault="00BD33EC">
      <w:pPr>
        <w:widowControl/>
        <w:jc w:val="left"/>
        <w:rPr>
          <w:color w:val="333333"/>
          <w:sz w:val="28"/>
          <w:szCs w:val="28"/>
        </w:rPr>
      </w:pPr>
    </w:p>
    <w:p w:rsidR="00BD33EC" w:rsidRDefault="001F41F8">
      <w:pPr>
        <w:widowControl/>
        <w:ind w:firstLineChars="200" w:firstLine="560"/>
        <w:jc w:val="left"/>
        <w:rPr>
          <w:color w:val="333333"/>
          <w:sz w:val="28"/>
          <w:szCs w:val="28"/>
        </w:rPr>
      </w:pPr>
      <w:r>
        <w:rPr>
          <w:rFonts w:hint="eastAsia"/>
          <w:color w:val="333333"/>
          <w:sz w:val="28"/>
          <w:szCs w:val="28"/>
        </w:rPr>
        <w:lastRenderedPageBreak/>
        <w:t>一、财政拨款收入：指</w:t>
      </w:r>
      <w:proofErr w:type="gramStart"/>
      <w:r>
        <w:rPr>
          <w:rFonts w:hint="eastAsia"/>
          <w:color w:val="333333"/>
          <w:sz w:val="28"/>
          <w:szCs w:val="28"/>
        </w:rPr>
        <w:t>财政部门核拨给</w:t>
      </w:r>
      <w:proofErr w:type="gramEnd"/>
      <w:r>
        <w:rPr>
          <w:rFonts w:hint="eastAsia"/>
          <w:color w:val="333333"/>
          <w:sz w:val="28"/>
          <w:szCs w:val="28"/>
        </w:rPr>
        <w:t>单位的财政预算资金。</w:t>
      </w:r>
    </w:p>
    <w:p w:rsidR="00BD33EC" w:rsidRDefault="001F41F8">
      <w:pPr>
        <w:widowControl/>
        <w:jc w:val="left"/>
        <w:rPr>
          <w:rFonts w:ascii="黑体" w:eastAsia="黑体" w:cs="黑体"/>
          <w:color w:val="000000"/>
          <w:kern w:val="0"/>
          <w:sz w:val="70"/>
          <w:szCs w:val="70"/>
        </w:rPr>
      </w:pPr>
      <w:r>
        <w:rPr>
          <w:rFonts w:hint="eastAsia"/>
          <w:color w:val="333333"/>
          <w:sz w:val="28"/>
          <w:szCs w:val="28"/>
        </w:rPr>
        <w:t>二、事业收入：指事业单位开展专业业务活动及辅助活动所取得的收入。</w:t>
      </w:r>
      <w:r>
        <w:rPr>
          <w:rFonts w:hint="eastAsia"/>
          <w:color w:val="333333"/>
          <w:sz w:val="28"/>
          <w:szCs w:val="28"/>
        </w:rPr>
        <w:t> </w:t>
      </w:r>
    </w:p>
    <w:p w:rsidR="00BD33EC" w:rsidRDefault="001F41F8">
      <w:pPr>
        <w:pStyle w:val="a6"/>
        <w:shd w:val="clear" w:color="auto" w:fill="FFFFFF"/>
        <w:spacing w:before="0" w:beforeAutospacing="0" w:after="0" w:afterAutospacing="0"/>
        <w:rPr>
          <w:color w:val="333333"/>
          <w:sz w:val="28"/>
          <w:szCs w:val="28"/>
        </w:rPr>
      </w:pPr>
      <w:r>
        <w:rPr>
          <w:rFonts w:hint="eastAsia"/>
          <w:color w:val="333333"/>
          <w:sz w:val="28"/>
          <w:szCs w:val="28"/>
        </w:rPr>
        <w:t xml:space="preserve">    三、附属单位上缴收入：指事业单位附属独立核算单位按有关规定上缴的收入。 </w:t>
      </w:r>
    </w:p>
    <w:p w:rsidR="00BD33EC" w:rsidRDefault="001F41F8">
      <w:pPr>
        <w:pStyle w:val="a6"/>
        <w:shd w:val="clear" w:color="auto" w:fill="FFFFFF"/>
        <w:spacing w:before="0" w:beforeAutospacing="0" w:after="0" w:afterAutospacing="0"/>
        <w:rPr>
          <w:color w:val="333333"/>
          <w:sz w:val="28"/>
          <w:szCs w:val="28"/>
        </w:rPr>
      </w:pPr>
      <w:r>
        <w:rPr>
          <w:rFonts w:hint="eastAsia"/>
          <w:color w:val="333333"/>
          <w:sz w:val="28"/>
          <w:szCs w:val="28"/>
        </w:rPr>
        <w:t xml:space="preserve">    四、其他收入：指单位取得的除上述“财政拨款收入”、“事业收入”、“附属单位上缴收入”等以外的收入。 </w:t>
      </w:r>
    </w:p>
    <w:p w:rsidR="00BD33EC" w:rsidRDefault="001F41F8">
      <w:pPr>
        <w:pStyle w:val="a6"/>
        <w:shd w:val="clear" w:color="auto" w:fill="FFFFFF"/>
        <w:spacing w:before="0" w:beforeAutospacing="0" w:after="0" w:afterAutospacing="0"/>
        <w:rPr>
          <w:color w:val="333333"/>
          <w:sz w:val="28"/>
          <w:szCs w:val="28"/>
        </w:rPr>
      </w:pPr>
      <w:r>
        <w:rPr>
          <w:rFonts w:hint="eastAsia"/>
          <w:color w:val="333333"/>
          <w:sz w:val="28"/>
          <w:szCs w:val="28"/>
        </w:rPr>
        <w:t xml:space="preserve">    五、年初结转和结余：指以前年度尚未完成、结转到本年仍按有关规定继续使用的资金。 </w:t>
      </w:r>
    </w:p>
    <w:p w:rsidR="00BD33EC" w:rsidRDefault="001F41F8">
      <w:pPr>
        <w:pStyle w:val="a6"/>
        <w:shd w:val="clear" w:color="auto" w:fill="FFFFFF"/>
        <w:spacing w:before="0" w:beforeAutospacing="0" w:after="0" w:afterAutospacing="0"/>
        <w:rPr>
          <w:color w:val="333333"/>
          <w:sz w:val="28"/>
          <w:szCs w:val="28"/>
        </w:rPr>
      </w:pPr>
      <w:r>
        <w:rPr>
          <w:rFonts w:hint="eastAsia"/>
          <w:color w:val="333333"/>
          <w:sz w:val="28"/>
          <w:szCs w:val="28"/>
        </w:rPr>
        <w:t xml:space="preserve">    六、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 </w:t>
      </w:r>
    </w:p>
    <w:p w:rsidR="00BD33EC" w:rsidRDefault="001F41F8">
      <w:pPr>
        <w:pStyle w:val="a6"/>
        <w:shd w:val="clear" w:color="auto" w:fill="FFFFFF"/>
        <w:spacing w:before="0" w:beforeAutospacing="0" w:after="0" w:afterAutospacing="0"/>
        <w:rPr>
          <w:color w:val="333333"/>
          <w:sz w:val="28"/>
          <w:szCs w:val="28"/>
        </w:rPr>
      </w:pPr>
      <w:r>
        <w:rPr>
          <w:rFonts w:hint="eastAsia"/>
          <w:color w:val="333333"/>
          <w:sz w:val="28"/>
          <w:szCs w:val="28"/>
        </w:rPr>
        <w:t xml:space="preserve">    七、结余分配：指事业单位按规定提取的职工福利基金、事业基金和缴纳的所得税，以及建设单位按规定应交回的基本建设竣工项目结余资金。 </w:t>
      </w:r>
    </w:p>
    <w:p w:rsidR="00BD33EC" w:rsidRDefault="001F41F8">
      <w:pPr>
        <w:pStyle w:val="a6"/>
        <w:shd w:val="clear" w:color="auto" w:fill="FFFFFF"/>
        <w:spacing w:before="0" w:beforeAutospacing="0" w:after="0" w:afterAutospacing="0"/>
        <w:rPr>
          <w:color w:val="333333"/>
          <w:sz w:val="28"/>
          <w:szCs w:val="28"/>
        </w:rPr>
      </w:pPr>
      <w:r>
        <w:rPr>
          <w:rFonts w:hint="eastAsia"/>
          <w:color w:val="333333"/>
          <w:sz w:val="28"/>
          <w:szCs w:val="28"/>
        </w:rPr>
        <w:t xml:space="preserve">    八、年末结转和结余：指本年度或以前年度预算安排、因客观条件发生变化无法按原计划实施，需延迟到以后年度按有关规定继续使用的资金。 </w:t>
      </w:r>
    </w:p>
    <w:p w:rsidR="00BD33EC" w:rsidRDefault="001F41F8">
      <w:pPr>
        <w:pStyle w:val="a6"/>
        <w:shd w:val="clear" w:color="auto" w:fill="FFFFFF"/>
        <w:spacing w:before="0" w:beforeAutospacing="0" w:after="0" w:afterAutospacing="0"/>
        <w:rPr>
          <w:color w:val="333333"/>
          <w:sz w:val="28"/>
          <w:szCs w:val="28"/>
        </w:rPr>
      </w:pPr>
      <w:r>
        <w:rPr>
          <w:rFonts w:hint="eastAsia"/>
          <w:color w:val="333333"/>
          <w:sz w:val="28"/>
          <w:szCs w:val="28"/>
        </w:rPr>
        <w:t xml:space="preserve">    九、基本支出：指为保障机构正常运转、完成日常工作任务而发生的人员支出和公用支出。 </w:t>
      </w:r>
    </w:p>
    <w:p w:rsidR="00BD33EC" w:rsidRDefault="001F41F8">
      <w:pPr>
        <w:pStyle w:val="a6"/>
        <w:shd w:val="clear" w:color="auto" w:fill="FFFFFF"/>
        <w:spacing w:before="0" w:beforeAutospacing="0" w:after="0" w:afterAutospacing="0"/>
        <w:rPr>
          <w:color w:val="333333"/>
          <w:sz w:val="28"/>
          <w:szCs w:val="28"/>
        </w:rPr>
      </w:pPr>
      <w:r>
        <w:rPr>
          <w:rFonts w:hint="eastAsia"/>
          <w:color w:val="333333"/>
          <w:sz w:val="28"/>
          <w:szCs w:val="28"/>
        </w:rPr>
        <w:t xml:space="preserve">    十、项目支出：指在基本支出之外，为完成特定行政任务和事业发展目标所发生的支出。 </w:t>
      </w:r>
    </w:p>
    <w:p w:rsidR="00BD33EC" w:rsidRDefault="001F41F8">
      <w:pPr>
        <w:pStyle w:val="a6"/>
        <w:shd w:val="clear" w:color="auto" w:fill="FFFFFF"/>
        <w:spacing w:before="0" w:beforeAutospacing="0" w:after="0" w:afterAutospacing="0"/>
        <w:rPr>
          <w:color w:val="333333"/>
          <w:sz w:val="28"/>
          <w:szCs w:val="28"/>
        </w:rPr>
      </w:pPr>
      <w:r>
        <w:rPr>
          <w:rFonts w:hint="eastAsia"/>
          <w:color w:val="333333"/>
          <w:sz w:val="28"/>
          <w:szCs w:val="28"/>
        </w:rPr>
        <w:t xml:space="preserve">    十一、“三公”经费：</w:t>
      </w:r>
      <w:proofErr w:type="gramStart"/>
      <w:r>
        <w:rPr>
          <w:rFonts w:hint="eastAsia"/>
          <w:color w:val="333333"/>
          <w:sz w:val="28"/>
          <w:szCs w:val="28"/>
        </w:rPr>
        <w:t>指省财政</w:t>
      </w:r>
      <w:proofErr w:type="gramEnd"/>
      <w:r>
        <w:rPr>
          <w:rFonts w:hint="eastAsia"/>
          <w:color w:val="333333"/>
          <w:sz w:val="28"/>
          <w:szCs w:val="28"/>
        </w:rPr>
        <w:t>拨款安排的因公出国（境）费、公务用车购置及运行费和公务接待费。其中，因公出国（境）</w:t>
      </w:r>
      <w:proofErr w:type="gramStart"/>
      <w:r>
        <w:rPr>
          <w:rFonts w:hint="eastAsia"/>
          <w:color w:val="333333"/>
          <w:sz w:val="28"/>
          <w:szCs w:val="28"/>
        </w:rPr>
        <w:t>费反映</w:t>
      </w:r>
      <w:proofErr w:type="gramEnd"/>
      <w:r>
        <w:rPr>
          <w:rFonts w:hint="eastAsia"/>
          <w:color w:val="333333"/>
          <w:sz w:val="28"/>
          <w:szCs w:val="28"/>
        </w:rPr>
        <w:t>单位公务出国（境）的国际旅费、国外城市间交通费、住宿费、伙食费、培训费、公杂费等支出；公务用车购置及运行</w:t>
      </w:r>
      <w:proofErr w:type="gramStart"/>
      <w:r>
        <w:rPr>
          <w:rFonts w:hint="eastAsia"/>
          <w:color w:val="333333"/>
          <w:sz w:val="28"/>
          <w:szCs w:val="28"/>
        </w:rPr>
        <w:t>费反映</w:t>
      </w:r>
      <w:proofErr w:type="gramEnd"/>
      <w:r>
        <w:rPr>
          <w:rFonts w:hint="eastAsia"/>
          <w:color w:val="333333"/>
          <w:sz w:val="28"/>
          <w:szCs w:val="28"/>
        </w:rPr>
        <w:t>单位公务用车车辆购置支出（</w:t>
      </w:r>
      <w:proofErr w:type="gramStart"/>
      <w:r>
        <w:rPr>
          <w:rFonts w:hint="eastAsia"/>
          <w:color w:val="333333"/>
          <w:sz w:val="28"/>
          <w:szCs w:val="28"/>
        </w:rPr>
        <w:t>含车辆</w:t>
      </w:r>
      <w:proofErr w:type="gramEnd"/>
      <w:r>
        <w:rPr>
          <w:rFonts w:hint="eastAsia"/>
          <w:color w:val="333333"/>
          <w:sz w:val="28"/>
          <w:szCs w:val="28"/>
        </w:rPr>
        <w:t>购</w:t>
      </w:r>
      <w:r>
        <w:rPr>
          <w:rFonts w:hint="eastAsia"/>
          <w:color w:val="333333"/>
          <w:sz w:val="28"/>
          <w:szCs w:val="28"/>
        </w:rPr>
        <w:lastRenderedPageBreak/>
        <w:t>置税）及租用费、燃料费、维修费、过路过桥费、保险费、安全奖励费用等支出；公务接待</w:t>
      </w:r>
      <w:proofErr w:type="gramStart"/>
      <w:r>
        <w:rPr>
          <w:rFonts w:hint="eastAsia"/>
          <w:color w:val="333333"/>
          <w:sz w:val="28"/>
          <w:szCs w:val="28"/>
        </w:rPr>
        <w:t>费反映</w:t>
      </w:r>
      <w:proofErr w:type="gramEnd"/>
      <w:r>
        <w:rPr>
          <w:rFonts w:hint="eastAsia"/>
          <w:color w:val="333333"/>
          <w:sz w:val="28"/>
          <w:szCs w:val="28"/>
        </w:rPr>
        <w:t>单位按规定开支的各类公务接待（含外宾接待）支出。  </w:t>
      </w:r>
    </w:p>
    <w:p w:rsidR="00BD33EC" w:rsidRDefault="001F41F8">
      <w:pPr>
        <w:widowControl/>
        <w:jc w:val="left"/>
        <w:rPr>
          <w:rFonts w:asciiTheme="minorEastAsia" w:hAnsiTheme="minorEastAsia"/>
          <w:i/>
          <w:color w:val="FF0000"/>
          <w:sz w:val="32"/>
          <w:szCs w:val="32"/>
        </w:rPr>
      </w:pPr>
      <w:r>
        <w:rPr>
          <w:rFonts w:hint="eastAsia"/>
          <w:color w:val="333333"/>
          <w:sz w:val="28"/>
          <w:szCs w:val="28"/>
        </w:rPr>
        <w:t>十二、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color w:val="333333"/>
          <w:sz w:val="28"/>
          <w:szCs w:val="28"/>
        </w:rPr>
        <w:t> </w:t>
      </w:r>
      <w:r>
        <w:rPr>
          <w:rFonts w:asciiTheme="minorEastAsia" w:hAnsiTheme="minorEastAsia"/>
          <w:i/>
          <w:color w:val="FF0000"/>
          <w:sz w:val="32"/>
          <w:szCs w:val="32"/>
        </w:rPr>
        <w:br w:type="page"/>
      </w:r>
    </w:p>
    <w:p w:rsidR="00BD33EC" w:rsidRDefault="00BD33EC">
      <w:pPr>
        <w:pStyle w:val="Default"/>
        <w:jc w:val="center"/>
        <w:rPr>
          <w:sz w:val="72"/>
          <w:szCs w:val="72"/>
        </w:rPr>
      </w:pPr>
    </w:p>
    <w:p w:rsidR="00BD33EC" w:rsidRDefault="00BD33EC">
      <w:pPr>
        <w:pStyle w:val="Default"/>
        <w:jc w:val="center"/>
        <w:rPr>
          <w:sz w:val="72"/>
          <w:szCs w:val="72"/>
        </w:rPr>
      </w:pPr>
    </w:p>
    <w:p w:rsidR="00BD33EC" w:rsidRDefault="00BD33EC">
      <w:pPr>
        <w:pStyle w:val="Default"/>
        <w:jc w:val="center"/>
        <w:rPr>
          <w:sz w:val="72"/>
          <w:szCs w:val="72"/>
        </w:rPr>
      </w:pPr>
    </w:p>
    <w:p w:rsidR="00BD33EC" w:rsidRDefault="00BD33EC">
      <w:pPr>
        <w:pStyle w:val="Default"/>
        <w:jc w:val="center"/>
        <w:rPr>
          <w:sz w:val="72"/>
          <w:szCs w:val="72"/>
        </w:rPr>
      </w:pPr>
    </w:p>
    <w:p w:rsidR="00BD33EC" w:rsidRDefault="00BD33EC">
      <w:pPr>
        <w:pStyle w:val="Default"/>
        <w:jc w:val="center"/>
        <w:rPr>
          <w:sz w:val="72"/>
          <w:szCs w:val="72"/>
        </w:rPr>
      </w:pPr>
    </w:p>
    <w:p w:rsidR="00BD33EC" w:rsidRDefault="00BD33EC">
      <w:pPr>
        <w:pStyle w:val="Default"/>
        <w:jc w:val="center"/>
        <w:rPr>
          <w:sz w:val="72"/>
          <w:szCs w:val="72"/>
        </w:rPr>
      </w:pPr>
    </w:p>
    <w:p w:rsidR="00BD33EC" w:rsidRDefault="001F41F8">
      <w:pPr>
        <w:pStyle w:val="Default"/>
        <w:jc w:val="center"/>
        <w:rPr>
          <w:rFonts w:asciiTheme="minorHAnsi" w:eastAsiaTheme="minorEastAsia" w:cstheme="minorBidi"/>
          <w:color w:val="auto"/>
          <w:kern w:val="2"/>
          <w:sz w:val="72"/>
          <w:szCs w:val="72"/>
        </w:rPr>
      </w:pPr>
      <w:r>
        <w:rPr>
          <w:rFonts w:asciiTheme="minorHAnsi" w:eastAsiaTheme="minorEastAsia" w:cstheme="minorBidi" w:hint="eastAsia"/>
          <w:color w:val="auto"/>
          <w:kern w:val="2"/>
          <w:sz w:val="72"/>
          <w:szCs w:val="72"/>
        </w:rPr>
        <w:t>第五部分</w:t>
      </w:r>
    </w:p>
    <w:p w:rsidR="00BD33EC" w:rsidRDefault="00BD33EC">
      <w:pPr>
        <w:pStyle w:val="Default"/>
        <w:jc w:val="center"/>
        <w:rPr>
          <w:rFonts w:asciiTheme="minorHAnsi" w:eastAsiaTheme="minorEastAsia" w:cstheme="minorBidi"/>
          <w:color w:val="auto"/>
          <w:kern w:val="2"/>
          <w:sz w:val="72"/>
          <w:szCs w:val="72"/>
        </w:rPr>
      </w:pPr>
    </w:p>
    <w:p w:rsidR="00BD33EC" w:rsidRDefault="001F41F8">
      <w:pPr>
        <w:pStyle w:val="Default"/>
        <w:jc w:val="center"/>
        <w:rPr>
          <w:rFonts w:asciiTheme="minorHAnsi" w:eastAsiaTheme="minorEastAsia" w:cstheme="minorBidi"/>
          <w:color w:val="auto"/>
          <w:kern w:val="2"/>
          <w:sz w:val="72"/>
          <w:szCs w:val="72"/>
        </w:rPr>
      </w:pPr>
      <w:r>
        <w:rPr>
          <w:rFonts w:asciiTheme="minorHAnsi" w:eastAsiaTheme="minorEastAsia" w:cstheme="minorBidi" w:hint="eastAsia"/>
          <w:color w:val="auto"/>
          <w:kern w:val="2"/>
          <w:sz w:val="72"/>
          <w:szCs w:val="72"/>
        </w:rPr>
        <w:t>附件</w:t>
      </w:r>
    </w:p>
    <w:p w:rsidR="00BD33EC" w:rsidRDefault="00BD33EC">
      <w:pPr>
        <w:widowControl/>
        <w:jc w:val="center"/>
        <w:rPr>
          <w:rFonts w:asciiTheme="minorEastAsia" w:hAnsiTheme="minorEastAsia" w:cs="黑体"/>
          <w:b/>
          <w:color w:val="000000"/>
          <w:kern w:val="0"/>
          <w:sz w:val="32"/>
          <w:szCs w:val="32"/>
        </w:rPr>
      </w:pPr>
    </w:p>
    <w:p w:rsidR="00BD33EC" w:rsidRDefault="00BD33EC">
      <w:pPr>
        <w:widowControl/>
        <w:jc w:val="center"/>
        <w:rPr>
          <w:rFonts w:asciiTheme="minorEastAsia" w:hAnsiTheme="minorEastAsia" w:cs="黑体"/>
          <w:b/>
          <w:color w:val="000000"/>
          <w:kern w:val="0"/>
          <w:sz w:val="32"/>
          <w:szCs w:val="32"/>
        </w:rPr>
      </w:pPr>
    </w:p>
    <w:p w:rsidR="00BD33EC" w:rsidRDefault="00BD33EC">
      <w:pPr>
        <w:widowControl/>
        <w:jc w:val="center"/>
        <w:rPr>
          <w:rFonts w:asciiTheme="minorEastAsia" w:hAnsiTheme="minorEastAsia" w:cs="黑体"/>
          <w:b/>
          <w:color w:val="000000"/>
          <w:kern w:val="0"/>
          <w:sz w:val="32"/>
          <w:szCs w:val="32"/>
        </w:rPr>
      </w:pPr>
    </w:p>
    <w:p w:rsidR="00BD33EC" w:rsidRDefault="00BD33EC">
      <w:pPr>
        <w:widowControl/>
        <w:jc w:val="center"/>
        <w:rPr>
          <w:rFonts w:asciiTheme="minorEastAsia" w:hAnsiTheme="minorEastAsia" w:cs="黑体"/>
          <w:b/>
          <w:color w:val="000000"/>
          <w:kern w:val="0"/>
          <w:sz w:val="32"/>
          <w:szCs w:val="32"/>
        </w:rPr>
      </w:pPr>
    </w:p>
    <w:p w:rsidR="00BD33EC" w:rsidRDefault="00BD33EC">
      <w:pPr>
        <w:widowControl/>
        <w:jc w:val="center"/>
        <w:rPr>
          <w:rFonts w:asciiTheme="minorEastAsia" w:hAnsiTheme="minorEastAsia" w:cs="黑体"/>
          <w:b/>
          <w:color w:val="000000"/>
          <w:kern w:val="0"/>
          <w:sz w:val="32"/>
          <w:szCs w:val="32"/>
        </w:rPr>
      </w:pPr>
    </w:p>
    <w:p w:rsidR="00BD33EC" w:rsidRDefault="00BD33EC">
      <w:pPr>
        <w:widowControl/>
        <w:jc w:val="center"/>
        <w:rPr>
          <w:rFonts w:asciiTheme="minorEastAsia" w:hAnsiTheme="minorEastAsia" w:cs="黑体"/>
          <w:b/>
          <w:color w:val="000000"/>
          <w:kern w:val="0"/>
          <w:sz w:val="32"/>
          <w:szCs w:val="32"/>
        </w:rPr>
      </w:pPr>
    </w:p>
    <w:p w:rsidR="00BD33EC" w:rsidRDefault="00BD33EC">
      <w:pPr>
        <w:widowControl/>
        <w:jc w:val="center"/>
        <w:rPr>
          <w:rFonts w:asciiTheme="minorEastAsia" w:hAnsiTheme="minorEastAsia" w:cs="黑体"/>
          <w:b/>
          <w:color w:val="000000"/>
          <w:kern w:val="0"/>
          <w:sz w:val="32"/>
          <w:szCs w:val="32"/>
        </w:rPr>
      </w:pPr>
    </w:p>
    <w:p w:rsidR="00BD33EC" w:rsidRDefault="00BD33EC">
      <w:pPr>
        <w:widowControl/>
        <w:jc w:val="center"/>
        <w:rPr>
          <w:rFonts w:asciiTheme="minorEastAsia" w:hAnsiTheme="minorEastAsia" w:cs="黑体"/>
          <w:b/>
          <w:color w:val="000000"/>
          <w:kern w:val="0"/>
          <w:sz w:val="32"/>
          <w:szCs w:val="32"/>
        </w:rPr>
      </w:pPr>
    </w:p>
    <w:p w:rsidR="00BD33EC" w:rsidRDefault="00BD33EC">
      <w:pPr>
        <w:widowControl/>
        <w:jc w:val="center"/>
        <w:rPr>
          <w:rFonts w:asciiTheme="minorEastAsia" w:hAnsiTheme="minorEastAsia" w:cs="黑体"/>
          <w:b/>
          <w:color w:val="000000"/>
          <w:kern w:val="0"/>
          <w:sz w:val="32"/>
          <w:szCs w:val="32"/>
        </w:rPr>
      </w:pPr>
    </w:p>
    <w:p w:rsidR="00BD33EC" w:rsidRDefault="00BD33EC">
      <w:pPr>
        <w:widowControl/>
        <w:jc w:val="center"/>
        <w:rPr>
          <w:rFonts w:asciiTheme="minorEastAsia" w:hAnsiTheme="minorEastAsia" w:cs="黑体"/>
          <w:b/>
          <w:color w:val="000000"/>
          <w:kern w:val="0"/>
          <w:sz w:val="32"/>
          <w:szCs w:val="32"/>
        </w:rPr>
      </w:pPr>
    </w:p>
    <w:p w:rsidR="00BD33EC" w:rsidRDefault="00BD33EC">
      <w:pPr>
        <w:widowControl/>
        <w:jc w:val="center"/>
        <w:rPr>
          <w:rFonts w:asciiTheme="minorEastAsia" w:hAnsiTheme="minorEastAsia" w:cs="黑体"/>
          <w:b/>
          <w:color w:val="000000"/>
          <w:kern w:val="0"/>
          <w:sz w:val="32"/>
          <w:szCs w:val="32"/>
        </w:rPr>
      </w:pPr>
    </w:p>
    <w:p w:rsidR="00BD33EC" w:rsidRDefault="00BD33EC">
      <w:pPr>
        <w:widowControl/>
        <w:jc w:val="center"/>
        <w:rPr>
          <w:rFonts w:asciiTheme="minorEastAsia" w:hAnsiTheme="minorEastAsia" w:cs="黑体"/>
          <w:b/>
          <w:color w:val="000000"/>
          <w:kern w:val="0"/>
          <w:sz w:val="32"/>
          <w:szCs w:val="32"/>
        </w:rPr>
      </w:pPr>
    </w:p>
    <w:p w:rsidR="00BD33EC" w:rsidRDefault="00BD33EC">
      <w:pPr>
        <w:widowControl/>
        <w:jc w:val="center"/>
        <w:rPr>
          <w:rFonts w:asciiTheme="minorEastAsia" w:hAnsiTheme="minorEastAsia" w:cs="黑体"/>
          <w:b/>
          <w:color w:val="000000"/>
          <w:kern w:val="0"/>
          <w:sz w:val="32"/>
          <w:szCs w:val="32"/>
        </w:rPr>
      </w:pPr>
    </w:p>
    <w:p w:rsidR="00BD33EC" w:rsidRDefault="001F41F8">
      <w:pPr>
        <w:widowControl/>
        <w:jc w:val="center"/>
        <w:rPr>
          <w:rFonts w:ascii="黑体" w:eastAsia="黑体" w:cs="黑体"/>
          <w:color w:val="000000"/>
          <w:kern w:val="0"/>
          <w:sz w:val="70"/>
          <w:szCs w:val="70"/>
        </w:rPr>
      </w:pPr>
      <w:r>
        <w:rPr>
          <w:rFonts w:asciiTheme="minorEastAsia" w:hAnsiTheme="minorEastAsia" w:cs="黑体" w:hint="eastAsia"/>
          <w:b/>
          <w:color w:val="000000"/>
          <w:kern w:val="0"/>
          <w:sz w:val="32"/>
          <w:szCs w:val="32"/>
        </w:rPr>
        <w:t>2020年度部门整体支出绩效评价报告</w:t>
      </w:r>
    </w:p>
    <w:p w:rsidR="00BD33EC" w:rsidRDefault="001F41F8">
      <w:pPr>
        <w:pStyle w:val="a6"/>
        <w:rPr>
          <w:rFonts w:cs="Times New Roman"/>
          <w:sz w:val="28"/>
          <w:szCs w:val="28"/>
        </w:rPr>
      </w:pPr>
      <w:r>
        <w:rPr>
          <w:rFonts w:hint="eastAsia"/>
          <w:sz w:val="28"/>
          <w:szCs w:val="28"/>
        </w:rPr>
        <w:t xml:space="preserve">    为加强我镇财政资金管理，强化支出责任，提高财政资金的使用效益，建立科学、合理的财政支出绩效评价管理体系，提高本单位财政资金的使用效益，根据《党政机关厉行节约反对浪费条例》、《衡南县财政局关于开展2020年度财政资金绩效自评工作的通知》等文件的要求，我单位积极组织力量对本单位的部门预算整体支出进行了绩效评价，本次评价遵循了</w:t>
      </w:r>
      <w:r>
        <w:rPr>
          <w:sz w:val="28"/>
          <w:szCs w:val="28"/>
        </w:rPr>
        <w:t>“</w:t>
      </w:r>
      <w:r>
        <w:rPr>
          <w:rFonts w:hint="eastAsia"/>
          <w:sz w:val="28"/>
          <w:szCs w:val="28"/>
        </w:rPr>
        <w:t>科学规范、公正公开、分类管理、绩效相关</w:t>
      </w:r>
      <w:r>
        <w:rPr>
          <w:sz w:val="28"/>
          <w:szCs w:val="28"/>
        </w:rPr>
        <w:t>”</w:t>
      </w:r>
      <w:r>
        <w:rPr>
          <w:rFonts w:hint="eastAsia"/>
          <w:sz w:val="28"/>
          <w:szCs w:val="28"/>
        </w:rPr>
        <w:t>的原则，运用较科学、合理的绩效评价指标、评价标准和评价方法，对本单位2020年度部门整体支出的绩效情况进行了客观、公正的评价。现将情况汇报如下：</w:t>
      </w:r>
    </w:p>
    <w:p w:rsidR="00BD33EC" w:rsidRDefault="001F41F8">
      <w:pPr>
        <w:spacing w:line="600" w:lineRule="exact"/>
        <w:ind w:firstLineChars="200" w:firstLine="560"/>
        <w:rPr>
          <w:rFonts w:ascii="黑体" w:eastAsia="黑体"/>
          <w:sz w:val="32"/>
          <w:szCs w:val="32"/>
        </w:rPr>
      </w:pPr>
      <w:r>
        <w:rPr>
          <w:rFonts w:hint="eastAsia"/>
          <w:sz w:val="28"/>
          <w:szCs w:val="28"/>
        </w:rPr>
        <w:t xml:space="preserve">　</w:t>
      </w:r>
      <w:r>
        <w:rPr>
          <w:rFonts w:hint="eastAsia"/>
          <w:b/>
          <w:bCs/>
          <w:sz w:val="28"/>
          <w:szCs w:val="28"/>
        </w:rPr>
        <w:t xml:space="preserve">　</w:t>
      </w:r>
      <w:r>
        <w:rPr>
          <w:rFonts w:ascii="黑体" w:eastAsia="黑体" w:hint="eastAsia"/>
          <w:sz w:val="32"/>
          <w:szCs w:val="32"/>
        </w:rPr>
        <w:t>一、部门基本情况</w:t>
      </w:r>
    </w:p>
    <w:p w:rsidR="00BD33EC" w:rsidRDefault="001F41F8" w:rsidP="001F41F8">
      <w:pPr>
        <w:shd w:val="solid" w:color="FFFFFF" w:fill="auto"/>
        <w:autoSpaceDN w:val="0"/>
        <w:ind w:firstLineChars="200" w:firstLine="643"/>
        <w:rPr>
          <w:rFonts w:ascii="仿宋" w:eastAsia="仿宋" w:hAnsi="仿宋"/>
          <w:b/>
          <w:color w:val="383838"/>
          <w:sz w:val="32"/>
          <w:shd w:val="clear" w:color="auto" w:fill="FFFFFF"/>
        </w:rPr>
      </w:pPr>
      <w:r>
        <w:rPr>
          <w:rFonts w:ascii="仿宋" w:eastAsia="仿宋" w:hAnsi="仿宋" w:hint="eastAsia"/>
          <w:b/>
          <w:color w:val="383838"/>
          <w:sz w:val="32"/>
          <w:shd w:val="clear" w:color="auto" w:fill="FFFFFF"/>
        </w:rPr>
        <w:t>1.乡镇介绍及职能职责</w:t>
      </w:r>
    </w:p>
    <w:p w:rsidR="00BD33EC" w:rsidRDefault="001F41F8">
      <w:pPr>
        <w:shd w:val="solid" w:color="FFFFFF" w:fill="auto"/>
        <w:autoSpaceDN w:val="0"/>
        <w:ind w:firstLineChars="200" w:firstLine="640"/>
        <w:rPr>
          <w:rFonts w:ascii="仿宋" w:eastAsia="仿宋" w:hAnsi="仿宋" w:cs="仿宋"/>
          <w:sz w:val="32"/>
          <w:szCs w:val="32"/>
        </w:rPr>
      </w:pPr>
      <w:r>
        <w:rPr>
          <w:rFonts w:ascii="仿宋" w:eastAsia="仿宋" w:hAnsi="仿宋" w:hint="eastAsia"/>
          <w:bCs/>
          <w:color w:val="383838"/>
          <w:sz w:val="32"/>
          <w:shd w:val="clear" w:color="auto" w:fill="FFFFFF"/>
        </w:rPr>
        <w:t>乡镇</w:t>
      </w:r>
      <w:r>
        <w:rPr>
          <w:rFonts w:ascii="仿宋" w:eastAsia="仿宋" w:hAnsi="仿宋" w:cs="仿宋" w:hint="eastAsia"/>
          <w:sz w:val="32"/>
          <w:szCs w:val="32"/>
        </w:rPr>
        <w:t>介绍：衡南县泉溪镇位于</w:t>
      </w:r>
      <w:proofErr w:type="gramStart"/>
      <w:r>
        <w:rPr>
          <w:rFonts w:ascii="仿宋" w:eastAsia="仿宋" w:hAnsi="仿宋" w:cs="仿宋" w:hint="eastAsia"/>
          <w:sz w:val="32"/>
          <w:szCs w:val="32"/>
        </w:rPr>
        <w:t>耒</w:t>
      </w:r>
      <w:proofErr w:type="gramEnd"/>
      <w:r>
        <w:rPr>
          <w:rFonts w:ascii="仿宋" w:eastAsia="仿宋" w:hAnsi="仿宋" w:cs="仿宋" w:hint="eastAsia"/>
          <w:sz w:val="32"/>
          <w:szCs w:val="32"/>
        </w:rPr>
        <w:t>河下游东岸，与衡阳市</w:t>
      </w:r>
      <w:proofErr w:type="gramStart"/>
      <w:r>
        <w:rPr>
          <w:rFonts w:ascii="仿宋" w:eastAsia="仿宋" w:hAnsi="仿宋" w:cs="仿宋" w:hint="eastAsia"/>
          <w:sz w:val="32"/>
          <w:szCs w:val="32"/>
        </w:rPr>
        <w:t>珠晖区</w:t>
      </w:r>
      <w:proofErr w:type="gramEnd"/>
      <w:r>
        <w:rPr>
          <w:rFonts w:ascii="仿宋" w:eastAsia="仿宋" w:hAnsi="仿宋" w:cs="仿宋" w:hint="eastAsia"/>
          <w:sz w:val="32"/>
          <w:szCs w:val="32"/>
        </w:rPr>
        <w:t>隔河相望。全镇面积约53.53平方千米，辖喇叭堰、泉溪、泉长、大安、浦兴、木</w:t>
      </w:r>
      <w:proofErr w:type="gramStart"/>
      <w:r>
        <w:rPr>
          <w:rFonts w:ascii="仿宋" w:eastAsia="仿宋" w:hAnsi="仿宋" w:cs="仿宋" w:hint="eastAsia"/>
          <w:sz w:val="32"/>
          <w:szCs w:val="32"/>
        </w:rPr>
        <w:t>蔸</w:t>
      </w:r>
      <w:proofErr w:type="gramEnd"/>
      <w:r>
        <w:rPr>
          <w:rFonts w:ascii="仿宋" w:eastAsia="仿宋" w:hAnsi="仿宋" w:cs="仿宋" w:hint="eastAsia"/>
          <w:sz w:val="32"/>
          <w:szCs w:val="32"/>
        </w:rPr>
        <w:t>、三圆、白沙8个村，石狮、何家坪、剑山3个居委会。</w:t>
      </w:r>
    </w:p>
    <w:p w:rsidR="00BD33EC" w:rsidRDefault="001F41F8">
      <w:pPr>
        <w:shd w:val="solid" w:color="FFFFFF" w:fill="auto"/>
        <w:autoSpaceDN w:val="0"/>
        <w:ind w:firstLineChars="200" w:firstLine="640"/>
        <w:rPr>
          <w:rFonts w:ascii="仿宋" w:eastAsia="仿宋" w:hAnsi="仿宋" w:cs="仿宋"/>
          <w:sz w:val="32"/>
          <w:szCs w:val="32"/>
        </w:rPr>
      </w:pPr>
      <w:r>
        <w:rPr>
          <w:rFonts w:ascii="仿宋" w:eastAsia="仿宋" w:hAnsi="仿宋" w:hint="eastAsia"/>
          <w:bCs/>
          <w:color w:val="383838"/>
          <w:sz w:val="32"/>
          <w:shd w:val="clear" w:color="auto" w:fill="FFFFFF"/>
        </w:rPr>
        <w:t>部门职责</w:t>
      </w:r>
      <w:r>
        <w:rPr>
          <w:rFonts w:ascii="仿宋" w:eastAsia="仿宋" w:hAnsi="仿宋" w:cs="仿宋" w:hint="eastAsia"/>
          <w:sz w:val="32"/>
          <w:szCs w:val="32"/>
        </w:rPr>
        <w:t>情况：1.贯彻执行党和国家的方针、政策和法律、法规，依法制定行政措施和实施方案。2.负责执行本级人民代表大会的决议和上级国家行政 机关的决定和命令，发布决定和命令；对本级人民代表大会和本级人民政府负责并报告工作。3.执行本行政区域内的经济和社会发展计划、预算，管理本行政区域内的经济、教育体育、科学、文化、卫生、乡村振兴事业和财政、民政、社会</w:t>
      </w:r>
      <w:r>
        <w:rPr>
          <w:rFonts w:ascii="仿宋" w:eastAsia="仿宋" w:hAnsi="仿宋" w:cs="仿宋" w:hint="eastAsia"/>
          <w:sz w:val="32"/>
          <w:szCs w:val="32"/>
        </w:rPr>
        <w:lastRenderedPageBreak/>
        <w:t>保障、村镇建设、生态环境保护、扶贫、公安、司法行政、计划生育等行政工作。4.负责辖区内行政执法工作，维护社会秩序，保障公民人身、民主、财产等合法权利，保护各种经济组织的合法权益。5.指导、支持和帮助村民委员会的工作。6.完成上级交办的其他工作。</w:t>
      </w:r>
    </w:p>
    <w:p w:rsidR="00BD33EC" w:rsidRDefault="001F41F8">
      <w:pPr>
        <w:numPr>
          <w:ilvl w:val="0"/>
          <w:numId w:val="3"/>
        </w:numPr>
        <w:spacing w:line="600" w:lineRule="exact"/>
        <w:ind w:firstLineChars="200" w:firstLine="640"/>
        <w:rPr>
          <w:rFonts w:ascii="仿宋_GB2312" w:eastAsia="仿宋_GB2312"/>
          <w:sz w:val="32"/>
          <w:szCs w:val="32"/>
        </w:rPr>
      </w:pPr>
      <w:r>
        <w:rPr>
          <w:rFonts w:ascii="仿宋_GB2312" w:eastAsia="仿宋_GB2312" w:hint="eastAsia"/>
          <w:sz w:val="32"/>
          <w:szCs w:val="32"/>
        </w:rPr>
        <w:t>机构设置情况。</w:t>
      </w:r>
    </w:p>
    <w:p w:rsidR="00BD33EC" w:rsidRDefault="001F41F8">
      <w:pPr>
        <w:shd w:val="solid" w:color="FFFFFF" w:fill="auto"/>
        <w:autoSpaceDN w:val="0"/>
        <w:ind w:firstLineChars="200" w:firstLine="640"/>
        <w:rPr>
          <w:rFonts w:ascii="仿宋" w:eastAsia="仿宋" w:hAnsi="仿宋"/>
          <w:bCs/>
          <w:color w:val="383838"/>
          <w:sz w:val="32"/>
          <w:shd w:val="clear" w:color="auto" w:fill="FFFFFF"/>
        </w:rPr>
      </w:pPr>
      <w:r>
        <w:rPr>
          <w:rFonts w:ascii="仿宋" w:eastAsia="仿宋" w:hAnsi="仿宋" w:hint="eastAsia"/>
          <w:bCs/>
          <w:color w:val="383838"/>
          <w:sz w:val="32"/>
          <w:shd w:val="clear" w:color="auto" w:fill="FFFFFF"/>
        </w:rPr>
        <w:t>本单位内设2</w:t>
      </w:r>
      <w:r>
        <w:rPr>
          <w:rFonts w:ascii="仿宋" w:eastAsia="仿宋" w:hAnsi="仿宋"/>
          <w:bCs/>
          <w:color w:val="383838"/>
          <w:sz w:val="32"/>
          <w:shd w:val="clear" w:color="auto" w:fill="FFFFFF"/>
        </w:rPr>
        <w:t>个机构</w:t>
      </w:r>
      <w:r>
        <w:rPr>
          <w:rFonts w:ascii="仿宋" w:eastAsia="仿宋" w:hAnsi="仿宋" w:hint="eastAsia"/>
          <w:bCs/>
          <w:color w:val="383838"/>
          <w:sz w:val="32"/>
          <w:shd w:val="clear" w:color="auto" w:fill="FFFFFF"/>
        </w:rPr>
        <w:t>，为政府机关。</w:t>
      </w:r>
    </w:p>
    <w:p w:rsidR="00BD33EC" w:rsidRDefault="001F41F8">
      <w:pPr>
        <w:numPr>
          <w:ilvl w:val="0"/>
          <w:numId w:val="3"/>
        </w:numPr>
        <w:spacing w:line="600" w:lineRule="exact"/>
        <w:ind w:firstLineChars="200" w:firstLine="640"/>
        <w:rPr>
          <w:rFonts w:ascii="仿宋_GB2312" w:eastAsia="仿宋_GB2312"/>
          <w:sz w:val="32"/>
          <w:szCs w:val="32"/>
        </w:rPr>
      </w:pPr>
      <w:r>
        <w:rPr>
          <w:rFonts w:ascii="仿宋_GB2312" w:eastAsia="仿宋_GB2312" w:hint="eastAsia"/>
          <w:sz w:val="32"/>
          <w:szCs w:val="32"/>
        </w:rPr>
        <w:t>人员编制情况。</w:t>
      </w:r>
    </w:p>
    <w:p w:rsidR="00BD33EC" w:rsidRDefault="001F41F8">
      <w:pPr>
        <w:shd w:val="solid" w:color="FFFFFF" w:fill="auto"/>
        <w:autoSpaceDN w:val="0"/>
        <w:ind w:firstLineChars="200" w:firstLine="640"/>
        <w:rPr>
          <w:rFonts w:ascii="仿宋" w:eastAsia="仿宋" w:hAnsi="仿宋"/>
          <w:bCs/>
          <w:color w:val="383838"/>
          <w:sz w:val="32"/>
          <w:shd w:val="clear" w:color="auto" w:fill="FFFFFF"/>
        </w:rPr>
      </w:pPr>
      <w:r>
        <w:rPr>
          <w:rFonts w:ascii="仿宋" w:eastAsia="仿宋" w:hAnsi="仿宋" w:hint="eastAsia"/>
          <w:bCs/>
          <w:color w:val="383838"/>
          <w:sz w:val="32"/>
          <w:shd w:val="clear" w:color="auto" w:fill="FFFFFF"/>
        </w:rPr>
        <w:t>2020年本单位年末实有人数130人，其中：行政人员29人，事业人员101人。</w:t>
      </w:r>
    </w:p>
    <w:p w:rsidR="00BD33EC" w:rsidRDefault="001F41F8">
      <w:pPr>
        <w:numPr>
          <w:ilvl w:val="0"/>
          <w:numId w:val="3"/>
        </w:numPr>
        <w:spacing w:line="600" w:lineRule="exact"/>
        <w:ind w:firstLineChars="200" w:firstLine="640"/>
        <w:rPr>
          <w:rFonts w:ascii="仿宋_GB2312" w:eastAsia="仿宋_GB2312"/>
          <w:sz w:val="32"/>
          <w:szCs w:val="32"/>
        </w:rPr>
      </w:pPr>
      <w:r>
        <w:rPr>
          <w:rFonts w:ascii="仿宋_GB2312" w:eastAsia="仿宋_GB2312" w:hint="eastAsia"/>
          <w:sz w:val="32"/>
          <w:szCs w:val="32"/>
        </w:rPr>
        <w:t>部门主要工作任务及实施情况。</w:t>
      </w:r>
    </w:p>
    <w:p w:rsidR="00BD33EC" w:rsidRDefault="001F41F8">
      <w:pPr>
        <w:shd w:val="solid" w:color="FFFFFF" w:fill="auto"/>
        <w:autoSpaceDN w:val="0"/>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财政资金实行电子化、信息化规范管理，为确保专项实施而制定的制度和措施，如成立的专门管理机构、资金管理办法、项目管理办法、工作措施（方案、规划）等。规范乡镇资金支付行为，提高财政资金运行安全、高效、透明，搞好资产清查，实行软件化管理，实行网络实际操作。政府采购信息化、电子化管理规范，对所有预算单位进行预算、决算、绩效管理，财政资金优化配置，提高使用质量，优化资源配置，提高财政资金使用效益，提升政府执行力和公信力，财政资金健康使用，让人民群众满意度进一步提高。</w:t>
      </w:r>
    </w:p>
    <w:p w:rsidR="00BD33EC" w:rsidRDefault="00BD33EC">
      <w:pPr>
        <w:shd w:val="solid" w:color="FFFFFF" w:fill="auto"/>
        <w:autoSpaceDN w:val="0"/>
        <w:ind w:firstLineChars="200" w:firstLine="640"/>
        <w:rPr>
          <w:rFonts w:ascii="仿宋" w:eastAsia="仿宋" w:hAnsi="仿宋" w:cs="Times New Roman"/>
          <w:bCs/>
          <w:color w:val="383838"/>
          <w:sz w:val="32"/>
          <w:shd w:val="clear" w:color="auto" w:fill="FFFFFF"/>
        </w:rPr>
      </w:pPr>
    </w:p>
    <w:p w:rsidR="00BD33EC" w:rsidRDefault="001F41F8">
      <w:pPr>
        <w:spacing w:line="600" w:lineRule="exact"/>
        <w:ind w:firstLineChars="200" w:firstLine="640"/>
        <w:rPr>
          <w:rFonts w:ascii="黑体" w:eastAsia="黑体"/>
          <w:sz w:val="32"/>
          <w:szCs w:val="32"/>
        </w:rPr>
      </w:pPr>
      <w:r>
        <w:rPr>
          <w:rFonts w:ascii="黑体" w:eastAsia="黑体" w:hint="eastAsia"/>
          <w:sz w:val="32"/>
          <w:szCs w:val="32"/>
        </w:rPr>
        <w:t>二、部门整体支出管理及使用情况</w:t>
      </w:r>
    </w:p>
    <w:p w:rsidR="00BD33EC" w:rsidRDefault="001F41F8">
      <w:pPr>
        <w:spacing w:line="600" w:lineRule="exact"/>
        <w:ind w:firstLineChars="200" w:firstLine="640"/>
        <w:rPr>
          <w:rFonts w:ascii="仿宋_GB2312" w:eastAsia="仿宋_GB2312"/>
          <w:sz w:val="32"/>
          <w:szCs w:val="32"/>
        </w:rPr>
      </w:pPr>
      <w:r>
        <w:rPr>
          <w:rFonts w:ascii="仿宋_GB2312" w:eastAsia="仿宋_GB2312" w:hint="eastAsia"/>
          <w:sz w:val="32"/>
          <w:szCs w:val="32"/>
        </w:rPr>
        <w:t>（一）部门预算与决算收支情况</w:t>
      </w:r>
    </w:p>
    <w:p w:rsidR="00BD33EC" w:rsidRDefault="001F41F8">
      <w:pPr>
        <w:spacing w:line="600" w:lineRule="exact"/>
        <w:ind w:firstLineChars="200" w:firstLine="640"/>
        <w:rPr>
          <w:rFonts w:ascii="仿宋_GB2312" w:eastAsia="仿宋_GB2312"/>
          <w:sz w:val="32"/>
          <w:szCs w:val="32"/>
          <w:highlight w:val="red"/>
        </w:rPr>
      </w:pPr>
      <w:r>
        <w:rPr>
          <w:rFonts w:ascii="仿宋_GB2312" w:eastAsia="仿宋_GB2312" w:hint="eastAsia"/>
          <w:sz w:val="32"/>
          <w:szCs w:val="32"/>
        </w:rPr>
        <w:t>2020年年初预算收入525.25万元，其中：一般公共预算财政拨款收入年初预算525.25万元。2020年决算收入917.67万元，其</w:t>
      </w:r>
      <w:r>
        <w:rPr>
          <w:rFonts w:ascii="仿宋_GB2312" w:eastAsia="仿宋_GB2312" w:hint="eastAsia"/>
          <w:sz w:val="32"/>
          <w:szCs w:val="32"/>
        </w:rPr>
        <w:lastRenderedPageBreak/>
        <w:t>中：一般公共预算财政拨款收入831.9万元，政府性基金预算财政拨款收入85.77万元。2020年年初预算支出525.25万元，2020年决算支出917.67万元，其中：基本支出539.54万元， 项目支出378.13万元。</w:t>
      </w:r>
    </w:p>
    <w:p w:rsidR="00BD33EC" w:rsidRDefault="001F41F8">
      <w:pPr>
        <w:spacing w:line="600" w:lineRule="exact"/>
        <w:ind w:firstLineChars="200" w:firstLine="640"/>
        <w:rPr>
          <w:rFonts w:ascii="仿宋_GB2312" w:eastAsia="仿宋_GB2312"/>
          <w:sz w:val="32"/>
          <w:szCs w:val="32"/>
        </w:rPr>
      </w:pPr>
      <w:r>
        <w:rPr>
          <w:rFonts w:ascii="仿宋_GB2312" w:eastAsia="仿宋_GB2312" w:hint="eastAsia"/>
          <w:sz w:val="32"/>
          <w:szCs w:val="32"/>
        </w:rPr>
        <w:t>（二）支出分类情况。</w:t>
      </w:r>
    </w:p>
    <w:p w:rsidR="00BD33EC" w:rsidRDefault="001F41F8">
      <w:pPr>
        <w:spacing w:line="60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2020年决算支出917.67万元（财政资金支出831.9万元，政府性基金预算财政拨款支出85.77万元），其中：</w:t>
      </w:r>
    </w:p>
    <w:p w:rsidR="00BD33EC" w:rsidRDefault="001F41F8">
      <w:pPr>
        <w:numPr>
          <w:ilvl w:val="0"/>
          <w:numId w:val="4"/>
        </w:numPr>
        <w:spacing w:line="600" w:lineRule="exact"/>
        <w:ind w:firstLineChars="200" w:firstLine="640"/>
        <w:rPr>
          <w:rFonts w:ascii="仿宋" w:eastAsia="仿宋" w:hAnsi="仿宋"/>
          <w:bCs/>
          <w:color w:val="383838"/>
          <w:sz w:val="32"/>
          <w:shd w:val="clear" w:color="auto" w:fill="FFFFFF"/>
        </w:rPr>
      </w:pPr>
      <w:r>
        <w:rPr>
          <w:rFonts w:ascii="仿宋_GB2312" w:eastAsia="仿宋_GB2312" w:hAnsi="仿宋_GB2312" w:cs="仿宋_GB2312" w:hint="eastAsia"/>
          <w:sz w:val="32"/>
          <w:szCs w:val="32"/>
        </w:rPr>
        <w:t>基本支出</w:t>
      </w:r>
    </w:p>
    <w:p w:rsidR="00BD33EC" w:rsidRDefault="001F41F8">
      <w:pPr>
        <w:spacing w:line="600" w:lineRule="exact"/>
        <w:ind w:firstLineChars="200" w:firstLine="640"/>
        <w:rPr>
          <w:rFonts w:ascii="仿宋_GB2312" w:eastAsia="仿宋_GB2312"/>
          <w:sz w:val="32"/>
          <w:szCs w:val="32"/>
        </w:rPr>
      </w:pPr>
      <w:r>
        <w:rPr>
          <w:rFonts w:ascii="仿宋_GB2312" w:eastAsia="仿宋_GB2312" w:hint="eastAsia"/>
          <w:sz w:val="32"/>
          <w:szCs w:val="32"/>
        </w:rPr>
        <w:t>基本支出为保障单位机构正常运转、完成日常工作任务而发生的各项支出，包括用于基本工资、津贴补贴等人员经费以及办公费、印刷费、水电费、行政执法等日常公用经费。</w:t>
      </w:r>
    </w:p>
    <w:p w:rsidR="00BD33EC" w:rsidRDefault="001F41F8">
      <w:pPr>
        <w:spacing w:line="600" w:lineRule="exact"/>
        <w:ind w:firstLineChars="200" w:firstLine="640"/>
        <w:rPr>
          <w:rFonts w:ascii="仿宋_GB2312" w:eastAsia="仿宋_GB2312"/>
          <w:sz w:val="32"/>
          <w:szCs w:val="32"/>
        </w:rPr>
      </w:pPr>
      <w:r>
        <w:rPr>
          <w:rFonts w:ascii="仿宋_GB2312" w:eastAsia="仿宋_GB2312" w:hint="eastAsia"/>
          <w:sz w:val="32"/>
          <w:szCs w:val="32"/>
        </w:rPr>
        <w:t>2020年决算基本支出539.54万元，其中：工资及福利费用286.64万元，商品和服务费用243.93万元，对个人和家庭的补助8.97万元。</w:t>
      </w:r>
    </w:p>
    <w:p w:rsidR="00BD33EC" w:rsidRDefault="001F41F8">
      <w:pPr>
        <w:spacing w:line="600" w:lineRule="exact"/>
        <w:ind w:firstLineChars="200" w:firstLine="640"/>
        <w:rPr>
          <w:rFonts w:ascii="仿宋_GB2312" w:eastAsia="仿宋_GB2312"/>
          <w:sz w:val="32"/>
          <w:szCs w:val="32"/>
        </w:rPr>
      </w:pPr>
      <w:r>
        <w:rPr>
          <w:rFonts w:ascii="仿宋_GB2312" w:eastAsia="仿宋_GB2312" w:hint="eastAsia"/>
          <w:sz w:val="32"/>
          <w:szCs w:val="32"/>
        </w:rPr>
        <w:t>“三公”经费情况</w:t>
      </w:r>
    </w:p>
    <w:p w:rsidR="00BD33EC" w:rsidRDefault="001F41F8">
      <w:pPr>
        <w:spacing w:line="600" w:lineRule="exact"/>
        <w:ind w:firstLineChars="200" w:firstLine="640"/>
        <w:rPr>
          <w:rFonts w:ascii="仿宋_GB2312" w:eastAsia="仿宋_GB2312"/>
          <w:sz w:val="32"/>
          <w:szCs w:val="32"/>
        </w:rPr>
      </w:pPr>
      <w:r>
        <w:rPr>
          <w:rFonts w:ascii="仿宋_GB2312" w:eastAsia="仿宋_GB2312" w:hint="eastAsia"/>
          <w:sz w:val="32"/>
          <w:szCs w:val="32"/>
        </w:rPr>
        <w:t>2020年初批复预算的“三公”经费为20.90万元，其中公务接待13.00万元，因公出国费用0万元，公务用车7.90万元。</w:t>
      </w:r>
    </w:p>
    <w:p w:rsidR="00BD33EC" w:rsidRDefault="001F41F8">
      <w:pPr>
        <w:spacing w:line="600" w:lineRule="exact"/>
        <w:ind w:firstLineChars="200" w:firstLine="640"/>
        <w:rPr>
          <w:rFonts w:ascii="仿宋_GB2312" w:eastAsia="仿宋_GB2312"/>
          <w:sz w:val="32"/>
          <w:szCs w:val="32"/>
        </w:rPr>
      </w:pPr>
      <w:r>
        <w:rPr>
          <w:rFonts w:ascii="仿宋_GB2312" w:eastAsia="仿宋_GB2312" w:hint="eastAsia"/>
          <w:sz w:val="32"/>
          <w:szCs w:val="32"/>
        </w:rPr>
        <w:t>全年决算支出“三公”经费20.90万元万元，其中公务接待13.00万元，因公出国费用0万元，公务用车7.90万元。</w:t>
      </w:r>
    </w:p>
    <w:p w:rsidR="00BD33EC" w:rsidRDefault="001F41F8">
      <w:pPr>
        <w:shd w:val="solid" w:color="FFFFFF" w:fill="auto"/>
        <w:autoSpaceDN w:val="0"/>
        <w:ind w:firstLineChars="200" w:firstLine="640"/>
        <w:rPr>
          <w:rFonts w:ascii="仿宋" w:eastAsia="仿宋" w:hAnsi="仿宋" w:cs="Times New Roman"/>
          <w:b/>
          <w:color w:val="383838"/>
          <w:sz w:val="32"/>
          <w:shd w:val="clear" w:color="auto" w:fill="FFFFFF"/>
        </w:rPr>
      </w:pPr>
      <w:r>
        <w:rPr>
          <w:rFonts w:ascii="仿宋_GB2312" w:eastAsia="仿宋_GB2312" w:hAnsi="仿宋_GB2312" w:cs="仿宋_GB2312" w:hint="eastAsia"/>
          <w:sz w:val="32"/>
          <w:szCs w:val="32"/>
        </w:rPr>
        <w:t>2.项目支出</w:t>
      </w:r>
    </w:p>
    <w:p w:rsidR="00BD33EC" w:rsidRDefault="001F41F8">
      <w:pPr>
        <w:shd w:val="solid" w:color="FFFFFF" w:fill="auto"/>
        <w:autoSpaceDN w:val="0"/>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2020年决算项目支出378.13万元，其中：城乡社区支出75.63万元，农林水支出271.65万元，抗</w:t>
      </w:r>
      <w:proofErr w:type="gramStart"/>
      <w:r>
        <w:rPr>
          <w:rFonts w:ascii="仿宋" w:eastAsia="仿宋" w:hAnsi="仿宋" w:cs="Times New Roman" w:hint="eastAsia"/>
          <w:bCs/>
          <w:color w:val="383838"/>
          <w:sz w:val="32"/>
          <w:shd w:val="clear" w:color="auto" w:fill="FFFFFF"/>
        </w:rPr>
        <w:t>疫</w:t>
      </w:r>
      <w:proofErr w:type="gramEnd"/>
      <w:r>
        <w:rPr>
          <w:rFonts w:ascii="仿宋" w:eastAsia="仿宋" w:hAnsi="仿宋" w:cs="Times New Roman" w:hint="eastAsia"/>
          <w:bCs/>
          <w:color w:val="383838"/>
          <w:sz w:val="32"/>
          <w:shd w:val="clear" w:color="auto" w:fill="FFFFFF"/>
        </w:rPr>
        <w:t>国债支出59.49万元。项目的开展主要根据县委县政府的安排，绩效总目标和阶段性目标都已按照计划完成，未逾期。所有开支均按照我单位财务管理制度执行，资金的使用严格把关。</w:t>
      </w:r>
    </w:p>
    <w:p w:rsidR="00BD33EC" w:rsidRDefault="00BD33EC">
      <w:pPr>
        <w:spacing w:line="600" w:lineRule="exact"/>
        <w:ind w:firstLineChars="200" w:firstLine="640"/>
        <w:rPr>
          <w:rFonts w:ascii="仿宋" w:eastAsia="仿宋" w:hAnsi="仿宋" w:cs="Times New Roman"/>
          <w:bCs/>
          <w:color w:val="383838"/>
          <w:sz w:val="32"/>
          <w:shd w:val="clear" w:color="auto" w:fill="FFFFFF"/>
        </w:rPr>
      </w:pPr>
    </w:p>
    <w:p w:rsidR="00BD33EC" w:rsidRDefault="001F41F8" w:rsidP="001F41F8">
      <w:pPr>
        <w:spacing w:line="600" w:lineRule="exact"/>
        <w:ind w:leftChars="200" w:left="420"/>
        <w:rPr>
          <w:rFonts w:ascii="仿宋_GB2312" w:eastAsia="仿宋_GB2312" w:hAnsi="仿宋_GB2312" w:cs="仿宋_GB2312"/>
          <w:sz w:val="32"/>
          <w:szCs w:val="32"/>
        </w:rPr>
      </w:pPr>
      <w:r>
        <w:rPr>
          <w:rFonts w:ascii="仿宋_GB2312" w:eastAsia="仿宋_GB2312" w:hAnsi="仿宋_GB2312" w:cs="仿宋_GB2312" w:hint="eastAsia"/>
          <w:sz w:val="32"/>
          <w:szCs w:val="32"/>
        </w:rPr>
        <w:t>3.部门专项组织实施情况</w:t>
      </w:r>
    </w:p>
    <w:p w:rsidR="00BD33EC" w:rsidRDefault="001F41F8">
      <w:pPr>
        <w:pStyle w:val="a6"/>
        <w:numPr>
          <w:ilvl w:val="0"/>
          <w:numId w:val="5"/>
        </w:numPr>
        <w:shd w:val="clear" w:color="auto" w:fill="FFFFFF"/>
        <w:spacing w:before="0" w:beforeAutospacing="0" w:after="0" w:afterAutospacing="0"/>
        <w:ind w:firstLineChars="200" w:firstLine="640"/>
        <w:rPr>
          <w:rFonts w:ascii="仿宋" w:eastAsia="仿宋" w:hAnsi="仿宋" w:cs="Times New Roman"/>
          <w:bCs/>
          <w:color w:val="383838"/>
          <w:kern w:val="2"/>
          <w:sz w:val="32"/>
          <w:shd w:val="clear" w:color="auto" w:fill="FFFFFF"/>
        </w:rPr>
      </w:pPr>
      <w:r>
        <w:rPr>
          <w:rFonts w:ascii="仿宋" w:eastAsia="仿宋" w:hAnsi="仿宋" w:cs="Times New Roman" w:hint="eastAsia"/>
          <w:bCs/>
          <w:color w:val="383838"/>
          <w:kern w:val="2"/>
          <w:sz w:val="32"/>
          <w:shd w:val="clear" w:color="auto" w:fill="FFFFFF"/>
        </w:rPr>
        <w:t>专项组织情况</w:t>
      </w:r>
    </w:p>
    <w:p w:rsidR="00BD33EC" w:rsidRDefault="001F41F8">
      <w:pPr>
        <w:pStyle w:val="a6"/>
        <w:shd w:val="clear" w:color="auto" w:fill="FFFFFF"/>
        <w:spacing w:before="0" w:beforeAutospacing="0" w:after="0" w:afterAutospacing="0"/>
        <w:ind w:firstLineChars="200" w:firstLine="640"/>
        <w:rPr>
          <w:rFonts w:ascii="仿宋" w:eastAsia="仿宋" w:hAnsi="仿宋" w:cs="Times New Roman"/>
          <w:bCs/>
          <w:color w:val="383838"/>
          <w:kern w:val="2"/>
          <w:sz w:val="32"/>
          <w:shd w:val="clear" w:color="auto" w:fill="FFFFFF"/>
        </w:rPr>
      </w:pPr>
      <w:r>
        <w:rPr>
          <w:rFonts w:ascii="仿宋" w:eastAsia="仿宋" w:hAnsi="仿宋" w:cs="Times New Roman" w:hint="eastAsia"/>
          <w:bCs/>
          <w:color w:val="383838"/>
          <w:kern w:val="2"/>
          <w:sz w:val="32"/>
          <w:shd w:val="clear" w:color="auto" w:fill="FFFFFF"/>
        </w:rPr>
        <w:t>专项资金实行使用部门提出支出申请报告，财务进行审核，主要领导同意后据实安排支出。涉及招标采购的项目严格执行项目招标和竣工验收，事前按照政府采购的规定申报采购计划，实施中对资金投向及年度资金调度进行详细规划，并及时将项目支出按预算科目编报财务决算。</w:t>
      </w:r>
    </w:p>
    <w:p w:rsidR="00BD33EC" w:rsidRDefault="001F41F8">
      <w:pPr>
        <w:pStyle w:val="a6"/>
        <w:numPr>
          <w:ilvl w:val="0"/>
          <w:numId w:val="5"/>
        </w:numPr>
        <w:shd w:val="clear" w:color="auto" w:fill="FFFFFF"/>
        <w:spacing w:before="0" w:beforeAutospacing="0" w:after="0" w:afterAutospacing="0"/>
        <w:ind w:firstLineChars="200" w:firstLine="640"/>
        <w:rPr>
          <w:rFonts w:ascii="仿宋" w:eastAsia="仿宋" w:hAnsi="仿宋" w:cs="Times New Roman"/>
          <w:bCs/>
          <w:color w:val="383838"/>
          <w:kern w:val="2"/>
          <w:sz w:val="32"/>
          <w:shd w:val="clear" w:color="auto" w:fill="FFFFFF"/>
        </w:rPr>
      </w:pPr>
      <w:r>
        <w:rPr>
          <w:rFonts w:ascii="仿宋" w:eastAsia="仿宋" w:hAnsi="仿宋" w:cs="Times New Roman" w:hint="eastAsia"/>
          <w:bCs/>
          <w:color w:val="383838"/>
          <w:kern w:val="2"/>
          <w:sz w:val="32"/>
          <w:shd w:val="clear" w:color="auto" w:fill="FFFFFF"/>
        </w:rPr>
        <w:t>专项管理情况</w:t>
      </w:r>
    </w:p>
    <w:p w:rsidR="00BD33EC" w:rsidRDefault="001F41F8">
      <w:pPr>
        <w:pStyle w:val="a6"/>
        <w:shd w:val="clear" w:color="auto" w:fill="FFFFFF"/>
        <w:spacing w:before="0" w:beforeAutospacing="0" w:after="0" w:afterAutospacing="0"/>
        <w:ind w:firstLineChars="200" w:firstLine="640"/>
        <w:rPr>
          <w:rFonts w:ascii="仿宋" w:eastAsia="仿宋" w:hAnsi="仿宋" w:cs="Times New Roman"/>
          <w:bCs/>
          <w:color w:val="383838"/>
          <w:kern w:val="2"/>
          <w:sz w:val="32"/>
          <w:shd w:val="clear" w:color="auto" w:fill="FFFFFF"/>
        </w:rPr>
      </w:pPr>
      <w:r>
        <w:rPr>
          <w:rFonts w:ascii="仿宋" w:eastAsia="仿宋" w:hAnsi="仿宋" w:cs="Times New Roman" w:hint="eastAsia"/>
          <w:bCs/>
          <w:color w:val="383838"/>
          <w:kern w:val="2"/>
          <w:sz w:val="32"/>
          <w:shd w:val="clear" w:color="auto" w:fill="FFFFFF"/>
        </w:rPr>
        <w:t>对专项资金加强预算管理，规范了资金审批和支付程序，在专项资金申报中，严格按要财政要求执行；在专项资金使用上，按轻重缓急保障安排，每一笔支出有依据、有凭证、有程序、有责任。建立专项资金使用自查制度和抽查制度，及时发现问题，提出整改意见，增强自纠能力，确保专项资金依法管理与使用。没有发生专项资金的挤占、挪用、截流等违规现象。</w:t>
      </w:r>
    </w:p>
    <w:p w:rsidR="00BD33EC" w:rsidRDefault="00BD33EC">
      <w:pPr>
        <w:spacing w:line="600" w:lineRule="exact"/>
        <w:ind w:firstLineChars="200" w:firstLine="640"/>
        <w:rPr>
          <w:rFonts w:ascii="黑体" w:eastAsia="黑体"/>
          <w:sz w:val="32"/>
          <w:szCs w:val="32"/>
        </w:rPr>
      </w:pPr>
    </w:p>
    <w:p w:rsidR="00BD33EC" w:rsidRDefault="001F41F8">
      <w:pPr>
        <w:spacing w:line="600" w:lineRule="exact"/>
        <w:ind w:firstLineChars="200" w:firstLine="640"/>
        <w:rPr>
          <w:rFonts w:ascii="黑体" w:eastAsia="黑体"/>
          <w:sz w:val="32"/>
          <w:szCs w:val="32"/>
        </w:rPr>
      </w:pPr>
      <w:r>
        <w:rPr>
          <w:rFonts w:ascii="黑体" w:eastAsia="黑体" w:hint="eastAsia"/>
          <w:sz w:val="32"/>
          <w:szCs w:val="32"/>
        </w:rPr>
        <w:t>三、部门整体支出绩效评价情况</w:t>
      </w:r>
    </w:p>
    <w:p w:rsidR="00BD33EC" w:rsidRDefault="001F41F8">
      <w:pPr>
        <w:pStyle w:val="a6"/>
        <w:shd w:val="clear" w:color="auto" w:fill="FFFFFF"/>
        <w:spacing w:before="0" w:beforeAutospacing="0" w:after="0" w:afterAutospacing="0" w:line="33" w:lineRule="atLeast"/>
        <w:ind w:firstLine="420"/>
        <w:jc w:val="both"/>
        <w:rPr>
          <w:rFonts w:ascii="仿宋" w:eastAsia="仿宋" w:hAnsi="仿宋" w:cs="Times New Roman"/>
          <w:bCs/>
          <w:color w:val="383838"/>
          <w:kern w:val="2"/>
          <w:sz w:val="32"/>
          <w:shd w:val="clear" w:color="auto" w:fill="FFFFFF"/>
        </w:rPr>
      </w:pPr>
      <w:r>
        <w:rPr>
          <w:rFonts w:ascii="仿宋_GB2312" w:eastAsia="仿宋_GB2312" w:hAnsi="仿宋" w:cs="仿宋" w:hint="eastAsia"/>
          <w:color w:val="000000"/>
          <w:kern w:val="2"/>
          <w:sz w:val="32"/>
          <w:szCs w:val="32"/>
        </w:rPr>
        <w:t>2020</w:t>
      </w:r>
      <w:r>
        <w:rPr>
          <w:rFonts w:ascii="仿宋" w:eastAsia="仿宋" w:hAnsi="仿宋" w:cs="Times New Roman"/>
          <w:bCs/>
          <w:color w:val="383838"/>
          <w:kern w:val="2"/>
          <w:sz w:val="32"/>
          <w:shd w:val="clear" w:color="auto" w:fill="FFFFFF"/>
        </w:rPr>
        <w:t>年，</w:t>
      </w:r>
      <w:r>
        <w:rPr>
          <w:rFonts w:ascii="仿宋" w:eastAsia="仿宋" w:hAnsi="仿宋" w:cs="Times New Roman" w:hint="eastAsia"/>
          <w:bCs/>
          <w:color w:val="383838"/>
          <w:kern w:val="2"/>
          <w:sz w:val="32"/>
          <w:shd w:val="clear" w:color="auto" w:fill="FFFFFF"/>
        </w:rPr>
        <w:t>根据年初工作规划和重点性工作，各项工作取得了较大成绩，较好的完成了年度工作目标。通过加强预算收支管理，不断建立健全内部管理制度，梳理内部管理流程，部门整体支出管理情况得到提升。部门整体支出绩效情况如下：</w:t>
      </w:r>
    </w:p>
    <w:p w:rsidR="00BD33EC" w:rsidRDefault="001F41F8">
      <w:pPr>
        <w:pStyle w:val="a6"/>
        <w:shd w:val="clear" w:color="auto" w:fill="FFFFFF"/>
        <w:spacing w:before="0" w:beforeAutospacing="0" w:after="0" w:afterAutospacing="0" w:line="33" w:lineRule="atLeast"/>
        <w:ind w:firstLine="420"/>
        <w:jc w:val="both"/>
        <w:rPr>
          <w:rFonts w:ascii="仿宋" w:eastAsia="仿宋" w:hAnsi="仿宋" w:cs="Times New Roman"/>
          <w:bCs/>
          <w:color w:val="383838"/>
          <w:kern w:val="2"/>
          <w:sz w:val="32"/>
          <w:shd w:val="clear" w:color="auto" w:fill="FFFFFF"/>
        </w:rPr>
      </w:pPr>
      <w:r>
        <w:rPr>
          <w:rFonts w:ascii="仿宋" w:eastAsia="仿宋" w:hAnsi="仿宋" w:cs="Times New Roman" w:hint="eastAsia"/>
          <w:bCs/>
          <w:color w:val="383838"/>
          <w:kern w:val="2"/>
          <w:sz w:val="32"/>
          <w:shd w:val="clear" w:color="auto" w:fill="FFFFFF"/>
        </w:rPr>
        <w:t>（一）经济效益评价</w:t>
      </w:r>
    </w:p>
    <w:p w:rsidR="00BD33EC" w:rsidRDefault="001F41F8">
      <w:pPr>
        <w:pStyle w:val="a6"/>
        <w:shd w:val="clear" w:color="auto" w:fill="FFFFFF"/>
        <w:spacing w:before="0" w:beforeAutospacing="0" w:after="0" w:afterAutospacing="0" w:line="33" w:lineRule="atLeast"/>
        <w:ind w:firstLine="420"/>
        <w:jc w:val="both"/>
        <w:rPr>
          <w:rFonts w:ascii="仿宋" w:eastAsia="仿宋" w:hAnsi="仿宋" w:cs="Times New Roman"/>
          <w:bCs/>
          <w:color w:val="383838"/>
          <w:kern w:val="2"/>
          <w:sz w:val="32"/>
          <w:shd w:val="clear" w:color="auto" w:fill="FFFFFF"/>
        </w:rPr>
      </w:pPr>
      <w:r>
        <w:rPr>
          <w:rFonts w:ascii="仿宋" w:eastAsia="仿宋" w:hAnsi="仿宋" w:cs="Times New Roman" w:hint="eastAsia"/>
          <w:bCs/>
          <w:color w:val="383838"/>
          <w:kern w:val="2"/>
          <w:sz w:val="32"/>
          <w:shd w:val="clear" w:color="auto" w:fill="FFFFFF"/>
        </w:rPr>
        <w:lastRenderedPageBreak/>
        <w:t>1. 预算执行方面，支出总额控制在预算总额以内；2020 年度“三公”经费财政拨款支出预算为20.90万元，支出决算为20.90万元，完成预算的100%。</w:t>
      </w:r>
    </w:p>
    <w:p w:rsidR="00BD33EC" w:rsidRDefault="001F41F8">
      <w:pPr>
        <w:pStyle w:val="a6"/>
        <w:shd w:val="clear" w:color="auto" w:fill="FFFFFF"/>
        <w:spacing w:before="0" w:beforeAutospacing="0" w:after="0" w:afterAutospacing="0" w:line="33" w:lineRule="atLeast"/>
        <w:ind w:firstLine="420"/>
        <w:jc w:val="both"/>
        <w:rPr>
          <w:rFonts w:ascii="仿宋" w:eastAsia="仿宋" w:hAnsi="仿宋" w:cs="Times New Roman"/>
          <w:bCs/>
          <w:color w:val="383838"/>
          <w:kern w:val="2"/>
          <w:sz w:val="32"/>
          <w:shd w:val="clear" w:color="auto" w:fill="FFFFFF"/>
        </w:rPr>
      </w:pPr>
      <w:r>
        <w:rPr>
          <w:rFonts w:ascii="仿宋" w:eastAsia="仿宋" w:hAnsi="仿宋" w:cs="Times New Roman" w:hint="eastAsia"/>
          <w:bCs/>
          <w:color w:val="383838"/>
          <w:kern w:val="2"/>
          <w:sz w:val="32"/>
          <w:shd w:val="clear" w:color="auto" w:fill="FFFFFF"/>
        </w:rPr>
        <w:t>2、预算管理方面，制度执行总体较为有效。</w:t>
      </w:r>
    </w:p>
    <w:p w:rsidR="00BD33EC" w:rsidRDefault="001F41F8">
      <w:pPr>
        <w:pStyle w:val="a6"/>
        <w:shd w:val="clear" w:color="auto" w:fill="FFFFFF"/>
        <w:spacing w:before="0" w:beforeAutospacing="0" w:after="0" w:afterAutospacing="0" w:line="33" w:lineRule="atLeast"/>
        <w:ind w:firstLine="420"/>
        <w:jc w:val="both"/>
        <w:rPr>
          <w:rFonts w:ascii="仿宋" w:eastAsia="仿宋" w:hAnsi="仿宋" w:cs="Times New Roman"/>
          <w:bCs/>
          <w:color w:val="383838"/>
          <w:kern w:val="2"/>
          <w:sz w:val="32"/>
          <w:shd w:val="clear" w:color="auto" w:fill="FFFFFF"/>
        </w:rPr>
      </w:pPr>
      <w:r>
        <w:rPr>
          <w:rFonts w:ascii="仿宋" w:eastAsia="仿宋" w:hAnsi="仿宋" w:cs="Times New Roman" w:hint="eastAsia"/>
          <w:bCs/>
          <w:color w:val="383838"/>
          <w:kern w:val="2"/>
          <w:sz w:val="32"/>
          <w:shd w:val="clear" w:color="auto" w:fill="FFFFFF"/>
        </w:rPr>
        <w:t>3、资产管理方面，建立了资产管理制度，定期进行了盘点和资产清理，总体执行较好。</w:t>
      </w:r>
    </w:p>
    <w:p w:rsidR="00BD33EC" w:rsidRDefault="001F41F8">
      <w:pPr>
        <w:pStyle w:val="a6"/>
        <w:shd w:val="clear" w:color="auto" w:fill="FFFFFF"/>
        <w:spacing w:before="0" w:beforeAutospacing="0" w:after="0" w:afterAutospacing="0" w:line="33" w:lineRule="atLeast"/>
        <w:ind w:firstLine="420"/>
        <w:jc w:val="both"/>
        <w:rPr>
          <w:rFonts w:ascii="仿宋" w:eastAsia="仿宋" w:hAnsi="仿宋" w:cs="Times New Roman"/>
          <w:bCs/>
          <w:color w:val="383838"/>
          <w:kern w:val="2"/>
          <w:sz w:val="32"/>
          <w:shd w:val="clear" w:color="auto" w:fill="FFFFFF"/>
        </w:rPr>
      </w:pPr>
      <w:r>
        <w:rPr>
          <w:rFonts w:ascii="仿宋" w:eastAsia="仿宋" w:hAnsi="仿宋" w:cs="Times New Roman" w:hint="eastAsia"/>
          <w:bCs/>
          <w:color w:val="383838"/>
          <w:kern w:val="2"/>
          <w:sz w:val="32"/>
          <w:shd w:val="clear" w:color="auto" w:fill="FFFFFF"/>
        </w:rPr>
        <w:t>（二）效率性评价和有效性评价</w:t>
      </w:r>
    </w:p>
    <w:p w:rsidR="00BD33EC" w:rsidRDefault="001F41F8">
      <w:pPr>
        <w:pStyle w:val="a6"/>
        <w:shd w:val="clear" w:color="auto" w:fill="FFFFFF"/>
        <w:spacing w:before="0" w:beforeAutospacing="0" w:after="0" w:afterAutospacing="0" w:line="33" w:lineRule="atLeast"/>
        <w:ind w:firstLine="420"/>
        <w:jc w:val="both"/>
        <w:rPr>
          <w:rFonts w:ascii="仿宋" w:eastAsia="仿宋" w:hAnsi="仿宋" w:cs="Times New Roman"/>
          <w:bCs/>
          <w:color w:val="383838"/>
          <w:kern w:val="2"/>
          <w:sz w:val="32"/>
          <w:shd w:val="clear" w:color="auto" w:fill="FFFFFF"/>
        </w:rPr>
      </w:pPr>
      <w:r>
        <w:rPr>
          <w:rFonts w:ascii="仿宋" w:eastAsia="仿宋" w:hAnsi="仿宋" w:cs="Times New Roman" w:hint="eastAsia"/>
          <w:bCs/>
          <w:color w:val="383838"/>
          <w:kern w:val="2"/>
          <w:sz w:val="32"/>
          <w:shd w:val="clear" w:color="auto" w:fill="FFFFFF"/>
        </w:rPr>
        <w:t>预算安排的基本支出保障了正常的工作运转，预算安排的项目支出是非常必要的，在执行上是严格遵守各项财经纪律的，在项目资金的使用上也是放的心的，严守法律底线、纪律底线、道德底线。</w:t>
      </w:r>
    </w:p>
    <w:p w:rsidR="00BD33EC" w:rsidRDefault="00BD33EC">
      <w:pPr>
        <w:pStyle w:val="a6"/>
        <w:shd w:val="clear" w:color="auto" w:fill="FFFFFF"/>
        <w:spacing w:before="0" w:beforeAutospacing="0" w:after="0" w:afterAutospacing="0" w:line="33" w:lineRule="atLeast"/>
        <w:ind w:firstLine="420"/>
        <w:jc w:val="both"/>
        <w:rPr>
          <w:rFonts w:ascii="仿宋" w:eastAsia="仿宋" w:hAnsi="仿宋" w:cs="Times New Roman"/>
          <w:bCs/>
          <w:color w:val="383838"/>
          <w:kern w:val="2"/>
          <w:sz w:val="32"/>
          <w:highlight w:val="red"/>
          <w:shd w:val="clear" w:color="auto" w:fill="FFFFFF"/>
        </w:rPr>
      </w:pPr>
    </w:p>
    <w:p w:rsidR="00BD33EC" w:rsidRDefault="001F41F8">
      <w:pPr>
        <w:spacing w:line="600" w:lineRule="exact"/>
        <w:ind w:firstLineChars="200" w:firstLine="640"/>
        <w:rPr>
          <w:rFonts w:ascii="黑体" w:eastAsia="黑体"/>
          <w:sz w:val="32"/>
          <w:szCs w:val="32"/>
        </w:rPr>
      </w:pPr>
      <w:r>
        <w:rPr>
          <w:rFonts w:ascii="黑体" w:eastAsia="黑体" w:hint="eastAsia"/>
          <w:sz w:val="32"/>
          <w:szCs w:val="32"/>
        </w:rPr>
        <w:t>四、绩效评价工作情况</w:t>
      </w:r>
    </w:p>
    <w:p w:rsidR="00BD33EC" w:rsidRDefault="001F41F8">
      <w:pPr>
        <w:pStyle w:val="a6"/>
        <w:shd w:val="clear" w:color="auto" w:fill="FFFFFF"/>
        <w:spacing w:before="150" w:beforeAutospacing="0" w:after="0" w:afterAutospacing="0"/>
        <w:ind w:firstLine="430"/>
        <w:rPr>
          <w:rFonts w:ascii="仿宋" w:eastAsia="仿宋" w:hAnsi="仿宋" w:cs="仿宋"/>
          <w:color w:val="000000"/>
          <w:sz w:val="32"/>
          <w:szCs w:val="32"/>
        </w:rPr>
      </w:pPr>
      <w:r>
        <w:rPr>
          <w:rStyle w:val="a7"/>
          <w:rFonts w:ascii="仿宋" w:eastAsia="仿宋" w:hAnsi="仿宋" w:cs="仿宋" w:hint="eastAsia"/>
          <w:color w:val="000000"/>
          <w:sz w:val="32"/>
          <w:szCs w:val="32"/>
          <w:shd w:val="clear" w:color="auto" w:fill="FFFFFF"/>
        </w:rPr>
        <w:t>（一）绩效自评目的</w:t>
      </w:r>
    </w:p>
    <w:p w:rsidR="00BD33EC" w:rsidRDefault="001F41F8">
      <w:pPr>
        <w:pStyle w:val="a6"/>
        <w:shd w:val="clear" w:color="auto" w:fill="FFFFFF"/>
        <w:spacing w:before="150" w:beforeAutospacing="0" w:after="0" w:afterAutospacing="0"/>
        <w:ind w:firstLine="43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绩效评价通过填写自评体系里面的相关评价指标，对部门项目实施的实现程度以及实现这些项目所安排预算的执行结果进行综合性评价。通过绩效自评，能单位更好的了解资金使用途径、资金支出进度等，同时，能更加合理的管理项目资金。</w:t>
      </w:r>
    </w:p>
    <w:p w:rsidR="00BD33EC" w:rsidRDefault="001F41F8">
      <w:pPr>
        <w:pStyle w:val="a6"/>
        <w:shd w:val="clear" w:color="auto" w:fill="FFFFFF"/>
        <w:spacing w:before="150" w:beforeAutospacing="0" w:after="0" w:afterAutospacing="0"/>
        <w:ind w:firstLine="430"/>
        <w:rPr>
          <w:rFonts w:ascii="仿宋" w:eastAsia="仿宋" w:hAnsi="仿宋" w:cs="仿宋"/>
          <w:color w:val="000000"/>
          <w:sz w:val="32"/>
          <w:szCs w:val="32"/>
        </w:rPr>
      </w:pPr>
      <w:r>
        <w:rPr>
          <w:rStyle w:val="a7"/>
          <w:rFonts w:ascii="仿宋" w:eastAsia="仿宋" w:hAnsi="仿宋" w:cs="仿宋" w:hint="eastAsia"/>
          <w:color w:val="000000"/>
          <w:sz w:val="32"/>
          <w:szCs w:val="32"/>
          <w:shd w:val="clear" w:color="auto" w:fill="FFFFFF"/>
        </w:rPr>
        <w:t>（二）自评指标体系</w:t>
      </w:r>
    </w:p>
    <w:p w:rsidR="00BD33EC" w:rsidRDefault="001F41F8">
      <w:pPr>
        <w:pStyle w:val="a6"/>
        <w:shd w:val="clear" w:color="auto" w:fill="FFFFFF"/>
        <w:spacing w:before="150" w:beforeAutospacing="0" w:after="0" w:afterAutospacing="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项目绩效指标完成分析：产出指标、效益指标、满意度指标；</w:t>
      </w:r>
    </w:p>
    <w:p w:rsidR="00BD33EC" w:rsidRDefault="001F41F8">
      <w:pPr>
        <w:pStyle w:val="a6"/>
        <w:shd w:val="clear" w:color="auto" w:fill="FFFFFF"/>
        <w:spacing w:before="150" w:beforeAutospacing="0" w:after="0" w:afterAutospacing="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项目成本性分析：项目是否有节支增效的改进措施；</w:t>
      </w:r>
    </w:p>
    <w:p w:rsidR="00BD33EC" w:rsidRDefault="001F41F8">
      <w:pPr>
        <w:pStyle w:val="a6"/>
        <w:shd w:val="clear" w:color="auto" w:fill="FFFFFF"/>
        <w:spacing w:before="150" w:beforeAutospacing="0" w:after="0" w:afterAutospacing="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项目时效指性分析：完成的及时性、验收的有效性；</w:t>
      </w:r>
    </w:p>
    <w:p w:rsidR="00BD33EC" w:rsidRDefault="001F41F8">
      <w:pPr>
        <w:pStyle w:val="a6"/>
        <w:shd w:val="clear" w:color="auto" w:fill="FFFFFF"/>
        <w:spacing w:before="150" w:beforeAutospacing="0" w:after="0" w:afterAutospacing="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lastRenderedPageBreak/>
        <w:t>部门绩效目标实现分析：项目绩效是否促进部门绩效目标的实现、项目绩效与规划和宏观政策的适应性、项目绩效体现部门职能职责及年度计划情况。</w:t>
      </w:r>
    </w:p>
    <w:p w:rsidR="00BD33EC" w:rsidRDefault="001F41F8">
      <w:pPr>
        <w:pStyle w:val="a6"/>
        <w:shd w:val="clear" w:color="auto" w:fill="FFFFFF"/>
        <w:spacing w:before="150" w:beforeAutospacing="0" w:after="0" w:afterAutospacing="0"/>
        <w:ind w:firstLine="430"/>
        <w:rPr>
          <w:rFonts w:ascii="仿宋" w:eastAsia="仿宋" w:hAnsi="仿宋" w:cs="仿宋"/>
          <w:color w:val="000000"/>
          <w:sz w:val="32"/>
          <w:szCs w:val="32"/>
        </w:rPr>
      </w:pPr>
      <w:r>
        <w:rPr>
          <w:rStyle w:val="a7"/>
          <w:rFonts w:ascii="仿宋" w:eastAsia="仿宋" w:hAnsi="仿宋" w:cs="仿宋" w:hint="eastAsia"/>
          <w:color w:val="000000"/>
          <w:sz w:val="32"/>
          <w:szCs w:val="32"/>
          <w:shd w:val="clear" w:color="auto" w:fill="FFFFFF"/>
        </w:rPr>
        <w:t>（三）自评组织过程</w:t>
      </w:r>
    </w:p>
    <w:p w:rsidR="00BD33EC" w:rsidRDefault="001F41F8">
      <w:pPr>
        <w:pStyle w:val="a6"/>
        <w:shd w:val="clear" w:color="auto" w:fill="FFFFFF"/>
        <w:spacing w:before="150" w:beforeAutospacing="0" w:after="0" w:afterAutospacing="0"/>
        <w:ind w:firstLine="43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1、前期准备</w:t>
      </w:r>
    </w:p>
    <w:p w:rsidR="00BD33EC" w:rsidRDefault="001F41F8">
      <w:pPr>
        <w:pStyle w:val="a6"/>
        <w:shd w:val="clear" w:color="auto" w:fill="FFFFFF"/>
        <w:spacing w:before="150" w:beforeAutospacing="0" w:after="0" w:afterAutospacing="0"/>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设立考核机构：成立项目绩效考核领导小组，领导小组下设绩效考核办公室。</w:t>
      </w:r>
    </w:p>
    <w:p w:rsidR="00BD33EC" w:rsidRDefault="001F41F8">
      <w:pPr>
        <w:pStyle w:val="a6"/>
        <w:shd w:val="clear" w:color="auto" w:fill="FFFFFF"/>
        <w:spacing w:before="150" w:beforeAutospacing="0" w:after="0" w:afterAutospacing="0"/>
        <w:ind w:firstLine="43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2、组织实施</w:t>
      </w:r>
    </w:p>
    <w:p w:rsidR="00BD33EC" w:rsidRDefault="001F41F8">
      <w:pPr>
        <w:pStyle w:val="a6"/>
        <w:shd w:val="clear" w:color="auto" w:fill="FFFFFF"/>
        <w:spacing w:before="150" w:beforeAutospacing="0" w:after="0" w:afterAutospacing="0"/>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组成工作组，指定专人组织开展绩效自评工作，认真梳理项目工作计划，对项目的程序、实施、效果进行了自查自评，最终形成评价。</w:t>
      </w:r>
    </w:p>
    <w:p w:rsidR="00BD33EC" w:rsidRDefault="001F41F8">
      <w:pPr>
        <w:pStyle w:val="a6"/>
        <w:numPr>
          <w:ilvl w:val="0"/>
          <w:numId w:val="6"/>
        </w:numPr>
        <w:shd w:val="clear" w:color="auto" w:fill="FFFFFF"/>
        <w:spacing w:before="150" w:beforeAutospacing="0" w:after="0" w:afterAutospacing="0"/>
        <w:ind w:firstLine="430"/>
        <w:rPr>
          <w:rStyle w:val="a7"/>
          <w:rFonts w:ascii="仿宋" w:eastAsia="仿宋" w:hAnsi="仿宋" w:cs="仿宋"/>
          <w:color w:val="000000"/>
          <w:sz w:val="32"/>
          <w:szCs w:val="32"/>
          <w:shd w:val="clear" w:color="auto" w:fill="FFFFFF"/>
        </w:rPr>
      </w:pPr>
      <w:r>
        <w:rPr>
          <w:rStyle w:val="a7"/>
          <w:rFonts w:ascii="仿宋" w:eastAsia="仿宋" w:hAnsi="仿宋" w:cs="仿宋" w:hint="eastAsia"/>
          <w:color w:val="000000"/>
          <w:sz w:val="32"/>
          <w:szCs w:val="32"/>
          <w:shd w:val="clear" w:color="auto" w:fill="FFFFFF"/>
        </w:rPr>
        <w:t>自评组织过程</w:t>
      </w:r>
    </w:p>
    <w:p w:rsidR="00BD33EC" w:rsidRDefault="001F41F8">
      <w:pPr>
        <w:pStyle w:val="a6"/>
        <w:shd w:val="clear" w:color="auto" w:fill="FFFFFF"/>
        <w:spacing w:before="150" w:beforeAutospacing="0" w:after="0" w:afterAutospacing="0"/>
        <w:ind w:firstLineChars="100" w:firstLine="320"/>
        <w:rPr>
          <w:rStyle w:val="a7"/>
          <w:rFonts w:ascii="仿宋" w:eastAsia="仿宋" w:hAnsi="仿宋" w:cs="仿宋"/>
          <w:color w:val="000000"/>
          <w:sz w:val="32"/>
          <w:szCs w:val="32"/>
          <w:shd w:val="clear" w:color="auto" w:fill="FFFFFF"/>
        </w:rPr>
      </w:pPr>
      <w:r>
        <w:rPr>
          <w:rFonts w:ascii="仿宋_GB2312" w:eastAsia="仿宋_GB2312" w:hAnsi="仿宋" w:cs="仿宋" w:hint="eastAsia"/>
          <w:bCs/>
          <w:kern w:val="2"/>
          <w:sz w:val="32"/>
          <w:szCs w:val="32"/>
        </w:rPr>
        <w:t>根据我单位制定的《部门整体支出绩效评价自评分值表》评分，得分97.6分，财政支出绩效为“优”。</w:t>
      </w:r>
    </w:p>
    <w:p w:rsidR="00BD33EC" w:rsidRDefault="001F41F8">
      <w:pPr>
        <w:spacing w:line="600" w:lineRule="exact"/>
        <w:ind w:firstLineChars="200" w:firstLine="640"/>
        <w:rPr>
          <w:rFonts w:ascii="黑体" w:eastAsia="黑体"/>
          <w:sz w:val="32"/>
          <w:szCs w:val="32"/>
        </w:rPr>
      </w:pPr>
      <w:r>
        <w:rPr>
          <w:rFonts w:ascii="黑体" w:eastAsia="黑体" w:hint="eastAsia"/>
          <w:sz w:val="32"/>
          <w:szCs w:val="32"/>
        </w:rPr>
        <w:t>五、存在的主要问题</w:t>
      </w:r>
    </w:p>
    <w:p w:rsidR="00BD33EC" w:rsidRDefault="001F41F8">
      <w:pPr>
        <w:pStyle w:val="a6"/>
        <w:spacing w:before="300" w:beforeAutospacing="0" w:after="0" w:afterAutospacing="0" w:line="360" w:lineRule="auto"/>
        <w:ind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（1）相关人员对于绩效评价的认识不到位，部分部门对绩效不理解，缺乏绩效评价专业人才。</w:t>
      </w:r>
    </w:p>
    <w:p w:rsidR="00BD33EC" w:rsidRDefault="001F41F8">
      <w:pPr>
        <w:pStyle w:val="a6"/>
        <w:spacing w:before="300" w:beforeAutospacing="0" w:after="0" w:afterAutospacing="0" w:line="360" w:lineRule="auto"/>
        <w:ind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（2）绩效目标和指标往往根据项目实际完成情况制定，对项目执行过程有效约束不够，存在偏差。</w:t>
      </w:r>
    </w:p>
    <w:p w:rsidR="00BD33EC" w:rsidRDefault="001F41F8">
      <w:pPr>
        <w:pStyle w:val="a6"/>
        <w:spacing w:before="300" w:beforeAutospacing="0" w:after="0" w:afterAutospacing="0" w:line="360" w:lineRule="auto"/>
        <w:ind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（3）在绩效考评指标的设计上，部分特色指标缺乏数据支持和可行的分析测评，绩效指标体系有待完善。</w:t>
      </w:r>
    </w:p>
    <w:p w:rsidR="00BD33EC" w:rsidRDefault="001F41F8">
      <w:pPr>
        <w:spacing w:line="600" w:lineRule="exact"/>
        <w:ind w:firstLineChars="200" w:firstLine="640"/>
        <w:rPr>
          <w:rFonts w:ascii="黑体" w:eastAsia="黑体"/>
          <w:sz w:val="32"/>
          <w:szCs w:val="32"/>
        </w:rPr>
      </w:pPr>
      <w:r>
        <w:rPr>
          <w:rFonts w:ascii="黑体" w:eastAsia="黑体" w:hint="eastAsia"/>
          <w:sz w:val="32"/>
          <w:szCs w:val="32"/>
        </w:rPr>
        <w:lastRenderedPageBreak/>
        <w:t>六、改进措施及建议</w:t>
      </w:r>
    </w:p>
    <w:p w:rsidR="00BD33EC" w:rsidRDefault="001F41F8">
      <w:pPr>
        <w:pStyle w:val="a6"/>
        <w:spacing w:before="300" w:beforeAutospacing="0" w:after="0" w:afterAutospacing="0" w:line="360" w:lineRule="auto"/>
        <w:ind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细化预算编制工作，认真做好预算的编制。进一步加强单位内部机构各股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rsidR="00BD33EC" w:rsidRDefault="001F41F8">
      <w:pPr>
        <w:pStyle w:val="a6"/>
        <w:spacing w:before="300" w:beforeAutospacing="0" w:after="0" w:afterAutospacing="0" w:line="360" w:lineRule="auto"/>
        <w:ind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rsidR="00BD33EC" w:rsidRDefault="001F41F8">
      <w:pPr>
        <w:pStyle w:val="a6"/>
        <w:spacing w:before="300" w:beforeAutospacing="0" w:after="0" w:afterAutospacing="0" w:line="360" w:lineRule="auto"/>
        <w:ind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rsidR="00BD33EC" w:rsidRDefault="001F41F8">
      <w:pPr>
        <w:pStyle w:val="a6"/>
        <w:shd w:val="clear" w:color="auto" w:fill="FFFFFF"/>
        <w:spacing w:before="300" w:beforeAutospacing="0" w:after="0" w:afterAutospacing="0" w:line="360" w:lineRule="auto"/>
        <w:ind w:firstLine="48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4、对相关人员加强培训，特别是针对《预算法》、《行政事业单位会计制度》等学习培训，规范部门预算收支核算，切实提高部门预算收支管理水平。</w:t>
      </w:r>
    </w:p>
    <w:p w:rsidR="00BD33EC" w:rsidRDefault="00BD33EC">
      <w:pPr>
        <w:pStyle w:val="a6"/>
        <w:rPr>
          <w:rFonts w:cs="Times New Roman"/>
          <w:sz w:val="28"/>
          <w:szCs w:val="28"/>
        </w:rPr>
      </w:pPr>
      <w:bookmarkStart w:id="0" w:name="_GoBack"/>
      <w:bookmarkEnd w:id="0"/>
    </w:p>
    <w:sectPr w:rsidR="00BD33EC" w:rsidSect="003E0D38">
      <w:pgSz w:w="11906" w:h="16838"/>
      <w:pgMar w:top="720" w:right="1306" w:bottom="720" w:left="136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1F8" w:rsidRDefault="001F41F8" w:rsidP="001F41F8">
      <w:r>
        <w:separator/>
      </w:r>
    </w:p>
  </w:endnote>
  <w:endnote w:type="continuationSeparator" w:id="1">
    <w:p w:rsidR="001F41F8" w:rsidRDefault="001F41F8" w:rsidP="001F4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1F8" w:rsidRDefault="001F41F8" w:rsidP="001F41F8">
      <w:r>
        <w:separator/>
      </w:r>
    </w:p>
  </w:footnote>
  <w:footnote w:type="continuationSeparator" w:id="1">
    <w:p w:rsidR="001F41F8" w:rsidRDefault="001F41F8" w:rsidP="001F41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75FB92"/>
    <w:multiLevelType w:val="singleLevel"/>
    <w:tmpl w:val="E975FB92"/>
    <w:lvl w:ilvl="0">
      <w:start w:val="1"/>
      <w:numFmt w:val="decimal"/>
      <w:suff w:val="nothing"/>
      <w:lvlText w:val="%1、"/>
      <w:lvlJc w:val="left"/>
    </w:lvl>
  </w:abstractNum>
  <w:abstractNum w:abstractNumId="1">
    <w:nsid w:val="EC3635B3"/>
    <w:multiLevelType w:val="singleLevel"/>
    <w:tmpl w:val="EC3635B3"/>
    <w:lvl w:ilvl="0">
      <w:start w:val="1"/>
      <w:numFmt w:val="decimal"/>
      <w:lvlText w:val="%1."/>
      <w:lvlJc w:val="left"/>
      <w:pPr>
        <w:tabs>
          <w:tab w:val="left" w:pos="312"/>
        </w:tabs>
      </w:pPr>
    </w:lvl>
  </w:abstractNum>
  <w:abstractNum w:abstractNumId="2">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D547B86"/>
    <w:multiLevelType w:val="singleLevel"/>
    <w:tmpl w:val="4D547B86"/>
    <w:lvl w:ilvl="0">
      <w:start w:val="4"/>
      <w:numFmt w:val="chineseCounting"/>
      <w:suff w:val="nothing"/>
      <w:lvlText w:val="（%1）"/>
      <w:lvlJc w:val="left"/>
      <w:rPr>
        <w:rFonts w:hint="eastAsia"/>
      </w:rPr>
    </w:lvl>
  </w:abstractNum>
  <w:abstractNum w:abstractNumId="4">
    <w:nsid w:val="631371EC"/>
    <w:multiLevelType w:val="singleLevel"/>
    <w:tmpl w:val="631371EC"/>
    <w:lvl w:ilvl="0">
      <w:start w:val="1"/>
      <w:numFmt w:val="decimalEnclosedCircleChinese"/>
      <w:suff w:val="nothing"/>
      <w:lvlText w:val="%1　"/>
      <w:lvlJc w:val="left"/>
      <w:pPr>
        <w:ind w:left="0" w:firstLine="400"/>
      </w:pPr>
      <w:rPr>
        <w:rFonts w:hint="eastAsia"/>
      </w:rPr>
    </w:lvl>
  </w:abstractNum>
  <w:abstractNum w:abstractNumId="5">
    <w:nsid w:val="6D5645BE"/>
    <w:multiLevelType w:val="singleLevel"/>
    <w:tmpl w:val="6D5645BE"/>
    <w:lvl w:ilvl="0">
      <w:start w:val="2"/>
      <w:numFmt w:val="decimal"/>
      <w:lvlText w:val="%1."/>
      <w:lvlJc w:val="left"/>
      <w:pPr>
        <w:tabs>
          <w:tab w:val="left" w:pos="312"/>
        </w:tabs>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506F9"/>
    <w:rsid w:val="000040DA"/>
    <w:rsid w:val="0002229B"/>
    <w:rsid w:val="000273BD"/>
    <w:rsid w:val="00035368"/>
    <w:rsid w:val="000415B7"/>
    <w:rsid w:val="000658A3"/>
    <w:rsid w:val="00074155"/>
    <w:rsid w:val="000A3F69"/>
    <w:rsid w:val="000B1A5F"/>
    <w:rsid w:val="000E79FC"/>
    <w:rsid w:val="00141F70"/>
    <w:rsid w:val="00152C6D"/>
    <w:rsid w:val="00162D39"/>
    <w:rsid w:val="001A67DB"/>
    <w:rsid w:val="001D51E5"/>
    <w:rsid w:val="001D7DBF"/>
    <w:rsid w:val="001F0C3B"/>
    <w:rsid w:val="001F41F8"/>
    <w:rsid w:val="00214427"/>
    <w:rsid w:val="00236503"/>
    <w:rsid w:val="00265724"/>
    <w:rsid w:val="0027426B"/>
    <w:rsid w:val="00275391"/>
    <w:rsid w:val="002E2553"/>
    <w:rsid w:val="00310E54"/>
    <w:rsid w:val="003479BD"/>
    <w:rsid w:val="003768D5"/>
    <w:rsid w:val="003E0D38"/>
    <w:rsid w:val="004506F9"/>
    <w:rsid w:val="004717A2"/>
    <w:rsid w:val="0048147C"/>
    <w:rsid w:val="00491741"/>
    <w:rsid w:val="00500E5F"/>
    <w:rsid w:val="00504E20"/>
    <w:rsid w:val="005122EF"/>
    <w:rsid w:val="00517C33"/>
    <w:rsid w:val="00523644"/>
    <w:rsid w:val="0054069E"/>
    <w:rsid w:val="005767CC"/>
    <w:rsid w:val="00590D9F"/>
    <w:rsid w:val="00595D26"/>
    <w:rsid w:val="005A74E6"/>
    <w:rsid w:val="005D4D55"/>
    <w:rsid w:val="005E2CFB"/>
    <w:rsid w:val="0062378F"/>
    <w:rsid w:val="00651EEC"/>
    <w:rsid w:val="00652FEE"/>
    <w:rsid w:val="006A351B"/>
    <w:rsid w:val="006B0422"/>
    <w:rsid w:val="006C1B53"/>
    <w:rsid w:val="006D7730"/>
    <w:rsid w:val="006E33E6"/>
    <w:rsid w:val="006E5284"/>
    <w:rsid w:val="006F3EB5"/>
    <w:rsid w:val="00702E34"/>
    <w:rsid w:val="00704395"/>
    <w:rsid w:val="00720FF1"/>
    <w:rsid w:val="0079646A"/>
    <w:rsid w:val="007A19B3"/>
    <w:rsid w:val="00800CF2"/>
    <w:rsid w:val="00801C2C"/>
    <w:rsid w:val="00812ED5"/>
    <w:rsid w:val="008277D9"/>
    <w:rsid w:val="008935A7"/>
    <w:rsid w:val="008A3E8D"/>
    <w:rsid w:val="009016AF"/>
    <w:rsid w:val="009237C4"/>
    <w:rsid w:val="00942649"/>
    <w:rsid w:val="00950252"/>
    <w:rsid w:val="00967F5D"/>
    <w:rsid w:val="009A0F95"/>
    <w:rsid w:val="009B3ADF"/>
    <w:rsid w:val="009C3B52"/>
    <w:rsid w:val="00A42218"/>
    <w:rsid w:val="00A574ED"/>
    <w:rsid w:val="00A70249"/>
    <w:rsid w:val="00A947E0"/>
    <w:rsid w:val="00B128B0"/>
    <w:rsid w:val="00B33BEA"/>
    <w:rsid w:val="00B37021"/>
    <w:rsid w:val="00B57C9F"/>
    <w:rsid w:val="00B845B3"/>
    <w:rsid w:val="00B85D8B"/>
    <w:rsid w:val="00BD33EC"/>
    <w:rsid w:val="00BE3674"/>
    <w:rsid w:val="00C0697D"/>
    <w:rsid w:val="00C22F7A"/>
    <w:rsid w:val="00C3049A"/>
    <w:rsid w:val="00C31B1E"/>
    <w:rsid w:val="00C67010"/>
    <w:rsid w:val="00C77645"/>
    <w:rsid w:val="00CA2069"/>
    <w:rsid w:val="00CB2695"/>
    <w:rsid w:val="00CE04C3"/>
    <w:rsid w:val="00CE76A0"/>
    <w:rsid w:val="00D148C6"/>
    <w:rsid w:val="00D17642"/>
    <w:rsid w:val="00D94744"/>
    <w:rsid w:val="00DD06FF"/>
    <w:rsid w:val="00DD5FE9"/>
    <w:rsid w:val="00E00C7A"/>
    <w:rsid w:val="00E01863"/>
    <w:rsid w:val="00E064FF"/>
    <w:rsid w:val="00E55B68"/>
    <w:rsid w:val="00EF29EE"/>
    <w:rsid w:val="00F74360"/>
    <w:rsid w:val="00FB3E68"/>
    <w:rsid w:val="00FB462F"/>
    <w:rsid w:val="00FE0C89"/>
    <w:rsid w:val="00FE16FA"/>
    <w:rsid w:val="00FE328A"/>
    <w:rsid w:val="05C0754B"/>
    <w:rsid w:val="0A733E75"/>
    <w:rsid w:val="0A9D5880"/>
    <w:rsid w:val="1B776439"/>
    <w:rsid w:val="20C332C3"/>
    <w:rsid w:val="2A2C24F5"/>
    <w:rsid w:val="2C2D7B92"/>
    <w:rsid w:val="616E017D"/>
    <w:rsid w:val="796E28C6"/>
    <w:rsid w:val="7BF429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E0D38"/>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unhideWhenUsed/>
    <w:qFormat/>
    <w:rsid w:val="003E0D38"/>
    <w:pPr>
      <w:tabs>
        <w:tab w:val="center" w:pos="4153"/>
        <w:tab w:val="right" w:pos="8306"/>
      </w:tabs>
      <w:snapToGrid w:val="0"/>
      <w:jc w:val="left"/>
    </w:pPr>
    <w:rPr>
      <w:sz w:val="18"/>
      <w:szCs w:val="18"/>
    </w:rPr>
  </w:style>
  <w:style w:type="paragraph" w:styleId="a4">
    <w:name w:val="Balloon Text"/>
    <w:basedOn w:val="a"/>
    <w:link w:val="Char0"/>
    <w:uiPriority w:val="99"/>
    <w:semiHidden/>
    <w:unhideWhenUsed/>
    <w:qFormat/>
    <w:rsid w:val="003E0D38"/>
    <w:rPr>
      <w:sz w:val="18"/>
      <w:szCs w:val="18"/>
    </w:rPr>
  </w:style>
  <w:style w:type="paragraph" w:styleId="a5">
    <w:name w:val="header"/>
    <w:basedOn w:val="a"/>
    <w:link w:val="Char1"/>
    <w:uiPriority w:val="99"/>
    <w:unhideWhenUsed/>
    <w:qFormat/>
    <w:rsid w:val="003E0D3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3E0D3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1"/>
    <w:qFormat/>
    <w:rsid w:val="003E0D38"/>
    <w:rPr>
      <w:b/>
    </w:rPr>
  </w:style>
  <w:style w:type="character" w:customStyle="1" w:styleId="Char1">
    <w:name w:val="页眉 Char"/>
    <w:basedOn w:val="a1"/>
    <w:link w:val="a5"/>
    <w:uiPriority w:val="99"/>
    <w:qFormat/>
    <w:rsid w:val="003E0D38"/>
    <w:rPr>
      <w:sz w:val="18"/>
      <w:szCs w:val="18"/>
    </w:rPr>
  </w:style>
  <w:style w:type="character" w:customStyle="1" w:styleId="Char">
    <w:name w:val="页脚 Char"/>
    <w:basedOn w:val="a1"/>
    <w:link w:val="a0"/>
    <w:uiPriority w:val="99"/>
    <w:qFormat/>
    <w:rsid w:val="003E0D38"/>
    <w:rPr>
      <w:sz w:val="18"/>
      <w:szCs w:val="18"/>
    </w:rPr>
  </w:style>
  <w:style w:type="paragraph" w:customStyle="1" w:styleId="Default">
    <w:name w:val="Default"/>
    <w:qFormat/>
    <w:rsid w:val="003E0D38"/>
    <w:pPr>
      <w:widowControl w:val="0"/>
      <w:autoSpaceDE w:val="0"/>
      <w:autoSpaceDN w:val="0"/>
      <w:adjustRightInd w:val="0"/>
    </w:pPr>
    <w:rPr>
      <w:rFonts w:ascii="黑体" w:eastAsia="黑体" w:hAnsiTheme="minorHAnsi" w:cs="黑体"/>
      <w:color w:val="000000"/>
      <w:sz w:val="24"/>
      <w:szCs w:val="24"/>
    </w:rPr>
  </w:style>
  <w:style w:type="paragraph" w:styleId="a8">
    <w:name w:val="List Paragraph"/>
    <w:basedOn w:val="a"/>
    <w:uiPriority w:val="34"/>
    <w:qFormat/>
    <w:rsid w:val="003E0D38"/>
    <w:pPr>
      <w:ind w:firstLineChars="200" w:firstLine="420"/>
    </w:pPr>
  </w:style>
  <w:style w:type="character" w:customStyle="1" w:styleId="Char0">
    <w:name w:val="批注框文本 Char"/>
    <w:basedOn w:val="a1"/>
    <w:link w:val="a4"/>
    <w:uiPriority w:val="99"/>
    <w:semiHidden/>
    <w:qFormat/>
    <w:rsid w:val="003E0D3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unhideWhenUsed/>
    <w:qFormat/>
    <w:pPr>
      <w:tabs>
        <w:tab w:val="center" w:pos="4153"/>
        <w:tab w:val="right" w:pos="8306"/>
      </w:tabs>
      <w:snapToGrid w:val="0"/>
      <w:jc w:val="left"/>
    </w:pPr>
    <w:rPr>
      <w:sz w:val="18"/>
      <w:szCs w:val="18"/>
    </w:rPr>
  </w:style>
  <w:style w:type="paragraph" w:styleId="a4">
    <w:name w:val="Balloon Text"/>
    <w:basedOn w:val="a"/>
    <w:link w:val="Char0"/>
    <w:uiPriority w:val="99"/>
    <w:semiHidden/>
    <w:unhideWhenUsed/>
    <w:qFormat/>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1"/>
    <w:qFormat/>
    <w:rPr>
      <w:b/>
    </w:rPr>
  </w:style>
  <w:style w:type="character" w:customStyle="1" w:styleId="Char1">
    <w:name w:val="页眉 Char"/>
    <w:basedOn w:val="a1"/>
    <w:link w:val="a5"/>
    <w:uiPriority w:val="99"/>
    <w:qFormat/>
    <w:rPr>
      <w:sz w:val="18"/>
      <w:szCs w:val="18"/>
    </w:rPr>
  </w:style>
  <w:style w:type="character" w:customStyle="1" w:styleId="Char">
    <w:name w:val="页脚 Char"/>
    <w:basedOn w:val="a1"/>
    <w:link w:val="a0"/>
    <w:uiPriority w:val="99"/>
    <w:qFormat/>
    <w:rPr>
      <w:sz w:val="18"/>
      <w:szCs w:val="18"/>
    </w:rPr>
  </w:style>
  <w:style w:type="paragraph" w:customStyle="1" w:styleId="Default">
    <w:name w:val="Default"/>
    <w:qFormat/>
    <w:pPr>
      <w:widowControl w:val="0"/>
      <w:autoSpaceDE w:val="0"/>
      <w:autoSpaceDN w:val="0"/>
      <w:adjustRightInd w:val="0"/>
    </w:pPr>
    <w:rPr>
      <w:rFonts w:ascii="黑体" w:eastAsia="黑体" w:hAnsiTheme="minorHAnsi" w:cs="黑体"/>
      <w:color w:val="000000"/>
      <w:sz w:val="24"/>
      <w:szCs w:val="24"/>
    </w:rPr>
  </w:style>
  <w:style w:type="paragraph" w:styleId="a8">
    <w:name w:val="List Paragraph"/>
    <w:basedOn w:val="a"/>
    <w:uiPriority w:val="34"/>
    <w:qFormat/>
    <w:pPr>
      <w:ind w:firstLineChars="200" w:firstLine="420"/>
    </w:pPr>
  </w:style>
  <w:style w:type="character" w:customStyle="1" w:styleId="Char0">
    <w:name w:val="批注框文本 Char"/>
    <w:basedOn w:val="a1"/>
    <w:link w:val="a4"/>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A1EC727-42F1-4E0D-9EDC-E9798035C1B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1394</Words>
  <Characters>7947</Characters>
  <Application>Microsoft Office Word</Application>
  <DocSecurity>0</DocSecurity>
  <Lines>66</Lines>
  <Paragraphs>18</Paragraphs>
  <ScaleCrop>false</ScaleCrop>
  <Company>Microsoft</Company>
  <LinksUpToDate>false</LinksUpToDate>
  <CharactersWithSpaces>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微软用户</cp:lastModifiedBy>
  <cp:revision>15</cp:revision>
  <cp:lastPrinted>2020-09-24T07:08:00Z</cp:lastPrinted>
  <dcterms:created xsi:type="dcterms:W3CDTF">2020-09-24T01:10:00Z</dcterms:created>
  <dcterms:modified xsi:type="dcterms:W3CDTF">2022-09-06T17:14:00Z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2BA495729C6B4049A0C27331973134A8</vt:lpwstr>
  </property>
</Properties>
</file>