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A2" w:rsidRDefault="00B113A2">
      <w:pPr>
        <w:pStyle w:val="Default"/>
        <w:jc w:val="center"/>
        <w:rPr>
          <w:sz w:val="56"/>
          <w:szCs w:val="56"/>
        </w:rPr>
      </w:pPr>
    </w:p>
    <w:p w:rsidR="00B113A2" w:rsidRDefault="00B113A2">
      <w:pPr>
        <w:pStyle w:val="Default"/>
        <w:jc w:val="center"/>
        <w:rPr>
          <w:sz w:val="56"/>
          <w:szCs w:val="56"/>
        </w:rPr>
      </w:pPr>
    </w:p>
    <w:p w:rsidR="00B113A2" w:rsidRDefault="00B113A2">
      <w:pPr>
        <w:pStyle w:val="Default"/>
        <w:jc w:val="center"/>
        <w:rPr>
          <w:sz w:val="84"/>
          <w:szCs w:val="84"/>
        </w:rPr>
      </w:pPr>
    </w:p>
    <w:p w:rsidR="00B113A2" w:rsidRDefault="00B113A2">
      <w:pPr>
        <w:pStyle w:val="Default"/>
        <w:jc w:val="center"/>
        <w:rPr>
          <w:sz w:val="84"/>
          <w:szCs w:val="84"/>
        </w:rPr>
      </w:pPr>
    </w:p>
    <w:p w:rsidR="00B113A2" w:rsidRDefault="004E39AB">
      <w:pPr>
        <w:pStyle w:val="Default"/>
        <w:jc w:val="center"/>
        <w:rPr>
          <w:sz w:val="84"/>
          <w:szCs w:val="84"/>
        </w:rPr>
      </w:pPr>
      <w:r>
        <w:rPr>
          <w:rFonts w:hint="eastAsia"/>
          <w:sz w:val="84"/>
          <w:szCs w:val="84"/>
        </w:rPr>
        <w:t>2020年度</w:t>
      </w:r>
    </w:p>
    <w:p w:rsidR="00B113A2" w:rsidRDefault="004E39AB">
      <w:pPr>
        <w:pStyle w:val="Default"/>
        <w:jc w:val="center"/>
        <w:rPr>
          <w:sz w:val="84"/>
          <w:szCs w:val="84"/>
        </w:rPr>
      </w:pPr>
      <w:r>
        <w:rPr>
          <w:rFonts w:hint="eastAsia"/>
          <w:sz w:val="84"/>
          <w:szCs w:val="84"/>
        </w:rPr>
        <w:t>洪山镇人民政府</w:t>
      </w:r>
    </w:p>
    <w:p w:rsidR="00B113A2" w:rsidRDefault="004E39AB">
      <w:pPr>
        <w:pStyle w:val="Default"/>
        <w:jc w:val="center"/>
        <w:rPr>
          <w:sz w:val="84"/>
          <w:szCs w:val="84"/>
        </w:rPr>
      </w:pPr>
      <w:r>
        <w:rPr>
          <w:rFonts w:hint="eastAsia"/>
          <w:sz w:val="84"/>
          <w:szCs w:val="84"/>
        </w:rPr>
        <w:t>部门决算</w:t>
      </w:r>
    </w:p>
    <w:p w:rsidR="00B113A2" w:rsidRDefault="00B113A2">
      <w:pPr>
        <w:pStyle w:val="Default"/>
        <w:jc w:val="center"/>
        <w:rPr>
          <w:sz w:val="56"/>
          <w:szCs w:val="56"/>
        </w:rPr>
      </w:pPr>
    </w:p>
    <w:p w:rsidR="00B113A2" w:rsidRDefault="00B113A2">
      <w:pPr>
        <w:pStyle w:val="Default"/>
        <w:jc w:val="center"/>
        <w:rPr>
          <w:sz w:val="56"/>
          <w:szCs w:val="56"/>
        </w:rPr>
      </w:pPr>
    </w:p>
    <w:p w:rsidR="00B113A2" w:rsidRDefault="00B113A2">
      <w:pPr>
        <w:pStyle w:val="Default"/>
        <w:jc w:val="center"/>
        <w:rPr>
          <w:sz w:val="56"/>
          <w:szCs w:val="56"/>
        </w:rPr>
      </w:pPr>
    </w:p>
    <w:p w:rsidR="00B113A2" w:rsidRDefault="00B113A2">
      <w:pPr>
        <w:pStyle w:val="Default"/>
        <w:jc w:val="center"/>
        <w:rPr>
          <w:sz w:val="56"/>
          <w:szCs w:val="56"/>
        </w:rPr>
      </w:pPr>
    </w:p>
    <w:p w:rsidR="00B113A2" w:rsidRDefault="00B113A2">
      <w:pPr>
        <w:pStyle w:val="Default"/>
        <w:jc w:val="center"/>
        <w:rPr>
          <w:sz w:val="56"/>
          <w:szCs w:val="56"/>
        </w:rPr>
      </w:pPr>
    </w:p>
    <w:p w:rsidR="00B113A2" w:rsidRDefault="00B113A2">
      <w:pPr>
        <w:pStyle w:val="Default"/>
        <w:spacing w:line="540" w:lineRule="exact"/>
        <w:jc w:val="center"/>
        <w:rPr>
          <w:sz w:val="56"/>
          <w:szCs w:val="56"/>
        </w:rPr>
      </w:pPr>
    </w:p>
    <w:p w:rsidR="00B113A2" w:rsidRDefault="00B113A2">
      <w:pPr>
        <w:pStyle w:val="Default"/>
        <w:spacing w:line="540" w:lineRule="exact"/>
        <w:jc w:val="center"/>
        <w:rPr>
          <w:sz w:val="56"/>
          <w:szCs w:val="56"/>
        </w:rPr>
      </w:pPr>
    </w:p>
    <w:p w:rsidR="00B113A2" w:rsidRDefault="00B113A2">
      <w:pPr>
        <w:pStyle w:val="Default"/>
        <w:spacing w:line="540" w:lineRule="exact"/>
        <w:jc w:val="center"/>
        <w:rPr>
          <w:sz w:val="56"/>
          <w:szCs w:val="56"/>
        </w:rPr>
      </w:pPr>
    </w:p>
    <w:p w:rsidR="00B113A2" w:rsidRDefault="00B113A2">
      <w:pPr>
        <w:pStyle w:val="Default"/>
        <w:spacing w:line="540" w:lineRule="exact"/>
        <w:jc w:val="center"/>
        <w:rPr>
          <w:sz w:val="56"/>
          <w:szCs w:val="56"/>
        </w:rPr>
      </w:pPr>
    </w:p>
    <w:p w:rsidR="00B113A2" w:rsidRDefault="00B113A2">
      <w:pPr>
        <w:pStyle w:val="Default"/>
        <w:spacing w:line="540" w:lineRule="exact"/>
        <w:jc w:val="center"/>
        <w:rPr>
          <w:sz w:val="56"/>
          <w:szCs w:val="56"/>
        </w:rPr>
      </w:pPr>
    </w:p>
    <w:p w:rsidR="00B113A2" w:rsidRDefault="004E39AB">
      <w:pPr>
        <w:pStyle w:val="Default"/>
        <w:spacing w:line="520" w:lineRule="exact"/>
        <w:jc w:val="center"/>
        <w:rPr>
          <w:sz w:val="56"/>
          <w:szCs w:val="56"/>
        </w:rPr>
      </w:pPr>
      <w:r>
        <w:rPr>
          <w:rFonts w:hint="eastAsia"/>
          <w:sz w:val="56"/>
          <w:szCs w:val="56"/>
        </w:rPr>
        <w:t>目录</w:t>
      </w:r>
    </w:p>
    <w:p w:rsidR="00B113A2" w:rsidRDefault="00B113A2">
      <w:pPr>
        <w:pStyle w:val="Default"/>
        <w:spacing w:line="520" w:lineRule="exact"/>
        <w:jc w:val="center"/>
        <w:rPr>
          <w:sz w:val="56"/>
          <w:szCs w:val="56"/>
        </w:rPr>
      </w:pPr>
    </w:p>
    <w:p w:rsidR="00B113A2" w:rsidRDefault="00B113A2">
      <w:pPr>
        <w:pStyle w:val="Default"/>
        <w:spacing w:line="520" w:lineRule="exact"/>
        <w:jc w:val="center"/>
        <w:rPr>
          <w:sz w:val="56"/>
          <w:szCs w:val="56"/>
        </w:rPr>
      </w:pPr>
    </w:p>
    <w:p w:rsidR="00B113A2" w:rsidRDefault="004E39AB">
      <w:pPr>
        <w:pStyle w:val="Default"/>
        <w:spacing w:line="520" w:lineRule="exact"/>
        <w:rPr>
          <w:rFonts w:ascii="仿宋_GB2312" w:hAnsi="仿宋_GB2312" w:cs="仿宋_GB2312"/>
          <w:b/>
          <w:sz w:val="28"/>
          <w:szCs w:val="28"/>
        </w:rPr>
      </w:pPr>
      <w:r>
        <w:rPr>
          <w:rFonts w:hint="eastAsia"/>
          <w:b/>
          <w:sz w:val="28"/>
          <w:szCs w:val="28"/>
        </w:rPr>
        <w:t>第一部分洪山镇人民政府概况</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113A2" w:rsidRDefault="004E39AB">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B113A2" w:rsidRDefault="004E39AB">
      <w:pPr>
        <w:pStyle w:val="Default"/>
        <w:spacing w:line="520" w:lineRule="exact"/>
        <w:rPr>
          <w:rFonts w:ascii="仿宋_GB2312" w:hAnsi="仿宋_GB2312" w:cs="仿宋_GB2312"/>
          <w:b/>
          <w:sz w:val="28"/>
          <w:szCs w:val="28"/>
        </w:rPr>
      </w:pPr>
      <w:r>
        <w:rPr>
          <w:rFonts w:hAnsi="仿宋_GB2312" w:hint="eastAsia"/>
          <w:b/>
          <w:sz w:val="28"/>
          <w:szCs w:val="28"/>
        </w:rPr>
        <w:t>第三部分2020年度部门决算情况说明</w:t>
      </w:r>
    </w:p>
    <w:p w:rsidR="00B113A2" w:rsidRDefault="004E39A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113A2" w:rsidRDefault="004E39AB">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九、机关运行经费支出说明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一般性支出情况说明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B113A2" w:rsidRDefault="00B113A2">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十二、关于国有资产占用情况说明</w:t>
      </w:r>
    </w:p>
    <w:p w:rsidR="00B113A2" w:rsidRDefault="004E39A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十三、关于</w:t>
      </w:r>
      <w:r>
        <w:rPr>
          <w:rFonts w:ascii="仿宋_GB2312" w:hAnsi="仿宋_GB2312" w:cs="仿宋_GB2312" w:hint="eastAsia"/>
          <w:color w:val="000000"/>
          <w:kern w:val="0"/>
          <w:sz w:val="28"/>
          <w:szCs w:val="28"/>
        </w:rPr>
        <w:t>2020</w:t>
      </w:r>
      <w:r>
        <w:rPr>
          <w:rFonts w:ascii="仿宋_GB2312" w:hAnsi="仿宋_GB2312" w:cs="仿宋_GB2312" w:hint="eastAsia"/>
          <w:color w:val="000000"/>
          <w:kern w:val="0"/>
          <w:sz w:val="28"/>
          <w:szCs w:val="28"/>
        </w:rPr>
        <w:t>年度</w:t>
      </w:r>
      <w:r>
        <w:rPr>
          <w:rFonts w:ascii="仿宋_GB2312" w:hAnsi="仿宋_GB2312" w:cs="仿宋_GB2312"/>
          <w:color w:val="000000"/>
          <w:kern w:val="0"/>
          <w:sz w:val="28"/>
          <w:szCs w:val="28"/>
        </w:rPr>
        <w:t>预算绩效情况说明</w:t>
      </w:r>
    </w:p>
    <w:p w:rsidR="00B113A2" w:rsidRDefault="004E39AB">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B113A2" w:rsidRDefault="004E39AB">
      <w:pPr>
        <w:spacing w:line="52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第五部分附件</w:t>
      </w: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rPr>
          <w:rFonts w:ascii="黑体" w:eastAsia="黑体" w:hAnsi="黑体" w:cs="黑体"/>
          <w:b/>
          <w:color w:val="000000"/>
          <w:kern w:val="0"/>
          <w:sz w:val="28"/>
          <w:szCs w:val="28"/>
        </w:rPr>
      </w:pPr>
    </w:p>
    <w:p w:rsidR="00B113A2" w:rsidRDefault="00B113A2">
      <w:pPr>
        <w:pStyle w:val="a0"/>
        <w:jc w:val="center"/>
        <w:rPr>
          <w:sz w:val="72"/>
          <w:szCs w:val="72"/>
        </w:rPr>
      </w:pPr>
    </w:p>
    <w:p w:rsidR="00B113A2" w:rsidRDefault="00B113A2">
      <w:pPr>
        <w:pStyle w:val="a0"/>
        <w:jc w:val="center"/>
        <w:rPr>
          <w:sz w:val="72"/>
          <w:szCs w:val="72"/>
        </w:rPr>
      </w:pPr>
    </w:p>
    <w:p w:rsidR="00B113A2" w:rsidRDefault="00B113A2">
      <w:pPr>
        <w:pStyle w:val="a0"/>
        <w:jc w:val="center"/>
        <w:rPr>
          <w:sz w:val="72"/>
          <w:szCs w:val="72"/>
        </w:rPr>
      </w:pPr>
    </w:p>
    <w:p w:rsidR="00B113A2" w:rsidRDefault="00B113A2">
      <w:pPr>
        <w:pStyle w:val="a0"/>
        <w:jc w:val="center"/>
        <w:rPr>
          <w:sz w:val="72"/>
          <w:szCs w:val="72"/>
        </w:rPr>
      </w:pPr>
    </w:p>
    <w:p w:rsidR="00B113A2" w:rsidRDefault="00B113A2">
      <w:pPr>
        <w:pStyle w:val="a0"/>
        <w:jc w:val="center"/>
        <w:rPr>
          <w:sz w:val="72"/>
          <w:szCs w:val="72"/>
        </w:rPr>
      </w:pPr>
    </w:p>
    <w:p w:rsidR="00B113A2" w:rsidRDefault="00B113A2">
      <w:pPr>
        <w:pStyle w:val="a0"/>
        <w:jc w:val="center"/>
        <w:rPr>
          <w:sz w:val="72"/>
          <w:szCs w:val="72"/>
        </w:rPr>
      </w:pPr>
    </w:p>
    <w:p w:rsidR="00B113A2" w:rsidRDefault="00B113A2">
      <w:pPr>
        <w:pStyle w:val="a0"/>
        <w:jc w:val="center"/>
        <w:rPr>
          <w:sz w:val="72"/>
          <w:szCs w:val="72"/>
        </w:rPr>
      </w:pPr>
    </w:p>
    <w:p w:rsidR="00B113A2" w:rsidRDefault="004E39AB">
      <w:pPr>
        <w:pStyle w:val="a0"/>
        <w:jc w:val="center"/>
        <w:rPr>
          <w:sz w:val="72"/>
          <w:szCs w:val="72"/>
        </w:rPr>
      </w:pPr>
      <w:r>
        <w:rPr>
          <w:rFonts w:hint="eastAsia"/>
          <w:sz w:val="72"/>
          <w:szCs w:val="72"/>
        </w:rPr>
        <w:t>第一部分</w:t>
      </w:r>
    </w:p>
    <w:p w:rsidR="00B113A2" w:rsidRDefault="00B113A2">
      <w:pPr>
        <w:pStyle w:val="a0"/>
        <w:jc w:val="center"/>
        <w:rPr>
          <w:sz w:val="72"/>
          <w:szCs w:val="72"/>
        </w:rPr>
      </w:pPr>
    </w:p>
    <w:p w:rsidR="00B113A2" w:rsidRDefault="004E39AB">
      <w:pPr>
        <w:pStyle w:val="a0"/>
        <w:jc w:val="center"/>
        <w:rPr>
          <w:sz w:val="72"/>
          <w:szCs w:val="72"/>
        </w:rPr>
      </w:pPr>
      <w:r>
        <w:rPr>
          <w:rFonts w:hint="eastAsia"/>
          <w:sz w:val="72"/>
          <w:szCs w:val="72"/>
        </w:rPr>
        <w:t>洪山镇人民政府概况</w:t>
      </w:r>
    </w:p>
    <w:p w:rsidR="00B113A2" w:rsidRDefault="00B113A2">
      <w:pPr>
        <w:pStyle w:val="Default"/>
        <w:jc w:val="center"/>
        <w:rPr>
          <w:sz w:val="84"/>
          <w:szCs w:val="84"/>
        </w:rPr>
      </w:pPr>
    </w:p>
    <w:p w:rsidR="00B113A2" w:rsidRDefault="00B113A2">
      <w:pPr>
        <w:pStyle w:val="Default"/>
        <w:jc w:val="center"/>
        <w:rPr>
          <w:sz w:val="84"/>
          <w:szCs w:val="84"/>
        </w:rPr>
      </w:pPr>
    </w:p>
    <w:p w:rsidR="00B113A2" w:rsidRDefault="00B113A2">
      <w:pPr>
        <w:pStyle w:val="Default"/>
        <w:jc w:val="center"/>
        <w:rPr>
          <w:sz w:val="84"/>
          <w:szCs w:val="84"/>
        </w:rPr>
      </w:pPr>
    </w:p>
    <w:p w:rsidR="00B113A2" w:rsidRDefault="00B113A2">
      <w:pPr>
        <w:pStyle w:val="Default"/>
        <w:jc w:val="center"/>
        <w:rPr>
          <w:sz w:val="84"/>
          <w:szCs w:val="84"/>
        </w:rPr>
      </w:pPr>
    </w:p>
    <w:p w:rsidR="00B113A2" w:rsidRDefault="00B113A2">
      <w:pPr>
        <w:pStyle w:val="Default"/>
        <w:jc w:val="both"/>
        <w:rPr>
          <w:sz w:val="84"/>
          <w:szCs w:val="84"/>
        </w:rPr>
      </w:pPr>
    </w:p>
    <w:p w:rsidR="00B113A2" w:rsidRDefault="004E39AB">
      <w:pPr>
        <w:pStyle w:val="a7"/>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1、负责党的路线、方针、政策和国家法律、法规在本行政区域内的宣传、贯彻、落实。加强基层党组织和政权建设，为本地区经济的发展和社会稳定提供政治、社会环境和组织保证。</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2、负责制定本行政区域内经济建设和各项社会事业发展的规划，并组织实施。依法管理经济和社会事务，促进本乡镇两个文明建设。负责本行政区域内的民主与法制建设工作，维护和保障公民的各项合法权利。</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3、负责本乡镇党委、人大主席团、人民政府、政协联络工委、纪律检查委员会、人民武装及共青团、妇联等群团组织的日常工作。</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4、负责制定本行政区域内的国有资产管理规章制度，组织实施和监督检查，会同有关部门管理好区域内的国有资产。</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5、会同有关部门管理本行政区域内的财政社会保障和就业及医疗卫生支出，组织实施基本建设财务制度，负责农村综合改革工作。</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6、贯彻执行政府内外债务管理的政策、制度和办法，防范财政风险。</w:t>
      </w:r>
    </w:p>
    <w:p w:rsidR="00B113A2" w:rsidRDefault="004E39AB">
      <w:pPr>
        <w:ind w:firstLineChars="200" w:firstLine="640"/>
        <w:jc w:val="left"/>
        <w:rPr>
          <w:rFonts w:asciiTheme="minorEastAsia" w:hAnsiTheme="minorEastAsia"/>
          <w:sz w:val="32"/>
          <w:szCs w:val="32"/>
        </w:rPr>
      </w:pPr>
      <w:r>
        <w:rPr>
          <w:rFonts w:asciiTheme="minorEastAsia" w:hAnsiTheme="minorEastAsia" w:hint="eastAsia"/>
          <w:sz w:val="32"/>
          <w:szCs w:val="32"/>
        </w:rPr>
        <w:t>7、监督检查财税法规、政策的执行情况，反映财政收支管理中的重大问题，提出加强财政管理的政策和建议。</w:t>
      </w:r>
    </w:p>
    <w:p w:rsidR="00B113A2" w:rsidRDefault="004E39AB">
      <w:pPr>
        <w:ind w:firstLineChars="200" w:firstLine="640"/>
        <w:jc w:val="left"/>
        <w:rPr>
          <w:rFonts w:ascii="仿宋_GB2312" w:eastAsia="仿宋_GB2312" w:hAnsiTheme="minorEastAsia"/>
          <w:sz w:val="28"/>
          <w:szCs w:val="32"/>
        </w:rPr>
      </w:pPr>
      <w:r>
        <w:rPr>
          <w:rFonts w:asciiTheme="minorEastAsia" w:hAnsiTheme="minorEastAsia" w:hint="eastAsia"/>
          <w:sz w:val="32"/>
          <w:szCs w:val="32"/>
        </w:rPr>
        <w:t>8、负责完成上级机关交办的其他工作任务。</w:t>
      </w:r>
    </w:p>
    <w:p w:rsidR="00B113A2" w:rsidRDefault="004E39AB">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B113A2" w:rsidRDefault="004E39AB">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（一）内设机构设置。洪山镇为独立的行政单位，属于一级预算单位，根据编委核定，本单位内设机构：党政办公室、党建办公室、经济发展办公室、社会治安和应急管理办公室、自然资源和生态环</w:t>
      </w:r>
      <w:r>
        <w:rPr>
          <w:rFonts w:asciiTheme="minorEastAsia" w:hAnsiTheme="minorEastAsia" w:hint="eastAsia"/>
          <w:bCs/>
          <w:kern w:val="0"/>
          <w:sz w:val="32"/>
          <w:szCs w:val="32"/>
        </w:rPr>
        <w:lastRenderedPageBreak/>
        <w:t>境办公室，社会事务办公室。另设三中心</w:t>
      </w:r>
      <w:proofErr w:type="gramStart"/>
      <w:r>
        <w:rPr>
          <w:rFonts w:asciiTheme="minorEastAsia" w:hAnsiTheme="minorEastAsia" w:hint="eastAsia"/>
          <w:bCs/>
          <w:kern w:val="0"/>
          <w:sz w:val="32"/>
          <w:szCs w:val="32"/>
        </w:rPr>
        <w:t>一</w:t>
      </w:r>
      <w:proofErr w:type="gramEnd"/>
      <w:r>
        <w:rPr>
          <w:rFonts w:asciiTheme="minorEastAsia" w:hAnsiTheme="minorEastAsia" w:hint="eastAsia"/>
          <w:bCs/>
          <w:kern w:val="0"/>
          <w:sz w:val="32"/>
          <w:szCs w:val="32"/>
        </w:rPr>
        <w:t>大队：社会事务综合服务中心、农业综合服务中心、政务服务中心和综合行政执法大队。</w:t>
      </w:r>
    </w:p>
    <w:p w:rsidR="00B113A2" w:rsidRDefault="004E39AB">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（二）决算单位构成。洪山镇2020年部门决算公开单位为镇政府本级。</w:t>
      </w:r>
    </w:p>
    <w:p w:rsidR="00B113A2" w:rsidRDefault="00B113A2">
      <w:pPr>
        <w:widowControl/>
        <w:spacing w:line="600" w:lineRule="exact"/>
        <w:rPr>
          <w:rFonts w:asciiTheme="minorEastAsia" w:hAnsiTheme="minorEastAsia"/>
          <w:bCs/>
          <w:kern w:val="0"/>
          <w:sz w:val="28"/>
          <w:szCs w:val="28"/>
        </w:rPr>
      </w:pPr>
    </w:p>
    <w:p w:rsidR="00B113A2" w:rsidRDefault="00B113A2">
      <w:pPr>
        <w:jc w:val="left"/>
        <w:rPr>
          <w:rFonts w:ascii="仿宋_GB2312" w:eastAsia="仿宋_GB2312" w:hAnsiTheme="minorEastAsia"/>
          <w:sz w:val="28"/>
          <w:szCs w:val="32"/>
        </w:rPr>
      </w:pPr>
    </w:p>
    <w:p w:rsidR="00B113A2" w:rsidRDefault="00B113A2">
      <w:pPr>
        <w:jc w:val="center"/>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jc w:val="center"/>
        <w:rPr>
          <w:sz w:val="72"/>
          <w:szCs w:val="72"/>
        </w:rPr>
      </w:pPr>
    </w:p>
    <w:p w:rsidR="00B113A2" w:rsidRDefault="00B113A2">
      <w:pPr>
        <w:jc w:val="center"/>
        <w:rPr>
          <w:sz w:val="72"/>
          <w:szCs w:val="72"/>
        </w:rPr>
      </w:pPr>
    </w:p>
    <w:p w:rsidR="00B113A2" w:rsidRDefault="00B113A2">
      <w:pPr>
        <w:jc w:val="center"/>
        <w:rPr>
          <w:sz w:val="72"/>
          <w:szCs w:val="72"/>
        </w:rPr>
      </w:pPr>
    </w:p>
    <w:p w:rsidR="00B113A2" w:rsidRDefault="00B113A2">
      <w:pPr>
        <w:jc w:val="center"/>
        <w:rPr>
          <w:sz w:val="72"/>
          <w:szCs w:val="72"/>
        </w:rPr>
      </w:pPr>
    </w:p>
    <w:p w:rsidR="00B113A2" w:rsidRDefault="00B113A2">
      <w:pPr>
        <w:jc w:val="center"/>
        <w:rPr>
          <w:sz w:val="72"/>
          <w:szCs w:val="72"/>
        </w:rPr>
      </w:pPr>
    </w:p>
    <w:p w:rsidR="00B113A2" w:rsidRDefault="00B113A2">
      <w:pPr>
        <w:jc w:val="center"/>
        <w:rPr>
          <w:sz w:val="72"/>
          <w:szCs w:val="72"/>
        </w:rPr>
      </w:pPr>
    </w:p>
    <w:p w:rsidR="00B113A2" w:rsidRDefault="004E39AB">
      <w:pPr>
        <w:jc w:val="center"/>
        <w:rPr>
          <w:sz w:val="72"/>
          <w:szCs w:val="72"/>
        </w:rPr>
      </w:pPr>
      <w:r>
        <w:rPr>
          <w:rFonts w:hint="eastAsia"/>
          <w:sz w:val="72"/>
          <w:szCs w:val="72"/>
        </w:rPr>
        <w:t>第二部分</w:t>
      </w:r>
    </w:p>
    <w:p w:rsidR="00B113A2" w:rsidRDefault="00B113A2">
      <w:pPr>
        <w:jc w:val="center"/>
        <w:rPr>
          <w:sz w:val="72"/>
          <w:szCs w:val="72"/>
        </w:rPr>
      </w:pPr>
    </w:p>
    <w:p w:rsidR="00B113A2" w:rsidRDefault="004E39AB">
      <w:pPr>
        <w:jc w:val="center"/>
        <w:rPr>
          <w:sz w:val="72"/>
          <w:szCs w:val="72"/>
        </w:rPr>
      </w:pPr>
      <w:r>
        <w:rPr>
          <w:rFonts w:hint="eastAsia"/>
          <w:sz w:val="72"/>
          <w:szCs w:val="72"/>
        </w:rPr>
        <w:t>部门决算表</w:t>
      </w:r>
    </w:p>
    <w:p w:rsidR="00B113A2" w:rsidRDefault="00B113A2">
      <w:pPr>
        <w:jc w:val="center"/>
        <w:rPr>
          <w:sz w:val="72"/>
          <w:szCs w:val="72"/>
        </w:rPr>
      </w:pPr>
    </w:p>
    <w:p w:rsidR="00B113A2" w:rsidRDefault="004E39AB">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B113A2" w:rsidRDefault="00B113A2">
      <w:pPr>
        <w:jc w:val="center"/>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pStyle w:val="a0"/>
        <w:rPr>
          <w:sz w:val="72"/>
          <w:szCs w:val="72"/>
        </w:rPr>
      </w:pPr>
    </w:p>
    <w:p w:rsidR="00B113A2" w:rsidRDefault="00B113A2">
      <w:pPr>
        <w:jc w:val="center"/>
        <w:rPr>
          <w:sz w:val="72"/>
          <w:szCs w:val="72"/>
        </w:rPr>
      </w:pPr>
    </w:p>
    <w:p w:rsidR="00B113A2" w:rsidRDefault="00B113A2">
      <w:pPr>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jc w:val="center"/>
        <w:rPr>
          <w:sz w:val="72"/>
          <w:szCs w:val="72"/>
        </w:rPr>
      </w:pPr>
    </w:p>
    <w:p w:rsidR="00B113A2" w:rsidRDefault="004E39AB">
      <w:pPr>
        <w:jc w:val="center"/>
        <w:rPr>
          <w:sz w:val="72"/>
          <w:szCs w:val="72"/>
        </w:rPr>
      </w:pPr>
      <w:r>
        <w:rPr>
          <w:rFonts w:hint="eastAsia"/>
          <w:sz w:val="72"/>
          <w:szCs w:val="72"/>
        </w:rPr>
        <w:t>第三部分</w:t>
      </w:r>
    </w:p>
    <w:p w:rsidR="00B113A2" w:rsidRDefault="00B113A2">
      <w:pPr>
        <w:jc w:val="center"/>
        <w:rPr>
          <w:sz w:val="72"/>
          <w:szCs w:val="72"/>
        </w:rPr>
      </w:pPr>
    </w:p>
    <w:p w:rsidR="00B113A2" w:rsidRDefault="004E39AB">
      <w:pPr>
        <w:jc w:val="center"/>
        <w:rPr>
          <w:sz w:val="72"/>
          <w:szCs w:val="72"/>
        </w:rPr>
      </w:pPr>
      <w:r>
        <w:rPr>
          <w:rFonts w:hint="eastAsia"/>
          <w:sz w:val="72"/>
          <w:szCs w:val="72"/>
        </w:rPr>
        <w:t>2020</w:t>
      </w:r>
      <w:r>
        <w:rPr>
          <w:rFonts w:hint="eastAsia"/>
          <w:sz w:val="72"/>
          <w:szCs w:val="72"/>
        </w:rPr>
        <w:t>年度部门决算情况说明</w:t>
      </w:r>
    </w:p>
    <w:p w:rsidR="00B113A2" w:rsidRDefault="004E39AB">
      <w:pPr>
        <w:widowControl/>
        <w:jc w:val="left"/>
        <w:rPr>
          <w:rFonts w:ascii="黑体" w:eastAsia="黑体" w:cs="黑体"/>
          <w:color w:val="000000"/>
          <w:kern w:val="0"/>
          <w:sz w:val="70"/>
          <w:szCs w:val="70"/>
        </w:rPr>
      </w:pPr>
      <w:r>
        <w:rPr>
          <w:sz w:val="70"/>
          <w:szCs w:val="70"/>
        </w:rPr>
        <w:br w:type="page"/>
      </w:r>
    </w:p>
    <w:p w:rsidR="00B113A2" w:rsidRDefault="00B113A2">
      <w:pPr>
        <w:pStyle w:val="Default"/>
        <w:rPr>
          <w:rFonts w:hAnsi="黑体"/>
          <w:b/>
          <w:sz w:val="32"/>
          <w:szCs w:val="32"/>
        </w:rPr>
      </w:pPr>
    </w:p>
    <w:p w:rsidR="00B113A2" w:rsidRDefault="004E39AB">
      <w:pPr>
        <w:pStyle w:val="Default"/>
        <w:rPr>
          <w:rFonts w:hAnsi="黑体"/>
          <w:b/>
          <w:sz w:val="32"/>
          <w:szCs w:val="32"/>
        </w:rPr>
      </w:pPr>
      <w:r>
        <w:rPr>
          <w:rFonts w:hAnsi="黑体" w:hint="eastAsia"/>
          <w:b/>
          <w:sz w:val="32"/>
          <w:szCs w:val="32"/>
        </w:rPr>
        <w:t>一、收入支出决算总体情况说明</w:t>
      </w:r>
    </w:p>
    <w:p w:rsidR="00B113A2" w:rsidRDefault="004E39AB">
      <w:pPr>
        <w:spacing w:line="520" w:lineRule="exact"/>
        <w:ind w:firstLine="640"/>
        <w:rPr>
          <w:rFonts w:asciiTheme="minorEastAsia" w:hAnsiTheme="minorEastAsia"/>
          <w:sz w:val="32"/>
          <w:szCs w:val="32"/>
        </w:rPr>
      </w:pPr>
      <w:r>
        <w:rPr>
          <w:rFonts w:asciiTheme="minorEastAsia" w:hAnsiTheme="minorEastAsia" w:hint="eastAsia"/>
          <w:sz w:val="32"/>
          <w:szCs w:val="32"/>
        </w:rPr>
        <w:t>2020年度收、支总计1482.59万元。与2019年相比，增加47.17万元，增加3.2</w:t>
      </w:r>
      <w:r>
        <w:rPr>
          <w:rFonts w:asciiTheme="minorEastAsia" w:hAnsiTheme="minorEastAsia" w:hint="eastAsia"/>
          <w:sz w:val="32"/>
          <w:szCs w:val="32"/>
          <w:lang w:val="zh-CN"/>
        </w:rPr>
        <w:t>%</w:t>
      </w:r>
      <w:r>
        <w:rPr>
          <w:rFonts w:asciiTheme="minorEastAsia" w:hAnsiTheme="minorEastAsia" w:hint="eastAsia"/>
          <w:sz w:val="32"/>
          <w:szCs w:val="32"/>
        </w:rPr>
        <w:t>，主要是因为：与2019年相比，一般公共服务支出减少205.81万元，公共安全支出减少2万元，社会保障和就业支出增加5.52元，卫生健康支出增加2.28万元，城乡社区支出增加138.6万元，农林水支出增加33.2万元，交通运输支出增加2万元，住房保障支出减少13.67万元，抗</w:t>
      </w:r>
      <w:proofErr w:type="gramStart"/>
      <w:r>
        <w:rPr>
          <w:rFonts w:asciiTheme="minorEastAsia" w:hAnsiTheme="minorEastAsia" w:hint="eastAsia"/>
          <w:sz w:val="32"/>
          <w:szCs w:val="32"/>
        </w:rPr>
        <w:t>疫</w:t>
      </w:r>
      <w:proofErr w:type="gramEnd"/>
      <w:r>
        <w:rPr>
          <w:rFonts w:asciiTheme="minorEastAsia" w:hAnsiTheme="minorEastAsia" w:hint="eastAsia"/>
          <w:sz w:val="32"/>
          <w:szCs w:val="32"/>
        </w:rPr>
        <w:t>特别国债安排的支出增加78.94万元。</w:t>
      </w:r>
    </w:p>
    <w:p w:rsidR="00B113A2" w:rsidRDefault="004E39AB">
      <w:pPr>
        <w:pStyle w:val="Default"/>
        <w:rPr>
          <w:rFonts w:hAnsi="黑体"/>
          <w:b/>
          <w:sz w:val="32"/>
          <w:szCs w:val="32"/>
        </w:rPr>
      </w:pPr>
      <w:r>
        <w:rPr>
          <w:rFonts w:hAnsi="黑体" w:hint="eastAsia"/>
          <w:b/>
          <w:sz w:val="32"/>
          <w:szCs w:val="32"/>
        </w:rPr>
        <w:t>二、收入决算情况说明</w:t>
      </w:r>
    </w:p>
    <w:p w:rsidR="00B113A2" w:rsidRDefault="004E39AB">
      <w:pPr>
        <w:spacing w:line="520" w:lineRule="exact"/>
        <w:ind w:firstLine="640"/>
        <w:rPr>
          <w:rFonts w:asciiTheme="minorEastAsia" w:hAnsiTheme="minorEastAsia"/>
          <w:sz w:val="32"/>
          <w:szCs w:val="32"/>
        </w:rPr>
      </w:pPr>
      <w:r>
        <w:rPr>
          <w:rFonts w:asciiTheme="minorEastAsia" w:hAnsiTheme="minorEastAsia" w:hint="eastAsia"/>
          <w:sz w:val="32"/>
          <w:szCs w:val="32"/>
        </w:rPr>
        <w:t>本年收入合计1482.59万元，其中：财政拨款收入1265.05万元，占85.33%；政府性基金预算财政拨款收入217.54万元，占14.67%，上级补助收入0万元，占0%；事业收入0万元，占0%；经营收入0万元，占0%；附属单位上缴收入0万元，占0%；其他收入0万元，占0%。</w:t>
      </w:r>
    </w:p>
    <w:p w:rsidR="00B113A2" w:rsidRDefault="004E39AB">
      <w:pPr>
        <w:pStyle w:val="Default"/>
        <w:rPr>
          <w:rFonts w:hAnsi="黑体"/>
          <w:b/>
          <w:sz w:val="32"/>
          <w:szCs w:val="32"/>
        </w:rPr>
      </w:pPr>
      <w:r>
        <w:rPr>
          <w:rFonts w:hAnsi="黑体" w:hint="eastAsia"/>
          <w:b/>
          <w:sz w:val="32"/>
          <w:szCs w:val="32"/>
        </w:rPr>
        <w:t>三、支出决算情况说明</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color w:val="auto"/>
          <w:sz w:val="32"/>
          <w:szCs w:val="32"/>
        </w:rPr>
        <w:t>本年支出合计</w:t>
      </w:r>
      <w:r>
        <w:rPr>
          <w:rFonts w:asciiTheme="minorEastAsia" w:eastAsiaTheme="minorEastAsia" w:hAnsiTheme="minorEastAsia" w:cstheme="minorBidi" w:hint="eastAsia"/>
          <w:color w:val="auto"/>
          <w:kern w:val="2"/>
          <w:sz w:val="32"/>
          <w:szCs w:val="32"/>
        </w:rPr>
        <w:t>1482.59万</w:t>
      </w:r>
      <w:r>
        <w:rPr>
          <w:rFonts w:asciiTheme="minorEastAsia" w:eastAsiaTheme="minorEastAsia" w:hAnsiTheme="minorEastAsia" w:hint="eastAsia"/>
          <w:color w:val="auto"/>
          <w:sz w:val="32"/>
          <w:szCs w:val="32"/>
        </w:rPr>
        <w:t>元，其中：基本支出431.2万元，占29.08%；项目支出1051.39元，占70.92%；上缴上级支出0万元，占0%；经营支出0万元，占0%；对附属单位补助支出0万元，占0%。</w:t>
      </w:r>
    </w:p>
    <w:p w:rsidR="00B113A2" w:rsidRDefault="004E39AB">
      <w:pPr>
        <w:pStyle w:val="Default"/>
        <w:rPr>
          <w:rFonts w:hAnsi="黑体"/>
          <w:b/>
          <w:sz w:val="32"/>
          <w:szCs w:val="32"/>
        </w:rPr>
      </w:pPr>
      <w:r>
        <w:rPr>
          <w:rFonts w:hAnsi="黑体" w:hint="eastAsia"/>
          <w:b/>
          <w:sz w:val="32"/>
          <w:szCs w:val="32"/>
        </w:rPr>
        <w:t>四、财政拨款收入支出决算总体情况说明</w:t>
      </w:r>
    </w:p>
    <w:p w:rsidR="00B113A2" w:rsidRDefault="004E39AB">
      <w:pPr>
        <w:pStyle w:val="a6"/>
        <w:shd w:val="clear" w:color="auto" w:fill="FFFFFF"/>
        <w:spacing w:before="0" w:beforeAutospacing="0" w:after="0" w:afterAutospacing="0"/>
        <w:ind w:firstLineChars="200" w:firstLine="640"/>
        <w:rPr>
          <w:rFonts w:asciiTheme="minorEastAsia" w:eastAsiaTheme="minorEastAsia" w:hAnsiTheme="minorEastAsia" w:cs="黑体"/>
          <w:sz w:val="32"/>
          <w:szCs w:val="32"/>
        </w:rPr>
      </w:pPr>
      <w:r>
        <w:rPr>
          <w:rFonts w:asciiTheme="minorEastAsia" w:eastAsiaTheme="minorEastAsia" w:hAnsiTheme="minorEastAsia" w:hint="eastAsia"/>
          <w:sz w:val="32"/>
          <w:szCs w:val="32"/>
        </w:rPr>
        <w:t>2020年度收、支总计1482.59万元。与2019年相比，增加47.17万元，增加3.2%，主要是因为：</w:t>
      </w:r>
      <w:r>
        <w:rPr>
          <w:rFonts w:asciiTheme="minorEastAsia" w:eastAsiaTheme="minorEastAsia" w:hAnsiTheme="minorEastAsia" w:cs="黑体" w:hint="eastAsia"/>
          <w:sz w:val="32"/>
          <w:szCs w:val="32"/>
        </w:rPr>
        <w:t>一般公共服务支出减少205.81万元，公共安全支出减少2万元，社会保障和就业支出增加5.52元，卫生健康支出增加2.28万元，城乡社区支出增加138.6万元，农林水支出增加33.2万元，交通运输支出增加2万元，住房保障支出减少13.67万元，抗</w:t>
      </w:r>
      <w:proofErr w:type="gramStart"/>
      <w:r>
        <w:rPr>
          <w:rFonts w:asciiTheme="minorEastAsia" w:eastAsiaTheme="minorEastAsia" w:hAnsiTheme="minorEastAsia" w:cs="黑体" w:hint="eastAsia"/>
          <w:sz w:val="32"/>
          <w:szCs w:val="32"/>
        </w:rPr>
        <w:t>疫</w:t>
      </w:r>
      <w:proofErr w:type="gramEnd"/>
      <w:r>
        <w:rPr>
          <w:rFonts w:asciiTheme="minorEastAsia" w:eastAsiaTheme="minorEastAsia" w:hAnsiTheme="minorEastAsia" w:cs="黑体" w:hint="eastAsia"/>
          <w:sz w:val="32"/>
          <w:szCs w:val="32"/>
        </w:rPr>
        <w:t>特别国债安排的支出增加78.94万元。</w:t>
      </w:r>
    </w:p>
    <w:p w:rsidR="00B113A2" w:rsidRDefault="004E39AB">
      <w:pPr>
        <w:pStyle w:val="Default"/>
        <w:rPr>
          <w:rFonts w:hAnsi="黑体"/>
          <w:b/>
          <w:sz w:val="32"/>
          <w:szCs w:val="32"/>
        </w:rPr>
      </w:pPr>
      <w:r>
        <w:rPr>
          <w:rFonts w:hAnsi="黑体" w:hint="eastAsia"/>
          <w:b/>
          <w:sz w:val="32"/>
          <w:szCs w:val="32"/>
        </w:rPr>
        <w:lastRenderedPageBreak/>
        <w:t>五、一般公共预算财政拨款支出决算情况说明</w:t>
      </w:r>
    </w:p>
    <w:p w:rsidR="00B113A2" w:rsidRDefault="004E39AB" w:rsidP="00B113A2">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113A2" w:rsidRDefault="004E39AB">
      <w:pPr>
        <w:pStyle w:val="a6"/>
        <w:shd w:val="clear" w:color="auto" w:fill="FFFFFF"/>
        <w:spacing w:before="0" w:beforeAutospacing="0" w:after="0" w:afterAutospacing="0"/>
        <w:ind w:firstLineChars="200" w:firstLine="640"/>
        <w:rPr>
          <w:rFonts w:asciiTheme="minorEastAsia" w:eastAsiaTheme="minorEastAsia" w:hAnsiTheme="minorEastAsia" w:cs="黑体"/>
          <w:color w:val="000000"/>
          <w:sz w:val="32"/>
          <w:szCs w:val="32"/>
        </w:rPr>
      </w:pPr>
      <w:r>
        <w:rPr>
          <w:rFonts w:asciiTheme="minorEastAsia" w:eastAsiaTheme="minorEastAsia" w:hAnsiTheme="minorEastAsia" w:cs="黑体" w:hint="eastAsia"/>
          <w:color w:val="000000"/>
          <w:sz w:val="32"/>
          <w:szCs w:val="32"/>
        </w:rPr>
        <w:t>2020年度财政拨款支出1</w:t>
      </w:r>
      <w:r w:rsidR="00BB4077">
        <w:rPr>
          <w:rFonts w:asciiTheme="minorEastAsia" w:eastAsiaTheme="minorEastAsia" w:hAnsiTheme="minorEastAsia" w:cs="黑体" w:hint="eastAsia"/>
          <w:color w:val="000000"/>
          <w:sz w:val="32"/>
          <w:szCs w:val="32"/>
        </w:rPr>
        <w:t>265.05</w:t>
      </w:r>
      <w:r>
        <w:rPr>
          <w:rFonts w:asciiTheme="minorEastAsia" w:eastAsiaTheme="minorEastAsia" w:hAnsiTheme="minorEastAsia" w:cs="黑体" w:hint="eastAsia"/>
          <w:color w:val="000000"/>
          <w:sz w:val="32"/>
          <w:szCs w:val="32"/>
        </w:rPr>
        <w:t>万元，占本年支出合计的100%，与2019年相比，财政拨款支出增加47.17万元，增加3.2%，主要是因为一般公共服务支出减少，住房保障支出减少，城乡社区支出增加，抗击疫情支出。</w:t>
      </w:r>
    </w:p>
    <w:p w:rsidR="00B113A2" w:rsidRDefault="004E39AB" w:rsidP="00B113A2">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113A2" w:rsidRDefault="004E39AB">
      <w:pPr>
        <w:pStyle w:val="Default"/>
        <w:ind w:firstLineChars="200" w:firstLine="64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2020年度财政拨款支出</w:t>
      </w:r>
      <w:r w:rsidR="00BB4077">
        <w:rPr>
          <w:rFonts w:asciiTheme="minorEastAsia" w:eastAsiaTheme="minorEastAsia" w:hAnsiTheme="minorEastAsia" w:hint="eastAsia"/>
          <w:color w:val="auto"/>
          <w:sz w:val="32"/>
          <w:szCs w:val="32"/>
        </w:rPr>
        <w:t>1265.05</w:t>
      </w:r>
      <w:r>
        <w:rPr>
          <w:rFonts w:asciiTheme="minorEastAsia" w:eastAsiaTheme="minorEastAsia" w:hAnsiTheme="minorEastAsia" w:hint="eastAsia"/>
          <w:color w:val="auto"/>
          <w:sz w:val="32"/>
          <w:szCs w:val="32"/>
        </w:rPr>
        <w:t>万元，主要用于以下方面：一般公共服务（类）支出716.08万元，占48.31%；社会保障和就业（类）支出58.47万元，占3.95%;卫生健康（类）支出18.13万元，占1.22%；城乡社区支出138.6万元，占9.34%；农林水（类）支出453.31万元，占30.58%；交通运输支出支出10万元，占0.67%；住房保障（类）支出9.05万元，占0.61%；抗</w:t>
      </w:r>
      <w:proofErr w:type="gramStart"/>
      <w:r>
        <w:rPr>
          <w:rFonts w:asciiTheme="minorEastAsia" w:eastAsiaTheme="minorEastAsia" w:hAnsiTheme="minorEastAsia" w:hint="eastAsia"/>
          <w:color w:val="auto"/>
          <w:sz w:val="32"/>
          <w:szCs w:val="32"/>
        </w:rPr>
        <w:t>疫</w:t>
      </w:r>
      <w:proofErr w:type="gramEnd"/>
      <w:r>
        <w:rPr>
          <w:rFonts w:asciiTheme="minorEastAsia" w:eastAsiaTheme="minorEastAsia" w:hAnsiTheme="minorEastAsia" w:hint="eastAsia"/>
          <w:color w:val="auto"/>
          <w:sz w:val="32"/>
          <w:szCs w:val="32"/>
        </w:rPr>
        <w:t>特别国债安排支出78.94万元，占5.32%。</w:t>
      </w:r>
    </w:p>
    <w:p w:rsidR="00B113A2" w:rsidRDefault="004E39AB" w:rsidP="00B113A2">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113A2" w:rsidRDefault="004E39AB">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color w:val="auto"/>
          <w:sz w:val="32"/>
          <w:szCs w:val="32"/>
        </w:rPr>
        <w:t>2020年度财政拨款支出年初预算数为774.21万元，支出决算数为</w:t>
      </w:r>
      <w:r w:rsidR="00BB4077">
        <w:rPr>
          <w:rFonts w:asciiTheme="minorEastAsia" w:eastAsiaTheme="minorEastAsia" w:hAnsiTheme="minorEastAsia" w:hint="eastAsia"/>
          <w:color w:val="auto"/>
          <w:sz w:val="32"/>
          <w:szCs w:val="32"/>
        </w:rPr>
        <w:t>1265.05</w:t>
      </w:r>
      <w:r>
        <w:rPr>
          <w:rFonts w:asciiTheme="minorEastAsia" w:eastAsiaTheme="minorEastAsia" w:hAnsiTheme="minorEastAsia" w:hint="eastAsia"/>
          <w:color w:val="auto"/>
          <w:sz w:val="32"/>
          <w:szCs w:val="32"/>
        </w:rPr>
        <w:t>万元，完成年初预算的191.5%，其中：</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年初预算为307.66万元，支出决算为</w:t>
      </w:r>
      <w:r>
        <w:rPr>
          <w:rFonts w:asciiTheme="minorEastAsia" w:eastAsiaTheme="minorEastAsia" w:hAnsiTheme="minorEastAsia" w:hint="eastAsia"/>
          <w:color w:val="auto"/>
          <w:sz w:val="32"/>
          <w:szCs w:val="32"/>
        </w:rPr>
        <w:t>716.08</w:t>
      </w:r>
      <w:r>
        <w:rPr>
          <w:rFonts w:asciiTheme="minorEastAsia" w:eastAsiaTheme="minorEastAsia" w:hAnsiTheme="minorEastAsia" w:hint="eastAsia"/>
          <w:sz w:val="32"/>
          <w:szCs w:val="32"/>
        </w:rPr>
        <w:t>万元，完成年初预算的232.75%，决算数大于年初预算数的主要原因是：人员异动及政策性调整。</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2.社会保障和就业支出</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年初预算为54.63万元，支出决算为58.47万元，完成年初预算的107.32%，决算数大于年初预算数的主要原因是：人员增加、补</w:t>
      </w:r>
      <w:r>
        <w:rPr>
          <w:rFonts w:asciiTheme="minorEastAsia" w:eastAsiaTheme="minorEastAsia" w:hAnsiTheme="minorEastAsia" w:hint="eastAsia"/>
          <w:sz w:val="32"/>
          <w:szCs w:val="32"/>
        </w:rPr>
        <w:lastRenderedPageBreak/>
        <w:t>缴社保费用。</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3.卫生健康支出</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年初预算为10.89万元，支出决算为18.13万元，完成年初预算的166.48%，决算数大于年初预算数的主要原因是：追加村级改厕项目资金。</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4.农林水支出</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年初预算为391.98万元，支出决算为453.31万元，完成年初预算的,115.64%，决算数大于年初预算数的主要原因是：追加村级集体经济引导项目经费。</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5.住房保障支出</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年初预算为9.05万元，支出决算为9.05万元，完成年初预算的100%。</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6.城乡社区支出</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年初预算为0万元，支出决算为138.6万元，完成年初预算的138.6%，决算数大于年初预算数的主要原因是：城乡卫生、社区经费支出。</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特别国债安排的支出</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年初预算为0万元，支出决算为78.94万元，决算数大于年初预算数的主要原因是：抗击疫情支出。</w:t>
      </w:r>
    </w:p>
    <w:p w:rsidR="00B113A2" w:rsidRDefault="004E39AB">
      <w:pPr>
        <w:pStyle w:val="Default"/>
        <w:rPr>
          <w:rFonts w:hAnsi="黑体"/>
          <w:b/>
          <w:sz w:val="32"/>
          <w:szCs w:val="32"/>
        </w:rPr>
      </w:pPr>
      <w:r>
        <w:rPr>
          <w:rFonts w:hAnsi="黑体" w:hint="eastAsia"/>
          <w:b/>
          <w:sz w:val="32"/>
          <w:szCs w:val="32"/>
        </w:rPr>
        <w:t>六、一般公共预算财政拨款基本支出决算情况说明</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2020年度财政拨款基本支出431.2万元，其中：人员经费313.54万元，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支出的72.71%,主要包括基本工资、津贴补贴、奖金、绩效工资、机关事业单位基本养老保险缴费、职业年金缴费、职工基本医疗保险缴费、公务员医疗补助缴费、其他社会保障缴费、住</w:t>
      </w:r>
      <w:r>
        <w:rPr>
          <w:rFonts w:asciiTheme="minorEastAsia" w:eastAsiaTheme="minorEastAsia" w:hAnsiTheme="minorEastAsia" w:hint="eastAsia"/>
          <w:sz w:val="32"/>
          <w:szCs w:val="32"/>
        </w:rPr>
        <w:lastRenderedPageBreak/>
        <w:t>房公积金、医疗费、其他工资福利支出、抚恤金、生活补助、其他对个人家庭补助支出；公用经费117.66万元，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支出的27.29%，主要包括办公费、水费、电费、邮电费、差旅费、维修（护）费、会议费、培训费、公务接待费、劳务费、工会经费、公务用车运行维护费、其他交通费用、其他商品和服务支出。</w:t>
      </w:r>
    </w:p>
    <w:p w:rsidR="00B113A2" w:rsidRDefault="004E39AB">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B113A2" w:rsidRDefault="004E39A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113A2" w:rsidRDefault="004E39AB">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“三公”经费财政拨款支出预算为27万元，</w:t>
      </w:r>
      <w:r>
        <w:rPr>
          <w:rFonts w:asciiTheme="minorEastAsia" w:eastAsiaTheme="minorEastAsia" w:hAnsiTheme="minorEastAsia" w:hint="eastAsia"/>
          <w:color w:val="auto"/>
          <w:sz w:val="32"/>
          <w:szCs w:val="32"/>
        </w:rPr>
        <w:t>支出决算为25.9万元，完成预算的95.93%，其中：</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因公出国（境）费支出预算为0万元，支出决算为0万元，完成预算的0%，决算数与年初预算数持平。与上年一致。</w:t>
      </w:r>
    </w:p>
    <w:p w:rsidR="00B113A2" w:rsidRDefault="004E39AB">
      <w:pPr>
        <w:pStyle w:val="Default"/>
        <w:ind w:firstLineChars="250" w:firstLine="800"/>
        <w:rPr>
          <w:rFonts w:asciiTheme="minorEastAsia" w:eastAsiaTheme="minorEastAsia" w:hAnsiTheme="minorEastAsia"/>
          <w:color w:val="auto"/>
          <w:sz w:val="32"/>
          <w:szCs w:val="32"/>
        </w:rPr>
      </w:pPr>
      <w:r>
        <w:rPr>
          <w:rFonts w:asciiTheme="minorEastAsia" w:eastAsiaTheme="minorEastAsia" w:hAnsiTheme="minorEastAsia" w:hint="eastAsia"/>
          <w:sz w:val="32"/>
          <w:szCs w:val="32"/>
        </w:rPr>
        <w:t>公务接待本年年初预算17万元，</w:t>
      </w:r>
      <w:r>
        <w:rPr>
          <w:rFonts w:asciiTheme="minorEastAsia" w:eastAsiaTheme="minorEastAsia" w:hAnsiTheme="minorEastAsia" w:hint="eastAsia"/>
          <w:color w:val="auto"/>
          <w:sz w:val="32"/>
          <w:szCs w:val="32"/>
        </w:rPr>
        <w:t>支出决算为15.94万元，完成预算的93.94%，与上年相比减少1.06万元，决算数小于年初预算数的主要原因是不断规范公务接待管理，严格控制陪餐人数，有效控制了公务接待费开支。</w:t>
      </w:r>
    </w:p>
    <w:p w:rsidR="00B113A2" w:rsidRDefault="004E39AB">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公务用车购置费及运行维护费支出预算为10万元，支出决算为9.96万元，完成预算的约99.6%，与上年相比减少400元，减少0.4%,减少的主要原因是坚持厉行节约，进一步规范公务用车使用管理。</w:t>
      </w:r>
      <w:r>
        <w:rPr>
          <w:rFonts w:asciiTheme="minorEastAsia" w:eastAsiaTheme="minorEastAsia" w:hAnsiTheme="minorEastAsia" w:hint="eastAsia"/>
          <w:b/>
          <w:sz w:val="32"/>
          <w:szCs w:val="32"/>
        </w:rPr>
        <w:t>（二）“三公”经费财政拨款支出决算具体情况说明</w:t>
      </w:r>
    </w:p>
    <w:p w:rsidR="00B113A2" w:rsidRDefault="004E39A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2020年度“三公”经费财政拨款支出决算中，公务接待费支出决算15.94万元，占61.54%,因公出国（境）费支出决算0万元，占0%,公务用车购置费及运行维护费支出决算9.96万元，占38.46%。其中：</w:t>
      </w:r>
    </w:p>
    <w:p w:rsidR="00B113A2" w:rsidRDefault="004E39AB">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w:t>
      </w:r>
      <w:r>
        <w:rPr>
          <w:rFonts w:asciiTheme="minorEastAsia" w:eastAsiaTheme="minorEastAsia" w:hAnsiTheme="minorEastAsia" w:hint="eastAsia"/>
          <w:sz w:val="32"/>
          <w:szCs w:val="32"/>
        </w:rPr>
        <w:lastRenderedPageBreak/>
        <w:t>团组0个，累计0人次。</w:t>
      </w:r>
    </w:p>
    <w:p w:rsidR="00B113A2" w:rsidRDefault="004E39A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2、公务接待费支出决算为15.94万元，全年共接待上级来访团组245批次、来宾1450人次，主要是用于上级组织和主管部门来镇检查、指导、督导、调研等其他公务活动的接待支出。</w:t>
      </w:r>
    </w:p>
    <w:p w:rsidR="00B113A2" w:rsidRDefault="004E39A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3、公务用车购置费及运行维护费支出决算为9.96万元，其中：公务用车购置费0万元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公务用车运行维护费9.96万元，主要是公务车用油、保养、维修支出，截止2020年12月31日，我单位开支财政拨款的公务用车保有量为1辆。</w:t>
      </w:r>
    </w:p>
    <w:p w:rsidR="00B113A2" w:rsidRDefault="004E39AB">
      <w:pPr>
        <w:pStyle w:val="Default"/>
        <w:rPr>
          <w:rFonts w:hAnsi="黑体"/>
          <w:b/>
          <w:sz w:val="32"/>
          <w:szCs w:val="32"/>
        </w:rPr>
      </w:pPr>
      <w:r>
        <w:rPr>
          <w:rFonts w:hAnsi="黑体" w:hint="eastAsia"/>
          <w:b/>
          <w:sz w:val="32"/>
          <w:szCs w:val="32"/>
        </w:rPr>
        <w:t>八、政府性基金预算收入支出决算情况</w:t>
      </w:r>
    </w:p>
    <w:p w:rsidR="00B113A2" w:rsidRDefault="004E39AB" w:rsidP="004E39AB">
      <w:pPr>
        <w:pStyle w:val="Default"/>
        <w:ind w:firstLineChars="150" w:firstLine="480"/>
        <w:rPr>
          <w:rFonts w:asciiTheme="minorEastAsia" w:eastAsiaTheme="minorEastAsia" w:hAnsiTheme="minorEastAsia" w:cstheme="minorBidi"/>
          <w:color w:val="auto"/>
          <w:kern w:val="2"/>
          <w:sz w:val="32"/>
          <w:szCs w:val="32"/>
        </w:rPr>
      </w:pPr>
      <w:r>
        <w:rPr>
          <w:rFonts w:asciiTheme="minorEastAsia" w:eastAsiaTheme="minorEastAsia" w:hAnsiTheme="minorEastAsia" w:hint="eastAsia"/>
          <w:sz w:val="32"/>
          <w:szCs w:val="32"/>
        </w:rPr>
        <w:t>2020年度本单位有政府性基金收支。</w:t>
      </w:r>
      <w:r>
        <w:rPr>
          <w:rFonts w:asciiTheme="minorEastAsia" w:eastAsiaTheme="minorEastAsia" w:hAnsiTheme="minorEastAsia" w:cstheme="minorBidi" w:hint="eastAsia"/>
          <w:color w:val="auto"/>
          <w:kern w:val="2"/>
          <w:sz w:val="32"/>
          <w:szCs w:val="32"/>
        </w:rPr>
        <w:t>2020年，收到衡南县财政局预算股拨付中央直达抗</w:t>
      </w:r>
      <w:proofErr w:type="gramStart"/>
      <w:r>
        <w:rPr>
          <w:rFonts w:asciiTheme="minorEastAsia" w:eastAsiaTheme="minorEastAsia" w:hAnsiTheme="minorEastAsia" w:cstheme="minorBidi" w:hint="eastAsia"/>
          <w:color w:val="auto"/>
          <w:kern w:val="2"/>
          <w:sz w:val="32"/>
          <w:szCs w:val="32"/>
        </w:rPr>
        <w:t>疫</w:t>
      </w:r>
      <w:proofErr w:type="gramEnd"/>
      <w:r>
        <w:rPr>
          <w:rFonts w:asciiTheme="minorEastAsia" w:eastAsiaTheme="minorEastAsia" w:hAnsiTheme="minorEastAsia" w:cstheme="minorBidi" w:hint="eastAsia"/>
          <w:color w:val="auto"/>
          <w:kern w:val="2"/>
          <w:sz w:val="32"/>
          <w:szCs w:val="32"/>
        </w:rPr>
        <w:t>国债资金78.94万元，支付疫情资料宣传打印费3.41万元、支付防控用品9.3万元、支付疫情宣传租车费3.4万元、食堂疫情防控生活费7.61万元、站所疫情防控支出13.38万元、支付村、社区、单位、卫生组织疫情防控经费41.84万元。</w:t>
      </w:r>
    </w:p>
    <w:p w:rsidR="004E39AB" w:rsidRPr="00777C36" w:rsidRDefault="004E39AB" w:rsidP="004E39AB">
      <w:pPr>
        <w:pStyle w:val="Default"/>
        <w:rPr>
          <w:rFonts w:hAnsi="黑体"/>
          <w:b/>
          <w:sz w:val="32"/>
          <w:szCs w:val="32"/>
        </w:rPr>
      </w:pPr>
      <w:r w:rsidRPr="00777C36">
        <w:rPr>
          <w:rFonts w:hAnsi="黑体" w:hint="eastAsia"/>
          <w:b/>
          <w:sz w:val="32"/>
          <w:szCs w:val="32"/>
        </w:rPr>
        <w:t>九、国有资本经营预算财政拨款支出决算情况</w:t>
      </w:r>
    </w:p>
    <w:p w:rsidR="004E39AB" w:rsidRPr="004E39AB" w:rsidRDefault="004E39AB" w:rsidP="004E39AB">
      <w:pPr>
        <w:pStyle w:val="Default"/>
        <w:ind w:firstLineChars="200" w:firstLine="640"/>
        <w:rPr>
          <w:rFonts w:asciiTheme="minorEastAsia" w:eastAsiaTheme="minorEastAsia" w:hAnsiTheme="minorEastAsia" w:cstheme="minorBidi"/>
          <w:color w:val="auto"/>
          <w:kern w:val="2"/>
          <w:sz w:val="32"/>
          <w:szCs w:val="32"/>
        </w:rPr>
      </w:pPr>
      <w:r w:rsidRPr="004E39AB">
        <w:rPr>
          <w:rFonts w:asciiTheme="minorEastAsia" w:eastAsiaTheme="minorEastAsia" w:hAnsiTheme="minorEastAsia" w:cstheme="minorBidi" w:hint="eastAsia"/>
          <w:color w:val="auto"/>
          <w:kern w:val="2"/>
          <w:sz w:val="32"/>
          <w:szCs w:val="32"/>
        </w:rPr>
        <w:t>本单位2020年没有国有资本经营预算财政拨款支出。</w:t>
      </w:r>
    </w:p>
    <w:p w:rsidR="00B113A2" w:rsidRDefault="004E39AB">
      <w:pPr>
        <w:pStyle w:val="Default"/>
        <w:rPr>
          <w:rFonts w:hAnsi="黑体"/>
          <w:b/>
          <w:sz w:val="32"/>
          <w:szCs w:val="32"/>
        </w:rPr>
      </w:pPr>
      <w:r>
        <w:rPr>
          <w:rFonts w:hAnsi="黑体" w:hint="eastAsia"/>
          <w:b/>
          <w:sz w:val="32"/>
          <w:szCs w:val="32"/>
        </w:rPr>
        <w:t>十、机关运行经费支出说明</w:t>
      </w:r>
    </w:p>
    <w:p w:rsidR="00B113A2" w:rsidRDefault="004E39AB">
      <w:pPr>
        <w:pStyle w:val="Defaul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机关运行经费本年支出117.66万元，与上年的129.12万元相比，递减8.88%。变动原因为本年度支出口径与上年度有差异，划分了专项业务支出，譬如信访维稳，安全生产，党建专项，扶贫专项，城乡环境同治，本年度全列入项目支出。</w:t>
      </w:r>
    </w:p>
    <w:p w:rsidR="00B113A2" w:rsidRDefault="004E39AB">
      <w:pPr>
        <w:pStyle w:val="Default"/>
        <w:rPr>
          <w:rFonts w:hAnsi="黑体"/>
          <w:b/>
          <w:sz w:val="32"/>
          <w:szCs w:val="32"/>
        </w:rPr>
      </w:pPr>
      <w:r>
        <w:rPr>
          <w:rFonts w:hAnsi="黑体" w:hint="eastAsia"/>
          <w:b/>
          <w:sz w:val="32"/>
          <w:szCs w:val="32"/>
        </w:rPr>
        <w:t>十一、一般性支出情况</w:t>
      </w:r>
    </w:p>
    <w:p w:rsidR="00B113A2" w:rsidRDefault="004E39AB">
      <w:pPr>
        <w:pStyle w:val="Default"/>
        <w:ind w:firstLineChars="200" w:firstLine="640"/>
        <w:rPr>
          <w:rFonts w:asciiTheme="minorEastAsia" w:eastAsiaTheme="minorEastAsia" w:hAnsiTheme="minorEastAsia" w:cstheme="minorBidi"/>
          <w:color w:val="auto"/>
          <w:kern w:val="2"/>
          <w:sz w:val="32"/>
          <w:szCs w:val="32"/>
          <w:lang w:val="zh-CN"/>
        </w:rPr>
      </w:pPr>
      <w:r>
        <w:rPr>
          <w:rFonts w:asciiTheme="minorEastAsia" w:eastAsiaTheme="minorEastAsia" w:hAnsiTheme="minorEastAsia" w:cstheme="minorBidi" w:hint="eastAsia"/>
          <w:color w:val="auto"/>
          <w:kern w:val="2"/>
          <w:sz w:val="32"/>
          <w:szCs w:val="32"/>
        </w:rPr>
        <w:t>会议费支出情况：2020年本部门开支会议费58279元，用于镇级召开村干会、党代会、人大代表会、七一表彰、年终总结会等，</w:t>
      </w:r>
      <w:r>
        <w:rPr>
          <w:rFonts w:asciiTheme="minorEastAsia" w:eastAsiaTheme="minorEastAsia" w:hAnsiTheme="minorEastAsia" w:cstheme="minorBidi" w:hint="eastAsia"/>
          <w:color w:val="auto"/>
          <w:kern w:val="2"/>
          <w:sz w:val="32"/>
          <w:szCs w:val="32"/>
        </w:rPr>
        <w:lastRenderedPageBreak/>
        <w:t>村级召开村组干部、户主代表会议；开支培训4900元，用于村</w:t>
      </w:r>
      <w:proofErr w:type="gramStart"/>
      <w:r>
        <w:rPr>
          <w:rFonts w:asciiTheme="minorEastAsia" w:eastAsiaTheme="minorEastAsia" w:hAnsiTheme="minorEastAsia" w:cstheme="minorBidi" w:hint="eastAsia"/>
          <w:color w:val="auto"/>
          <w:kern w:val="2"/>
          <w:sz w:val="32"/>
          <w:szCs w:val="32"/>
        </w:rPr>
        <w:t>干参加</w:t>
      </w:r>
      <w:proofErr w:type="gramEnd"/>
      <w:r>
        <w:rPr>
          <w:rFonts w:asciiTheme="minorEastAsia" w:eastAsiaTheme="minorEastAsia" w:hAnsiTheme="minorEastAsia" w:cstheme="minorBidi" w:hint="eastAsia"/>
          <w:color w:val="auto"/>
          <w:kern w:val="2"/>
          <w:sz w:val="32"/>
          <w:szCs w:val="32"/>
        </w:rPr>
        <w:t>县级党建信息操作、乡村振兴暨村级集体经济发展专题培训</w:t>
      </w:r>
      <w:r>
        <w:rPr>
          <w:rFonts w:asciiTheme="minorEastAsia" w:eastAsiaTheme="minorEastAsia" w:hAnsiTheme="minorEastAsia" w:cstheme="minorBidi" w:hint="eastAsia"/>
          <w:color w:val="auto"/>
          <w:kern w:val="2"/>
          <w:sz w:val="32"/>
          <w:szCs w:val="32"/>
          <w:lang w:val="zh-CN"/>
        </w:rPr>
        <w:t>。</w:t>
      </w:r>
    </w:p>
    <w:p w:rsidR="00B113A2" w:rsidRDefault="004E39AB">
      <w:pPr>
        <w:pStyle w:val="Default"/>
        <w:rPr>
          <w:rFonts w:hAnsi="黑体"/>
          <w:b/>
          <w:sz w:val="32"/>
          <w:szCs w:val="32"/>
        </w:rPr>
      </w:pPr>
      <w:r>
        <w:rPr>
          <w:rFonts w:hAnsi="黑体" w:hint="eastAsia"/>
          <w:b/>
          <w:sz w:val="32"/>
          <w:szCs w:val="32"/>
        </w:rPr>
        <w:t>十二、关于政府采购支出说明</w:t>
      </w:r>
    </w:p>
    <w:p w:rsidR="00B113A2" w:rsidRDefault="004E39AB">
      <w:pPr>
        <w:pStyle w:val="Default"/>
        <w:ind w:firstLineChars="200" w:firstLine="640"/>
        <w:rPr>
          <w:rFonts w:hAnsi="黑体"/>
          <w:b/>
          <w:sz w:val="32"/>
          <w:szCs w:val="32"/>
        </w:rPr>
      </w:pPr>
      <w:r>
        <w:rPr>
          <w:rFonts w:asciiTheme="minorEastAsia" w:eastAsiaTheme="minorEastAsia" w:hAnsiTheme="minorEastAsia" w:cstheme="minorBidi" w:hint="eastAsia"/>
          <w:color w:val="auto"/>
          <w:kern w:val="2"/>
          <w:sz w:val="32"/>
          <w:szCs w:val="32"/>
        </w:rPr>
        <w:t>本年度本单位政府采购支出9万元，均为财政拨款支出。全部为货物采购支出。包括办公桌椅，办公用电脑，打印机，街道垃圾桶。</w:t>
      </w:r>
    </w:p>
    <w:p w:rsidR="00B113A2" w:rsidRDefault="004E39AB">
      <w:pPr>
        <w:autoSpaceDE w:val="0"/>
        <w:autoSpaceDN w:val="0"/>
        <w:adjustRightInd w:val="0"/>
        <w:spacing w:line="520" w:lineRule="exact"/>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十三、关于国有资产占用情况说明</w:t>
      </w:r>
    </w:p>
    <w:p w:rsidR="00B113A2" w:rsidRDefault="004E39AB">
      <w:pPr>
        <w:pStyle w:val="Defaul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截至2020年12月31日，本单位共有车辆1辆，其中，其他用车1辆，其他用车主要是干部下村公务用车；单位价值50万元以上通用设备0台（套）；单位价值100万元以上专用设备0台（套）。</w:t>
      </w:r>
    </w:p>
    <w:p w:rsidR="00B113A2" w:rsidRDefault="004E39AB">
      <w:pPr>
        <w:pStyle w:val="Default"/>
        <w:rPr>
          <w:rFonts w:hAnsi="黑体"/>
          <w:b/>
          <w:sz w:val="32"/>
          <w:szCs w:val="32"/>
        </w:rPr>
      </w:pPr>
      <w:r>
        <w:rPr>
          <w:rFonts w:hAnsi="黑体" w:hint="eastAsia"/>
          <w:b/>
          <w:sz w:val="32"/>
          <w:szCs w:val="32"/>
        </w:rPr>
        <w:t>十四、关于2020年度预算绩效情况说明</w:t>
      </w:r>
    </w:p>
    <w:p w:rsidR="00B113A2" w:rsidRDefault="004E39AB">
      <w:pPr>
        <w:widowControl/>
        <w:jc w:val="left"/>
        <w:rPr>
          <w:rFonts w:asciiTheme="minorEastAsia" w:hAnsiTheme="minorEastAsia"/>
          <w:sz w:val="32"/>
          <w:szCs w:val="32"/>
        </w:rPr>
      </w:pPr>
      <w:r>
        <w:rPr>
          <w:rFonts w:asciiTheme="minorEastAsia" w:hAnsiTheme="minorEastAsia" w:hint="eastAsia"/>
          <w:sz w:val="32"/>
          <w:szCs w:val="32"/>
        </w:rPr>
        <w:t>（一）预算绩效管理工作开展情况</w:t>
      </w:r>
    </w:p>
    <w:p w:rsidR="00B113A2" w:rsidRDefault="004E39AB">
      <w:pPr>
        <w:pStyle w:val="Defaul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我镇对部门整体支出绩效开展了自评。绩效评价结果显示，我镇2020年度绩效目标完成较好，在预算配置、预算执行、预算管理等方面较好的支持了财政中心工作发展。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rsidR="00B113A2" w:rsidRDefault="004E39AB">
      <w:pPr>
        <w:widowControl/>
        <w:jc w:val="left"/>
        <w:rPr>
          <w:rFonts w:asciiTheme="minorEastAsia" w:hAnsiTheme="minorEastAsia"/>
          <w:sz w:val="32"/>
          <w:szCs w:val="32"/>
        </w:rPr>
      </w:pPr>
      <w:r>
        <w:rPr>
          <w:rFonts w:asciiTheme="minorEastAsia" w:hAnsiTheme="minorEastAsia" w:hint="eastAsia"/>
          <w:sz w:val="32"/>
          <w:szCs w:val="32"/>
        </w:rPr>
        <w:t xml:space="preserve">（二）部门整体支出绩效自评结果 </w:t>
      </w:r>
    </w:p>
    <w:p w:rsidR="00B113A2" w:rsidRDefault="004E39AB">
      <w:pPr>
        <w:widowControl/>
        <w:ind w:firstLineChars="200" w:firstLine="640"/>
        <w:jc w:val="left"/>
        <w:rPr>
          <w:rFonts w:asciiTheme="minorEastAsia" w:hAnsiTheme="minorEastAsia"/>
          <w:sz w:val="32"/>
          <w:szCs w:val="32"/>
        </w:rPr>
      </w:pPr>
      <w:r>
        <w:rPr>
          <w:rFonts w:asciiTheme="minorEastAsia" w:hAnsiTheme="minorEastAsia"/>
          <w:sz w:val="32"/>
          <w:szCs w:val="32"/>
        </w:rPr>
        <w:t xml:space="preserve">2020 </w:t>
      </w:r>
      <w:r>
        <w:rPr>
          <w:rFonts w:asciiTheme="minorEastAsia" w:hAnsiTheme="minorEastAsia" w:hint="eastAsia"/>
          <w:sz w:val="32"/>
          <w:szCs w:val="32"/>
        </w:rPr>
        <w:t>年，在县委、县政府的坚强领导下，我镇坚持以习近平新时代中国特色社会主义思想为指导，认真落实中央和省委、省政府重大决策部署，以强化执行力、提升创新力、增强凝聚力为抓手，</w:t>
      </w:r>
      <w:r>
        <w:rPr>
          <w:rFonts w:asciiTheme="minorEastAsia" w:hAnsiTheme="minorEastAsia" w:hint="eastAsia"/>
          <w:sz w:val="32"/>
          <w:szCs w:val="32"/>
        </w:rPr>
        <w:lastRenderedPageBreak/>
        <w:t>圆满完成了各项工作任务，在服务省政府统筹推进全省常态化疫情防控和经济社会发展等方面</w:t>
      </w:r>
      <w:proofErr w:type="gramStart"/>
      <w:r>
        <w:rPr>
          <w:rFonts w:asciiTheme="minorEastAsia" w:hAnsiTheme="minorEastAsia" w:hint="eastAsia"/>
          <w:sz w:val="32"/>
          <w:szCs w:val="32"/>
        </w:rPr>
        <w:t>作出</w:t>
      </w:r>
      <w:proofErr w:type="gramEnd"/>
      <w:r>
        <w:rPr>
          <w:rFonts w:asciiTheme="minorEastAsia" w:hAnsiTheme="minorEastAsia" w:hint="eastAsia"/>
          <w:sz w:val="32"/>
          <w:szCs w:val="32"/>
        </w:rPr>
        <w:t>了积极贡献，根据部门整体支出绩效评价指标，部门整体支出绩效得分</w:t>
      </w:r>
      <w:r>
        <w:rPr>
          <w:rFonts w:hint="eastAsia"/>
          <w:sz w:val="28"/>
          <w:szCs w:val="28"/>
        </w:rPr>
        <w:t>96</w:t>
      </w:r>
      <w:r>
        <w:rPr>
          <w:rFonts w:asciiTheme="minorEastAsia" w:hAnsiTheme="minorEastAsia" w:hint="eastAsia"/>
          <w:sz w:val="32"/>
          <w:szCs w:val="32"/>
        </w:rPr>
        <w:t>分。从评价情况来看，预算执行有效，完成情况较好，基本达到预算绩效目标</w:t>
      </w:r>
    </w:p>
    <w:p w:rsidR="00B113A2" w:rsidRDefault="00B113A2">
      <w:pPr>
        <w:pStyle w:val="Default"/>
        <w:ind w:firstLineChars="200" w:firstLine="640"/>
        <w:rPr>
          <w:rFonts w:asciiTheme="minorEastAsia" w:eastAsiaTheme="minorEastAsia" w:hAnsiTheme="minorEastAsia" w:cstheme="minorBidi"/>
          <w:color w:val="auto"/>
          <w:kern w:val="2"/>
          <w:sz w:val="32"/>
          <w:szCs w:val="32"/>
        </w:rPr>
      </w:pPr>
    </w:p>
    <w:p w:rsidR="00B113A2" w:rsidRDefault="004E39AB">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4E39AB">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第四部分</w:t>
      </w:r>
    </w:p>
    <w:p w:rsidR="00B113A2" w:rsidRDefault="00B113A2">
      <w:pPr>
        <w:jc w:val="center"/>
        <w:rPr>
          <w:sz w:val="72"/>
          <w:szCs w:val="72"/>
        </w:rPr>
      </w:pPr>
    </w:p>
    <w:p w:rsidR="00B113A2" w:rsidRDefault="004E39AB">
      <w:pPr>
        <w:jc w:val="center"/>
        <w:rPr>
          <w:sz w:val="72"/>
          <w:szCs w:val="72"/>
        </w:rPr>
      </w:pPr>
      <w:r>
        <w:rPr>
          <w:rFonts w:hint="eastAsia"/>
          <w:sz w:val="72"/>
          <w:szCs w:val="72"/>
        </w:rPr>
        <w:t>名词解释</w:t>
      </w:r>
    </w:p>
    <w:p w:rsidR="00B113A2" w:rsidRDefault="00B113A2">
      <w:pPr>
        <w:jc w:val="center"/>
        <w:rPr>
          <w:rFonts w:ascii="黑体" w:eastAsia="黑体" w:cs="黑体"/>
          <w:color w:val="000000"/>
          <w:kern w:val="0"/>
          <w:sz w:val="70"/>
          <w:szCs w:val="70"/>
        </w:rPr>
      </w:pPr>
    </w:p>
    <w:p w:rsidR="00B113A2" w:rsidRDefault="00B113A2">
      <w:pPr>
        <w:jc w:val="center"/>
        <w:rPr>
          <w:rFonts w:ascii="黑体" w:eastAsia="黑体" w:cs="黑体"/>
          <w:color w:val="000000"/>
          <w:kern w:val="0"/>
          <w:sz w:val="70"/>
          <w:szCs w:val="70"/>
        </w:rPr>
      </w:pPr>
    </w:p>
    <w:p w:rsidR="00B113A2" w:rsidRDefault="00B113A2">
      <w:pPr>
        <w:jc w:val="center"/>
        <w:rPr>
          <w:rFonts w:ascii="黑体" w:eastAsia="黑体" w:cs="黑体"/>
          <w:color w:val="000000"/>
          <w:kern w:val="0"/>
          <w:sz w:val="70"/>
          <w:szCs w:val="70"/>
        </w:rPr>
      </w:pPr>
    </w:p>
    <w:p w:rsidR="00B113A2" w:rsidRDefault="00B113A2">
      <w:pPr>
        <w:jc w:val="center"/>
        <w:rPr>
          <w:rFonts w:ascii="黑体" w:eastAsia="黑体" w:cs="黑体"/>
          <w:color w:val="000000"/>
          <w:kern w:val="0"/>
          <w:sz w:val="70"/>
          <w:szCs w:val="70"/>
        </w:rPr>
      </w:pPr>
    </w:p>
    <w:p w:rsidR="00B113A2" w:rsidRDefault="00B113A2">
      <w:pPr>
        <w:jc w:val="center"/>
        <w:rPr>
          <w:rFonts w:ascii="黑体" w:eastAsia="黑体" w:cs="黑体"/>
          <w:color w:val="000000"/>
          <w:kern w:val="0"/>
          <w:sz w:val="70"/>
          <w:szCs w:val="70"/>
        </w:rPr>
      </w:pPr>
    </w:p>
    <w:p w:rsidR="00B113A2" w:rsidRDefault="00B113A2">
      <w:pPr>
        <w:jc w:val="center"/>
        <w:rPr>
          <w:rFonts w:ascii="黑体" w:eastAsia="黑体" w:cs="黑体"/>
          <w:color w:val="000000"/>
          <w:kern w:val="0"/>
          <w:sz w:val="70"/>
          <w:szCs w:val="70"/>
        </w:rPr>
      </w:pPr>
    </w:p>
    <w:p w:rsidR="00B113A2" w:rsidRDefault="00B113A2">
      <w:pPr>
        <w:jc w:val="center"/>
        <w:rPr>
          <w:rFonts w:ascii="黑体" w:eastAsia="黑体" w:cs="黑体"/>
          <w:color w:val="000000"/>
          <w:kern w:val="0"/>
          <w:sz w:val="70"/>
          <w:szCs w:val="70"/>
        </w:rPr>
      </w:pPr>
    </w:p>
    <w:p w:rsidR="00B113A2" w:rsidRDefault="00B113A2">
      <w:pPr>
        <w:widowControl/>
        <w:jc w:val="left"/>
        <w:rPr>
          <w:color w:val="333333"/>
          <w:sz w:val="28"/>
          <w:szCs w:val="28"/>
        </w:rPr>
      </w:pPr>
    </w:p>
    <w:p w:rsidR="00B113A2" w:rsidRDefault="00B113A2">
      <w:pPr>
        <w:pStyle w:val="a0"/>
        <w:rPr>
          <w:color w:val="333333"/>
          <w:sz w:val="28"/>
          <w:szCs w:val="28"/>
        </w:rPr>
      </w:pPr>
    </w:p>
    <w:p w:rsidR="00B113A2" w:rsidRDefault="00B113A2">
      <w:pPr>
        <w:pStyle w:val="a0"/>
        <w:rPr>
          <w:color w:val="333333"/>
          <w:sz w:val="28"/>
          <w:szCs w:val="28"/>
        </w:rPr>
      </w:pPr>
    </w:p>
    <w:p w:rsidR="00B113A2" w:rsidRDefault="004E39AB">
      <w:pPr>
        <w:widowControl/>
        <w:ind w:firstLineChars="200" w:firstLine="560"/>
        <w:jc w:val="left"/>
        <w:rPr>
          <w:color w:val="333333"/>
          <w:sz w:val="28"/>
          <w:szCs w:val="28"/>
        </w:rPr>
      </w:pPr>
      <w:r>
        <w:rPr>
          <w:rFonts w:hint="eastAsia"/>
          <w:color w:val="333333"/>
          <w:sz w:val="28"/>
          <w:szCs w:val="28"/>
        </w:rPr>
        <w:lastRenderedPageBreak/>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B113A2" w:rsidRDefault="004E39AB">
      <w:pPr>
        <w:widowControl/>
        <w:jc w:val="left"/>
        <w:rPr>
          <w:rFonts w:ascii="黑体" w:eastAsia="黑体" w:cs="黑体"/>
          <w:color w:val="000000"/>
          <w:kern w:val="0"/>
          <w:sz w:val="70"/>
          <w:szCs w:val="70"/>
        </w:rPr>
      </w:pPr>
      <w:r>
        <w:rPr>
          <w:rFonts w:hint="eastAsia"/>
          <w:color w:val="333333"/>
          <w:sz w:val="28"/>
          <w:szCs w:val="28"/>
        </w:rPr>
        <w:t xml:space="preserve">    </w:t>
      </w:r>
      <w:r>
        <w:rPr>
          <w:rFonts w:hint="eastAsia"/>
          <w:color w:val="333333"/>
          <w:sz w:val="28"/>
          <w:szCs w:val="28"/>
        </w:rPr>
        <w:t>二、事业收入：指事业单位开展专业业务活动及辅助活动所取得的收入。</w:t>
      </w:r>
      <w:r>
        <w:rPr>
          <w:rFonts w:hint="eastAsia"/>
          <w:color w:val="333333"/>
          <w:sz w:val="28"/>
          <w:szCs w:val="28"/>
        </w:rPr>
        <w:t>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rsidR="00B113A2" w:rsidRDefault="004E39AB">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十一、“三公”经费：</w:t>
      </w:r>
      <w:proofErr w:type="gramStart"/>
      <w:r>
        <w:rPr>
          <w:rFonts w:hint="eastAsia"/>
          <w:color w:val="333333"/>
          <w:sz w:val="28"/>
          <w:szCs w:val="28"/>
        </w:rPr>
        <w:t>指省财政</w:t>
      </w:r>
      <w:proofErr w:type="gramEnd"/>
      <w:r>
        <w:rPr>
          <w:rFonts w:hint="eastAsia"/>
          <w:color w:val="333333"/>
          <w:sz w:val="28"/>
          <w:szCs w:val="28"/>
        </w:rPr>
        <w:t>拨款安排的因公出国（境）费、公务用车购置及运行费和公务接待费。其中，因公出国（境）</w:t>
      </w:r>
      <w:proofErr w:type="gramStart"/>
      <w:r>
        <w:rPr>
          <w:rFonts w:hint="eastAsia"/>
          <w:color w:val="333333"/>
          <w:sz w:val="28"/>
          <w:szCs w:val="28"/>
        </w:rPr>
        <w:t>费反映</w:t>
      </w:r>
      <w:proofErr w:type="gramEnd"/>
      <w:r>
        <w:rPr>
          <w:rFonts w:hint="eastAsia"/>
          <w:color w:val="333333"/>
          <w:sz w:val="28"/>
          <w:szCs w:val="28"/>
        </w:rPr>
        <w:t>单位公务出国（境）的国际旅费、国外城市间交通费、住宿费、伙食费、培训费、公杂费等支出；公务用车购置及运行</w:t>
      </w:r>
      <w:proofErr w:type="gramStart"/>
      <w:r>
        <w:rPr>
          <w:rFonts w:hint="eastAsia"/>
          <w:color w:val="333333"/>
          <w:sz w:val="28"/>
          <w:szCs w:val="28"/>
        </w:rPr>
        <w:t>费反映</w:t>
      </w:r>
      <w:proofErr w:type="gramEnd"/>
      <w:r>
        <w:rPr>
          <w:rFonts w:hint="eastAsia"/>
          <w:color w:val="333333"/>
          <w:sz w:val="28"/>
          <w:szCs w:val="28"/>
        </w:rPr>
        <w:t>单位公务用车车辆购置支出（</w:t>
      </w:r>
      <w:proofErr w:type="gramStart"/>
      <w:r>
        <w:rPr>
          <w:rFonts w:hint="eastAsia"/>
          <w:color w:val="333333"/>
          <w:sz w:val="28"/>
          <w:szCs w:val="28"/>
        </w:rPr>
        <w:t>含车辆</w:t>
      </w:r>
      <w:proofErr w:type="gramEnd"/>
      <w:r>
        <w:rPr>
          <w:rFonts w:hint="eastAsia"/>
          <w:color w:val="333333"/>
          <w:sz w:val="28"/>
          <w:szCs w:val="28"/>
        </w:rPr>
        <w:t>购</w:t>
      </w:r>
      <w:r>
        <w:rPr>
          <w:rFonts w:hint="eastAsia"/>
          <w:color w:val="333333"/>
          <w:sz w:val="28"/>
          <w:szCs w:val="28"/>
        </w:rPr>
        <w:lastRenderedPageBreak/>
        <w:t>置税）及租用费、燃料费、维修费、过路过桥费、保险费、安全奖励费用等支出；公务接待</w:t>
      </w:r>
      <w:proofErr w:type="gramStart"/>
      <w:r>
        <w:rPr>
          <w:rFonts w:hint="eastAsia"/>
          <w:color w:val="333333"/>
          <w:sz w:val="28"/>
          <w:szCs w:val="28"/>
        </w:rPr>
        <w:t>费反映</w:t>
      </w:r>
      <w:proofErr w:type="gramEnd"/>
      <w:r>
        <w:rPr>
          <w:rFonts w:hint="eastAsia"/>
          <w:color w:val="333333"/>
          <w:sz w:val="28"/>
          <w:szCs w:val="28"/>
        </w:rPr>
        <w:t>单位按规定开支的各类公务接待（含外宾接待）支出。  </w:t>
      </w:r>
    </w:p>
    <w:p w:rsidR="00B113A2" w:rsidRDefault="004E39AB">
      <w:pPr>
        <w:widowControl/>
        <w:jc w:val="left"/>
        <w:rPr>
          <w:rFonts w:asciiTheme="minorEastAsia" w:hAnsiTheme="minorEastAsia"/>
          <w:i/>
          <w:color w:val="FF0000"/>
          <w:sz w:val="32"/>
          <w:szCs w:val="32"/>
        </w:rPr>
      </w:pPr>
      <w:r>
        <w:rPr>
          <w:rFonts w:hint="eastAsia"/>
          <w:color w:val="333333"/>
          <w:sz w:val="28"/>
          <w:szCs w:val="28"/>
        </w:rPr>
        <w:t xml:space="preserve">    </w:t>
      </w: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i/>
          <w:color w:val="FF0000"/>
          <w:sz w:val="32"/>
          <w:szCs w:val="32"/>
        </w:rPr>
        <w:br w:type="page"/>
      </w: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B113A2">
      <w:pPr>
        <w:pStyle w:val="Default"/>
        <w:jc w:val="center"/>
        <w:rPr>
          <w:sz w:val="72"/>
          <w:szCs w:val="72"/>
        </w:rPr>
      </w:pPr>
    </w:p>
    <w:p w:rsidR="00B113A2" w:rsidRDefault="004E39AB">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第五部分</w:t>
      </w:r>
    </w:p>
    <w:p w:rsidR="00B113A2" w:rsidRDefault="00B113A2">
      <w:pPr>
        <w:pStyle w:val="Default"/>
        <w:jc w:val="center"/>
        <w:rPr>
          <w:rFonts w:asciiTheme="minorHAnsi" w:eastAsiaTheme="minorEastAsia" w:cstheme="minorBidi"/>
          <w:color w:val="auto"/>
          <w:kern w:val="2"/>
          <w:sz w:val="72"/>
          <w:szCs w:val="72"/>
        </w:rPr>
      </w:pPr>
    </w:p>
    <w:p w:rsidR="00B113A2" w:rsidRDefault="004E39AB">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附件</w:t>
      </w: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B113A2">
      <w:pPr>
        <w:widowControl/>
        <w:jc w:val="center"/>
        <w:rPr>
          <w:rFonts w:asciiTheme="minorEastAsia" w:hAnsiTheme="minorEastAsia" w:cs="黑体"/>
          <w:b/>
          <w:color w:val="000000"/>
          <w:kern w:val="0"/>
          <w:sz w:val="32"/>
          <w:szCs w:val="32"/>
        </w:rPr>
      </w:pPr>
    </w:p>
    <w:p w:rsidR="00B113A2" w:rsidRDefault="004E39AB">
      <w:pPr>
        <w:widowControl/>
        <w:spacing w:line="540" w:lineRule="atLeast"/>
        <w:jc w:val="center"/>
        <w:rPr>
          <w:rFonts w:ascii="仿宋" w:eastAsia="仿宋" w:hAnsi="仿宋" w:cs="仿宋"/>
          <w:b/>
          <w:bCs/>
          <w:sz w:val="36"/>
          <w:szCs w:val="36"/>
        </w:rPr>
      </w:pPr>
      <w:r>
        <w:rPr>
          <w:rFonts w:ascii="仿宋" w:eastAsia="仿宋" w:hAnsi="仿宋" w:cs="仿宋" w:hint="eastAsia"/>
          <w:b/>
          <w:bCs/>
          <w:color w:val="000000"/>
          <w:kern w:val="0"/>
          <w:sz w:val="36"/>
          <w:szCs w:val="36"/>
        </w:rPr>
        <w:t>洪山镇2020年部门整体支出绩效自评报告</w:t>
      </w:r>
    </w:p>
    <w:p w:rsidR="00B113A2" w:rsidRDefault="004E39AB">
      <w:pPr>
        <w:ind w:firstLineChars="200" w:firstLine="560"/>
        <w:jc w:val="left"/>
        <w:rPr>
          <w:rFonts w:ascii="仿宋" w:eastAsia="仿宋" w:hAnsi="仿宋" w:cs="仿宋"/>
          <w:color w:val="333333"/>
          <w:spacing w:val="-2"/>
          <w:sz w:val="28"/>
          <w:szCs w:val="28"/>
        </w:rPr>
      </w:pPr>
      <w:r>
        <w:rPr>
          <w:rFonts w:ascii="仿宋" w:eastAsia="仿宋" w:hAnsi="仿宋" w:cs="仿宋" w:hint="eastAsia"/>
          <w:color w:val="000000"/>
          <w:kern w:val="0"/>
          <w:sz w:val="28"/>
          <w:szCs w:val="28"/>
        </w:rPr>
        <w:t> </w:t>
      </w:r>
      <w:r>
        <w:rPr>
          <w:rFonts w:ascii="仿宋" w:eastAsia="仿宋" w:hAnsi="仿宋" w:cs="仿宋" w:hint="eastAsia"/>
          <w:color w:val="333333"/>
          <w:spacing w:val="-2"/>
          <w:sz w:val="28"/>
          <w:szCs w:val="28"/>
        </w:rPr>
        <w:t>为加强财政预算资金管理，进一步规范预算资金使用，提高财政资金使用效益，根据《衡南县财政局关于开展2020年度财政资金绩效自评工作的通知》（</w:t>
      </w:r>
      <w:r>
        <w:rPr>
          <w:rFonts w:ascii="仿宋_GB2312" w:eastAsia="仿宋_GB2312" w:hAnsi="黑体" w:cs="仿宋_GB2312" w:hint="eastAsia"/>
          <w:bCs/>
          <w:sz w:val="32"/>
          <w:szCs w:val="32"/>
        </w:rPr>
        <w:t>清财绩[2021]66号）</w:t>
      </w:r>
      <w:r>
        <w:rPr>
          <w:rFonts w:ascii="仿宋" w:eastAsia="仿宋" w:hAnsi="仿宋" w:cs="仿宋" w:hint="eastAsia"/>
          <w:color w:val="333333"/>
          <w:spacing w:val="-2"/>
          <w:sz w:val="28"/>
          <w:szCs w:val="28"/>
        </w:rPr>
        <w:t>要求，我镇对2020年度本单位财政性资金整体使用情况进行了绩效自评，现将具体绩效评价情况报告如下：</w:t>
      </w:r>
    </w:p>
    <w:p w:rsidR="00B113A2" w:rsidRDefault="004E39AB">
      <w:pPr>
        <w:numPr>
          <w:ilvl w:val="0"/>
          <w:numId w:val="2"/>
        </w:numPr>
        <w:spacing w:line="600" w:lineRule="exact"/>
        <w:rPr>
          <w:rFonts w:ascii="黑体" w:eastAsia="黑体"/>
          <w:sz w:val="32"/>
          <w:szCs w:val="32"/>
        </w:rPr>
      </w:pPr>
      <w:r>
        <w:rPr>
          <w:rFonts w:ascii="黑体" w:eastAsia="黑体" w:hint="eastAsia"/>
          <w:sz w:val="32"/>
          <w:szCs w:val="32"/>
        </w:rPr>
        <w:t>单位基本情况</w:t>
      </w:r>
    </w:p>
    <w:p w:rsidR="00B113A2" w:rsidRDefault="004E39AB">
      <w:pPr>
        <w:shd w:val="solid" w:color="FFFFFF" w:fill="auto"/>
        <w:autoSpaceDN w:val="0"/>
        <w:ind w:firstLineChars="200" w:firstLine="640"/>
        <w:rPr>
          <w:rFonts w:ascii="仿宋" w:eastAsia="仿宋" w:hAnsi="仿宋"/>
          <w:bCs/>
          <w:color w:val="383838"/>
          <w:sz w:val="32"/>
          <w:shd w:val="clear" w:color="auto" w:fill="FFFFFF"/>
        </w:rPr>
      </w:pPr>
      <w:r>
        <w:rPr>
          <w:rFonts w:ascii="仿宋" w:eastAsia="仿宋" w:hAnsi="仿宋" w:hint="eastAsia"/>
          <w:bCs/>
          <w:color w:val="383838"/>
          <w:sz w:val="32"/>
          <w:shd w:val="clear" w:color="auto" w:fill="FFFFFF"/>
        </w:rPr>
        <w:t>洪山镇人民政府为全额财政拨款单位，纳入财政会计集中核算和国库集中支付体系，财务制度执行《预算法》、《行政单位会计制度》。</w:t>
      </w:r>
    </w:p>
    <w:p w:rsidR="00B113A2" w:rsidRDefault="004E39AB">
      <w:pPr>
        <w:numPr>
          <w:ilvl w:val="0"/>
          <w:numId w:val="3"/>
        </w:num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、机构设置情况</w:t>
      </w:r>
    </w:p>
    <w:p w:rsidR="00B113A2" w:rsidRDefault="004E39AB">
      <w:pPr>
        <w:spacing w:line="600" w:lineRule="exact"/>
        <w:rPr>
          <w:rFonts w:ascii="仿宋" w:eastAsia="仿宋" w:hAnsi="仿宋"/>
          <w:b/>
          <w:color w:val="383838"/>
          <w:sz w:val="32"/>
          <w:shd w:val="clear" w:color="auto" w:fill="FFFFFF"/>
        </w:rPr>
      </w:pPr>
      <w:r>
        <w:rPr>
          <w:rFonts w:ascii="仿宋" w:eastAsia="仿宋" w:hAnsi="仿宋" w:hint="eastAsia"/>
          <w:bCs/>
          <w:sz w:val="32"/>
          <w:shd w:val="clear" w:color="auto" w:fill="FFFFFF"/>
        </w:rPr>
        <w:t>截止2020年底全部实有人员共计32人，其中政府在职行政编25人，全额事业编7人。</w:t>
      </w:r>
    </w:p>
    <w:p w:rsidR="00B113A2" w:rsidRDefault="004E39AB" w:rsidP="00B113A2">
      <w:pPr>
        <w:spacing w:line="600" w:lineRule="exact"/>
        <w:ind w:leftChars="304" w:left="638"/>
        <w:rPr>
          <w:rFonts w:ascii="仿宋" w:eastAsia="仿宋" w:hAnsi="仿宋"/>
          <w:b/>
          <w:color w:val="383838"/>
          <w:sz w:val="32"/>
          <w:shd w:val="clear" w:color="auto" w:fill="FFFFFF"/>
        </w:rPr>
      </w:pPr>
      <w:r>
        <w:rPr>
          <w:rFonts w:ascii="仿宋" w:eastAsia="仿宋" w:hAnsi="仿宋" w:hint="eastAsia"/>
          <w:b/>
          <w:color w:val="383838"/>
          <w:sz w:val="32"/>
          <w:shd w:val="clear" w:color="auto" w:fill="FFFFFF"/>
        </w:rPr>
        <w:t>（二）主要工作职责</w:t>
      </w:r>
    </w:p>
    <w:p w:rsidR="00B113A2" w:rsidRDefault="004E39AB">
      <w:pPr>
        <w:spacing w:line="600" w:lineRule="exact"/>
        <w:rPr>
          <w:rFonts w:ascii="仿宋" w:eastAsia="仿宋" w:hAnsi="仿宋"/>
          <w:b/>
          <w:color w:val="383838"/>
          <w:sz w:val="32"/>
          <w:shd w:val="clear" w:color="auto" w:fill="FFFFFF"/>
        </w:rPr>
      </w:pPr>
      <w:r>
        <w:rPr>
          <w:rFonts w:ascii="仿宋" w:eastAsia="仿宋" w:hAnsi="仿宋" w:hint="eastAsia"/>
          <w:bCs/>
          <w:color w:val="383838"/>
          <w:sz w:val="32"/>
          <w:shd w:val="clear" w:color="auto" w:fill="FFFFFF"/>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 w:eastAsia="仿宋" w:hAnsi="仿宋" w:hint="eastAsia"/>
          <w:bCs/>
          <w:color w:val="383838"/>
          <w:sz w:val="32"/>
          <w:shd w:val="clear" w:color="auto" w:fill="FFFFFF"/>
        </w:rPr>
        <w:br/>
        <w:t>（2）制定并组织实施村镇建设规划，部署重点工程建设，地方道路建设及公共设施，水利设施的管理，负责土地、林木、水等自然资源和生态环境的保护，做好护林防火工作。</w:t>
      </w:r>
      <w:r>
        <w:rPr>
          <w:rFonts w:ascii="仿宋" w:eastAsia="仿宋" w:hAnsi="仿宋" w:hint="eastAsia"/>
          <w:bCs/>
          <w:color w:val="383838"/>
          <w:sz w:val="32"/>
          <w:shd w:val="clear" w:color="auto" w:fill="FFFFFF"/>
        </w:rPr>
        <w:br/>
        <w:t>（3）负责本行政区域内的党建、扶贫、民政、安全生产、教育、卫生、计划生育、文体等社会公益事业的综合性工作，维护一切经济单位和个人的正当经济权益，取缔非法经济活动，调解和处理民</w:t>
      </w:r>
      <w:r>
        <w:rPr>
          <w:rFonts w:ascii="仿宋" w:eastAsia="仿宋" w:hAnsi="仿宋" w:hint="eastAsia"/>
          <w:bCs/>
          <w:color w:val="383838"/>
          <w:sz w:val="32"/>
          <w:shd w:val="clear" w:color="auto" w:fill="FFFFFF"/>
        </w:rPr>
        <w:lastRenderedPageBreak/>
        <w:t>事纠纷，打击刑事犯罪，维护社会稳定。</w:t>
      </w:r>
      <w:r>
        <w:rPr>
          <w:rFonts w:ascii="仿宋" w:eastAsia="仿宋" w:hAnsi="仿宋" w:hint="eastAsia"/>
          <w:bCs/>
          <w:color w:val="383838"/>
          <w:sz w:val="32"/>
          <w:shd w:val="clear" w:color="auto" w:fill="FFFFFF"/>
        </w:rPr>
        <w:br/>
        <w:t>（4）按计划组织本级财政收入和地方税的征收，完成国家财政计划，不断培植税源，管好财政资金，增强财政实力。</w:t>
      </w:r>
      <w:r>
        <w:rPr>
          <w:rFonts w:ascii="仿宋" w:eastAsia="仿宋" w:hAnsi="仿宋" w:hint="eastAsia"/>
          <w:bCs/>
          <w:color w:val="383838"/>
          <w:sz w:val="32"/>
          <w:shd w:val="clear" w:color="auto" w:fill="FFFFFF"/>
        </w:rPr>
        <w:br/>
        <w:t>（5）抓好精神文明建设，丰富群众文化生活，提倡移风易俗，反对封建迷信，破除陈规陋习，树立社会主义新风尚。</w:t>
      </w:r>
      <w:r>
        <w:rPr>
          <w:rFonts w:ascii="仿宋" w:eastAsia="仿宋" w:hAnsi="仿宋" w:hint="eastAsia"/>
          <w:bCs/>
          <w:color w:val="383838"/>
          <w:sz w:val="32"/>
          <w:shd w:val="clear" w:color="auto" w:fill="FFFFFF"/>
        </w:rPr>
        <w:br/>
        <w:t>（6）完成上级政府交办的其它事项。</w:t>
      </w:r>
    </w:p>
    <w:p w:rsidR="00B113A2" w:rsidRDefault="00B113A2" w:rsidP="00B113A2">
      <w:pPr>
        <w:spacing w:line="600" w:lineRule="exact"/>
        <w:ind w:leftChars="304" w:left="638"/>
        <w:rPr>
          <w:rFonts w:ascii="仿宋" w:eastAsia="仿宋" w:hAnsi="仿宋"/>
          <w:b/>
          <w:color w:val="383838"/>
          <w:sz w:val="32"/>
          <w:shd w:val="clear" w:color="auto" w:fill="FFFFFF"/>
        </w:rPr>
      </w:pPr>
    </w:p>
    <w:p w:rsidR="00B113A2" w:rsidRDefault="004E39AB">
      <w:pPr>
        <w:spacing w:line="600" w:lineRule="exact"/>
        <w:ind w:firstLineChars="200" w:firstLine="640"/>
        <w:rPr>
          <w:rFonts w:ascii="黑体" w:eastAsia="黑体"/>
          <w:sz w:val="32"/>
          <w:szCs w:val="32"/>
        </w:rPr>
      </w:pPr>
      <w:r>
        <w:rPr>
          <w:rFonts w:ascii="黑体" w:eastAsia="黑体" w:hint="eastAsia"/>
          <w:sz w:val="32"/>
          <w:szCs w:val="32"/>
        </w:rPr>
        <w:t>二、部门整体支出管理及使用情况</w:t>
      </w:r>
    </w:p>
    <w:p w:rsidR="00B113A2" w:rsidRDefault="004E39AB" w:rsidP="00B113A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（一）部门预算决算收支情况</w:t>
      </w:r>
    </w:p>
    <w:p w:rsidR="00B113A2" w:rsidRDefault="004E39AB">
      <w:pPr>
        <w:spacing w:line="600" w:lineRule="exact"/>
        <w:ind w:firstLineChars="200" w:firstLine="640"/>
        <w:rPr>
          <w:rFonts w:ascii="仿宋" w:eastAsia="仿宋" w:hAnsi="仿宋" w:cs="仿宋"/>
          <w:color w:val="FF0000"/>
          <w:sz w:val="32"/>
          <w:szCs w:val="32"/>
        </w:rPr>
      </w:pPr>
      <w:r>
        <w:rPr>
          <w:rFonts w:ascii="仿宋" w:eastAsia="仿宋" w:hAnsi="仿宋" w:cs="Times New Roman" w:hint="eastAsia"/>
          <w:bCs/>
          <w:sz w:val="32"/>
          <w:shd w:val="clear" w:color="auto" w:fill="FFFFFF"/>
        </w:rPr>
        <w:t>20</w:t>
      </w:r>
      <w:r>
        <w:rPr>
          <w:rFonts w:ascii="仿宋" w:eastAsia="仿宋" w:hAnsi="仿宋" w:cs="仿宋" w:hint="eastAsia"/>
          <w:spacing w:val="-2"/>
          <w:sz w:val="28"/>
          <w:szCs w:val="28"/>
        </w:rPr>
        <w:t>20</w:t>
      </w:r>
      <w:r>
        <w:rPr>
          <w:rFonts w:ascii="仿宋" w:eastAsia="仿宋" w:hAnsi="仿宋" w:cs="Times New Roman" w:hint="eastAsia"/>
          <w:bCs/>
          <w:sz w:val="32"/>
          <w:shd w:val="clear" w:color="auto" w:fill="FFFFFF"/>
        </w:rPr>
        <w:t>年年初预算收入</w:t>
      </w:r>
      <w:r>
        <w:rPr>
          <w:rFonts w:ascii="仿宋" w:eastAsia="仿宋" w:hAnsi="仿宋" w:cs="仿宋" w:hint="eastAsia"/>
          <w:sz w:val="32"/>
          <w:szCs w:val="32"/>
        </w:rPr>
        <w:t>774.21</w:t>
      </w:r>
      <w:r>
        <w:rPr>
          <w:rFonts w:ascii="仿宋" w:eastAsia="仿宋" w:hAnsi="仿宋" w:cs="Times New Roman" w:hint="eastAsia"/>
          <w:bCs/>
          <w:sz w:val="32"/>
          <w:shd w:val="clear" w:color="auto" w:fill="FFFFFF"/>
        </w:rPr>
        <w:t>万元，</w:t>
      </w:r>
      <w:r>
        <w:rPr>
          <w:rFonts w:ascii="仿宋" w:eastAsia="仿宋" w:hAnsi="仿宋" w:cs="仿宋" w:hint="eastAsia"/>
          <w:sz w:val="32"/>
          <w:szCs w:val="32"/>
        </w:rPr>
        <w:t>其中：工资福利支出233.61万元，一般商品和服务支出113.6万元，对个人和家庭的补助3万元，项目支出424万元。</w:t>
      </w:r>
    </w:p>
    <w:p w:rsidR="00B113A2" w:rsidRDefault="004E39A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年决算收入1482.59万元。本年度总支出1482.59万元，其中：</w:t>
      </w:r>
      <w:r>
        <w:rPr>
          <w:rFonts w:ascii="仿宋" w:eastAsia="仿宋" w:hAnsi="仿宋" w:cs="仿宋" w:hint="eastAsia"/>
          <w:color w:val="333333"/>
          <w:sz w:val="32"/>
          <w:szCs w:val="32"/>
        </w:rPr>
        <w:t>工资福利支出296.44万元，一般商品和服务支出116.22万元，对个人和家庭的补助17.1万元，资本性支出1.44万元；项目支出1051.39万元</w:t>
      </w:r>
      <w:r>
        <w:rPr>
          <w:rFonts w:ascii="仿宋" w:eastAsia="仿宋" w:hAnsi="仿宋" w:cs="Times New Roman" w:hint="eastAsia"/>
          <w:bCs/>
          <w:color w:val="383838"/>
          <w:sz w:val="32"/>
          <w:shd w:val="clear" w:color="auto" w:fill="FFFFFF"/>
        </w:rPr>
        <w:t>。</w:t>
      </w:r>
    </w:p>
    <w:p w:rsidR="00B113A2" w:rsidRDefault="004E39AB" w:rsidP="00B113A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（二）支出分类情况。</w:t>
      </w:r>
    </w:p>
    <w:p w:rsidR="00B113A2" w:rsidRDefault="004E39AB" w:rsidP="00B113A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t>1.基本支出</w:t>
      </w:r>
    </w:p>
    <w:p w:rsidR="00B113A2" w:rsidRDefault="004E39A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基本支出为保障单位机构正常运转、完成日常工作任务而发生的各项支出，包括用于基本工资、津贴补贴等人员经费以及办公费、印刷费、水电费等日常公用经费。</w:t>
      </w:r>
    </w:p>
    <w:p w:rsidR="00B113A2" w:rsidRDefault="004E39A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sz w:val="32"/>
          <w:shd w:val="clear" w:color="auto" w:fill="FFFFFF"/>
        </w:rPr>
        <w:t>2020年年初预算批复的基本支出为350.21万元</w:t>
      </w:r>
      <w:r>
        <w:rPr>
          <w:rFonts w:ascii="仿宋" w:eastAsia="仿宋" w:hAnsi="仿宋" w:cs="Times New Roman" w:hint="eastAsia"/>
          <w:bCs/>
          <w:color w:val="383838"/>
          <w:sz w:val="32"/>
          <w:shd w:val="clear" w:color="auto" w:fill="FFFFFF"/>
        </w:rPr>
        <w:t>，2020年决算基本支出431.2万元，其中：</w:t>
      </w:r>
      <w:r>
        <w:rPr>
          <w:rFonts w:ascii="仿宋" w:eastAsia="仿宋" w:hAnsi="仿宋" w:cs="仿宋" w:hint="eastAsia"/>
          <w:color w:val="333333"/>
          <w:sz w:val="32"/>
          <w:szCs w:val="32"/>
        </w:rPr>
        <w:t>工资福利支出296.44万元，一般商品和服务支出116.22万元，对个人和家庭的补助17.1万元，资本性支出1.44万元</w:t>
      </w:r>
      <w:r>
        <w:rPr>
          <w:rFonts w:ascii="仿宋" w:eastAsia="仿宋" w:hAnsi="仿宋" w:cs="Times New Roman" w:hint="eastAsia"/>
          <w:bCs/>
          <w:color w:val="383838"/>
          <w:sz w:val="32"/>
          <w:shd w:val="clear" w:color="auto" w:fill="FFFFFF"/>
        </w:rPr>
        <w:t>。</w:t>
      </w:r>
    </w:p>
    <w:p w:rsidR="00B113A2" w:rsidRDefault="004E39AB" w:rsidP="00B113A2">
      <w:pPr>
        <w:shd w:val="solid" w:color="FFFFFF" w:fill="auto"/>
        <w:autoSpaceDN w:val="0"/>
        <w:ind w:firstLineChars="200" w:firstLine="643"/>
        <w:rPr>
          <w:rFonts w:ascii="仿宋" w:eastAsia="仿宋" w:hAnsi="仿宋" w:cs="Times New Roman"/>
          <w:b/>
          <w:color w:val="383838"/>
          <w:sz w:val="32"/>
          <w:shd w:val="clear" w:color="auto" w:fill="FFFFFF"/>
        </w:rPr>
      </w:pPr>
      <w:r>
        <w:rPr>
          <w:rFonts w:ascii="仿宋" w:eastAsia="仿宋" w:hAnsi="仿宋" w:cs="Times New Roman" w:hint="eastAsia"/>
          <w:b/>
          <w:color w:val="383838"/>
          <w:sz w:val="32"/>
          <w:shd w:val="clear" w:color="auto" w:fill="FFFFFF"/>
        </w:rPr>
        <w:lastRenderedPageBreak/>
        <w:t>2.“三公”经费情况</w:t>
      </w:r>
    </w:p>
    <w:p w:rsidR="00B113A2" w:rsidRDefault="004E39A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w:t>
      </w:r>
      <w:r>
        <w:rPr>
          <w:rFonts w:ascii="仿宋" w:eastAsia="仿宋" w:hAnsi="仿宋" w:cs="仿宋" w:hint="eastAsia"/>
          <w:color w:val="333333"/>
          <w:spacing w:val="-2"/>
          <w:sz w:val="28"/>
          <w:szCs w:val="28"/>
        </w:rPr>
        <w:t>20</w:t>
      </w:r>
      <w:r>
        <w:rPr>
          <w:rFonts w:ascii="仿宋" w:eastAsia="仿宋" w:hAnsi="仿宋" w:cs="Times New Roman" w:hint="eastAsia"/>
          <w:bCs/>
          <w:color w:val="383838"/>
          <w:sz w:val="32"/>
          <w:shd w:val="clear" w:color="auto" w:fill="FFFFFF"/>
        </w:rPr>
        <w:t>年“三公”经费实际支出25.9万元，其中公务接待15.9万元，公务用车10万元，2020年“三公”经费比上年减少1.1万元。</w:t>
      </w:r>
    </w:p>
    <w:p w:rsidR="00B113A2" w:rsidRDefault="004E39AB">
      <w:pPr>
        <w:shd w:val="solid" w:color="FFFFFF" w:fill="auto"/>
        <w:autoSpaceDN w:val="0"/>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我镇三</w:t>
      </w:r>
      <w:proofErr w:type="gramStart"/>
      <w:r>
        <w:rPr>
          <w:rFonts w:ascii="仿宋" w:eastAsia="仿宋" w:hAnsi="仿宋" w:cs="Times New Roman" w:hint="eastAsia"/>
          <w:bCs/>
          <w:color w:val="383838"/>
          <w:sz w:val="32"/>
          <w:shd w:val="clear" w:color="auto" w:fill="FFFFFF"/>
        </w:rPr>
        <w:t>公经费</w:t>
      </w:r>
      <w:proofErr w:type="gramEnd"/>
      <w:r>
        <w:rPr>
          <w:rFonts w:ascii="仿宋" w:eastAsia="仿宋" w:hAnsi="仿宋" w:cs="Times New Roman" w:hint="eastAsia"/>
          <w:bCs/>
          <w:color w:val="383838"/>
          <w:sz w:val="32"/>
          <w:shd w:val="clear" w:color="auto" w:fill="FFFFFF"/>
        </w:rPr>
        <w:t>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w:t>
      </w:r>
      <w:proofErr w:type="gramStart"/>
      <w:r>
        <w:rPr>
          <w:rFonts w:ascii="仿宋" w:eastAsia="仿宋" w:hAnsi="仿宋" w:cs="Times New Roman" w:hint="eastAsia"/>
          <w:bCs/>
          <w:color w:val="383838"/>
          <w:sz w:val="32"/>
          <w:shd w:val="clear" w:color="auto" w:fill="FFFFFF"/>
        </w:rPr>
        <w:t>一</w:t>
      </w:r>
      <w:proofErr w:type="gramEnd"/>
      <w:r>
        <w:rPr>
          <w:rFonts w:ascii="仿宋" w:eastAsia="仿宋" w:hAnsi="仿宋" w:cs="Times New Roman" w:hint="eastAsia"/>
          <w:bCs/>
          <w:color w:val="383838"/>
          <w:sz w:val="32"/>
          <w:shd w:val="clear" w:color="auto" w:fill="FFFFFF"/>
        </w:rPr>
        <w:t>公函、一事</w:t>
      </w:r>
      <w:proofErr w:type="gramStart"/>
      <w:r>
        <w:rPr>
          <w:rFonts w:ascii="仿宋" w:eastAsia="仿宋" w:hAnsi="仿宋" w:cs="Times New Roman" w:hint="eastAsia"/>
          <w:bCs/>
          <w:color w:val="383838"/>
          <w:sz w:val="32"/>
          <w:shd w:val="clear" w:color="auto" w:fill="FFFFFF"/>
        </w:rPr>
        <w:t>一</w:t>
      </w:r>
      <w:proofErr w:type="gramEnd"/>
      <w:r>
        <w:rPr>
          <w:rFonts w:ascii="仿宋" w:eastAsia="仿宋" w:hAnsi="仿宋" w:cs="Times New Roman" w:hint="eastAsia"/>
          <w:bCs/>
          <w:color w:val="383838"/>
          <w:sz w:val="32"/>
          <w:shd w:val="clear" w:color="auto" w:fill="FFFFFF"/>
        </w:rPr>
        <w:t>审批、一事</w:t>
      </w:r>
      <w:proofErr w:type="gramStart"/>
      <w:r>
        <w:rPr>
          <w:rFonts w:ascii="仿宋" w:eastAsia="仿宋" w:hAnsi="仿宋" w:cs="Times New Roman" w:hint="eastAsia"/>
          <w:bCs/>
          <w:color w:val="383838"/>
          <w:sz w:val="32"/>
          <w:shd w:val="clear" w:color="auto" w:fill="FFFFFF"/>
        </w:rPr>
        <w:t>一</w:t>
      </w:r>
      <w:proofErr w:type="gramEnd"/>
      <w:r>
        <w:rPr>
          <w:rFonts w:ascii="仿宋" w:eastAsia="仿宋" w:hAnsi="仿宋" w:cs="Times New Roman" w:hint="eastAsia"/>
          <w:bCs/>
          <w:color w:val="383838"/>
          <w:sz w:val="32"/>
          <w:shd w:val="clear" w:color="auto" w:fill="FFFFFF"/>
        </w:rPr>
        <w:t>结账，会议费和培训费严格按年初计划和制度规定的标准执行。各项费用报账支出严格履行报账单“</w:t>
      </w:r>
      <w:proofErr w:type="gramStart"/>
      <w:r>
        <w:rPr>
          <w:rFonts w:ascii="仿宋" w:eastAsia="仿宋" w:hAnsi="仿宋" w:cs="Times New Roman" w:hint="eastAsia"/>
          <w:bCs/>
          <w:color w:val="383838"/>
          <w:sz w:val="32"/>
          <w:shd w:val="clear" w:color="auto" w:fill="FFFFFF"/>
        </w:rPr>
        <w:t>一单五签</w:t>
      </w:r>
      <w:proofErr w:type="gramEnd"/>
      <w:r>
        <w:rPr>
          <w:rFonts w:ascii="仿宋" w:eastAsia="仿宋" w:hAnsi="仿宋" w:cs="Times New Roman" w:hint="eastAsia"/>
          <w:bCs/>
          <w:color w:val="383838"/>
          <w:sz w:val="32"/>
          <w:shd w:val="clear" w:color="auto" w:fill="FFFFFF"/>
        </w:rPr>
        <w:t xml:space="preserve">”程序，重大事项严格遵守：“三重一大”制度，“三公”经费较好地控制在预算范围之内。                                                                                                                                                                                                                                                                                                                                                                                                                                                                                                                                                                    </w:t>
      </w:r>
    </w:p>
    <w:p w:rsidR="00B113A2" w:rsidRDefault="00B113A2">
      <w:pPr>
        <w:spacing w:line="600" w:lineRule="exact"/>
        <w:ind w:firstLineChars="200" w:firstLine="640"/>
        <w:rPr>
          <w:rFonts w:ascii="仿宋_GB2312" w:eastAsia="仿宋_GB2312" w:hAnsi="仿宋_GB2312" w:cs="仿宋_GB2312"/>
          <w:sz w:val="32"/>
          <w:szCs w:val="32"/>
        </w:rPr>
      </w:pPr>
    </w:p>
    <w:p w:rsidR="00B113A2" w:rsidRDefault="004E39AB">
      <w:pPr>
        <w:spacing w:line="600" w:lineRule="exact"/>
        <w:ind w:firstLineChars="200" w:firstLine="640"/>
        <w:rPr>
          <w:rFonts w:ascii="黑体" w:eastAsia="黑体"/>
          <w:sz w:val="32"/>
          <w:szCs w:val="32"/>
        </w:rPr>
      </w:pPr>
      <w:r>
        <w:rPr>
          <w:rFonts w:ascii="黑体" w:eastAsia="黑体" w:hint="eastAsia"/>
          <w:sz w:val="32"/>
          <w:szCs w:val="32"/>
        </w:rPr>
        <w:t>三、绩效评价工作情况</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（一）评价目的</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2021年</w:t>
      </w:r>
      <w:bookmarkStart w:id="0" w:name="_GoBack"/>
      <w:bookmarkEnd w:id="0"/>
      <w:r>
        <w:rPr>
          <w:rFonts w:ascii="仿宋" w:eastAsia="仿宋" w:hAnsi="仿宋" w:cs="Times New Roman" w:hint="eastAsia"/>
          <w:bCs/>
          <w:color w:val="383838"/>
          <w:sz w:val="32"/>
          <w:szCs w:val="24"/>
          <w:shd w:val="clear" w:color="auto" w:fill="FFFFFF"/>
        </w:rPr>
        <w:t>各项工作的开展。</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（二）评价方法</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根据衡南县财政局《衡南县预算绩效管理工作考核办法》（</w:t>
      </w:r>
      <w:proofErr w:type="gramStart"/>
      <w:r>
        <w:rPr>
          <w:rFonts w:ascii="仿宋" w:eastAsia="仿宋" w:hAnsi="仿宋" w:cs="Times New Roman" w:hint="eastAsia"/>
          <w:bCs/>
          <w:color w:val="383838"/>
          <w:sz w:val="32"/>
          <w:szCs w:val="24"/>
          <w:shd w:val="clear" w:color="auto" w:fill="FFFFFF"/>
        </w:rPr>
        <w:t>南财预</w:t>
      </w:r>
      <w:proofErr w:type="gramEnd"/>
      <w:r>
        <w:rPr>
          <w:rFonts w:ascii="仿宋" w:eastAsia="仿宋" w:hAnsi="仿宋" w:cs="Times New Roman" w:hint="eastAsia"/>
          <w:bCs/>
          <w:color w:val="383838"/>
          <w:sz w:val="32"/>
          <w:szCs w:val="24"/>
          <w:shd w:val="clear" w:color="auto" w:fill="FFFFFF"/>
        </w:rPr>
        <w:t>[2015]174号）及县财政局会议精神，我镇成立了绩效评价工作组，于2021年10月中旬起开展了部门整体支出绩效评价工作，具体工作方法包括：</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1、查阅资料。查阅2020年度预算安排、预算追加、经费支出、</w:t>
      </w:r>
      <w:r>
        <w:rPr>
          <w:rFonts w:ascii="仿宋" w:eastAsia="仿宋" w:hAnsi="仿宋" w:cs="Times New Roman" w:hint="eastAsia"/>
          <w:bCs/>
          <w:color w:val="383838"/>
          <w:sz w:val="32"/>
          <w:szCs w:val="24"/>
          <w:shd w:val="clear" w:color="auto" w:fill="FFFFFF"/>
        </w:rPr>
        <w:lastRenderedPageBreak/>
        <w:t>资金管理、资产管理等相关文件资料和财务凭证。</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2、核实数据。对2020年度部门整体支出数据的准确性、真实性进行核实，将2020年度部门整体支出情况与2020年度预算情况、2020年度部门整体支出情况进行比较分析。</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3、实地查看。现场查看各类实物资产。</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4、汇总归纳。根据取得的各项数据及文件资料，结合现场评价情况进行综合分析、归纳汇总，填写基础数据表、评价指标评分表。</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5、形成绩效评价报告。</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黑体" w:eastAsia="黑体" w:hint="eastAsia"/>
          <w:sz w:val="32"/>
          <w:szCs w:val="32"/>
        </w:rPr>
        <w:t>四、部门总体支出绩效评价</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2020年我镇根据年初工作规划及财政预算计划，积极履职、强化管理，较好的完成了年度工作目标。通过加强预算收支管理、不断建立健全内部管理制度、梳理内部管理流程，部门整体支出管理情况得到提升。我镇2020年度部门整体支出绩效评价自评得分为</w:t>
      </w:r>
      <w:r>
        <w:rPr>
          <w:rFonts w:ascii="仿宋" w:eastAsia="仿宋" w:hAnsi="仿宋" w:cs="Times New Roman" w:hint="eastAsia"/>
          <w:bCs/>
          <w:sz w:val="32"/>
          <w:shd w:val="clear" w:color="auto" w:fill="FFFFFF"/>
        </w:rPr>
        <w:t>96</w:t>
      </w:r>
      <w:r>
        <w:rPr>
          <w:rFonts w:ascii="仿宋" w:eastAsia="仿宋" w:hAnsi="仿宋" w:cs="Times New Roman" w:hint="eastAsia"/>
          <w:bCs/>
          <w:color w:val="383838"/>
          <w:sz w:val="32"/>
          <w:shd w:val="clear" w:color="auto" w:fill="FFFFFF"/>
        </w:rPr>
        <w:t>分。具体工作主要体现在以下几个方面：</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一是依法依规公开部门预决算。根据全县部门预决算公开工作统一安排部署，我部公开了2020年部门预算和“三公”经费预算，社会反响良好，圆满完成了“三公”经费预算公开工作。</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二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w:t>
      </w:r>
      <w:r>
        <w:rPr>
          <w:rFonts w:ascii="仿宋" w:eastAsia="仿宋" w:hAnsi="仿宋" w:cs="Times New Roman" w:hint="eastAsia"/>
          <w:bCs/>
          <w:color w:val="383838"/>
          <w:sz w:val="32"/>
          <w:shd w:val="clear" w:color="auto" w:fill="FFFFFF"/>
        </w:rPr>
        <w:lastRenderedPageBreak/>
        <w:t>总额以内。</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三是加强资产管理。建立了资产管理制度，固定资产利用率高于90%，定期进行了资产盘点和资产清理，总体执行情况良好。</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w:t>
      </w:r>
      <w:proofErr w:type="gramStart"/>
      <w:r>
        <w:rPr>
          <w:rFonts w:ascii="仿宋" w:eastAsia="仿宋" w:hAnsi="仿宋" w:cs="Times New Roman" w:hint="eastAsia"/>
          <w:bCs/>
          <w:color w:val="383838"/>
          <w:sz w:val="32"/>
          <w:shd w:val="clear" w:color="auto" w:fill="FFFFFF"/>
        </w:rPr>
        <w:t>度程度</w:t>
      </w:r>
      <w:proofErr w:type="gramEnd"/>
      <w:r>
        <w:rPr>
          <w:rFonts w:ascii="仿宋" w:eastAsia="仿宋" w:hAnsi="仿宋" w:cs="Times New Roman" w:hint="eastAsia"/>
          <w:bCs/>
          <w:color w:val="383838"/>
          <w:sz w:val="32"/>
          <w:shd w:val="clear" w:color="auto" w:fill="FFFFFF"/>
        </w:rPr>
        <w:t>达到百分之九十八分。</w:t>
      </w:r>
    </w:p>
    <w:p w:rsidR="00B113A2" w:rsidRDefault="004E39AB">
      <w:pPr>
        <w:spacing w:line="600" w:lineRule="exact"/>
        <w:ind w:firstLineChars="200" w:firstLine="640"/>
        <w:rPr>
          <w:rFonts w:ascii="仿宋" w:eastAsia="仿宋" w:hAnsi="仿宋" w:cs="Times New Roman"/>
          <w:bCs/>
          <w:color w:val="383838"/>
          <w:sz w:val="32"/>
          <w:shd w:val="clear" w:color="auto" w:fill="FFFFFF"/>
        </w:rPr>
      </w:pPr>
      <w:r>
        <w:rPr>
          <w:rFonts w:ascii="仿宋" w:eastAsia="仿宋" w:hAnsi="仿宋" w:cs="Times New Roman" w:hint="eastAsia"/>
          <w:bCs/>
          <w:color w:val="383838"/>
          <w:sz w:val="32"/>
          <w:shd w:val="clear" w:color="auto" w:fill="FFFFFF"/>
        </w:rPr>
        <w:t>五是项目支出方面，主要是村级转移支付和新农村建设。村级转移性支付项目主要用于村级工作运转，包含村干部工资、妇女及小组长工资、村级办公运转经费、</w:t>
      </w:r>
      <w:proofErr w:type="gramStart"/>
      <w:r>
        <w:rPr>
          <w:rFonts w:ascii="仿宋" w:eastAsia="仿宋" w:hAnsi="仿宋" w:cs="Times New Roman" w:hint="eastAsia"/>
          <w:bCs/>
          <w:color w:val="383838"/>
          <w:sz w:val="32"/>
          <w:shd w:val="clear" w:color="auto" w:fill="FFFFFF"/>
        </w:rPr>
        <w:t>离任村干生活</w:t>
      </w:r>
      <w:proofErr w:type="gramEnd"/>
      <w:r>
        <w:rPr>
          <w:rFonts w:ascii="仿宋" w:eastAsia="仿宋" w:hAnsi="仿宋" w:cs="Times New Roman" w:hint="eastAsia"/>
          <w:bCs/>
          <w:color w:val="383838"/>
          <w:sz w:val="32"/>
          <w:shd w:val="clear" w:color="auto" w:fill="FFFFFF"/>
        </w:rPr>
        <w:t>补助、会议误工、交通补助以及其他支出，其他支出包含农村清洁工</w:t>
      </w:r>
      <w:proofErr w:type="gramStart"/>
      <w:r>
        <w:rPr>
          <w:rFonts w:ascii="仿宋" w:eastAsia="仿宋" w:hAnsi="仿宋" w:cs="Times New Roman" w:hint="eastAsia"/>
          <w:bCs/>
          <w:color w:val="383838"/>
          <w:sz w:val="32"/>
          <w:shd w:val="clear" w:color="auto" w:fill="FFFFFF"/>
        </w:rPr>
        <w:t>程资金</w:t>
      </w:r>
      <w:proofErr w:type="gramEnd"/>
      <w:r>
        <w:rPr>
          <w:rFonts w:ascii="仿宋" w:eastAsia="仿宋" w:hAnsi="仿宋" w:cs="Times New Roman" w:hint="eastAsia"/>
          <w:bCs/>
          <w:color w:val="383838"/>
          <w:sz w:val="32"/>
          <w:shd w:val="clear" w:color="auto" w:fill="FFFFFF"/>
        </w:rPr>
        <w:t>等。2020年村级转移支付项目支付</w:t>
      </w:r>
      <w:proofErr w:type="gramStart"/>
      <w:r>
        <w:rPr>
          <w:rFonts w:ascii="仿宋" w:eastAsia="仿宋" w:hAnsi="仿宋" w:cs="Times New Roman" w:hint="eastAsia"/>
          <w:bCs/>
          <w:color w:val="383838"/>
          <w:sz w:val="32"/>
          <w:shd w:val="clear" w:color="auto" w:fill="FFFFFF"/>
        </w:rPr>
        <w:t>到达村账村均金额</w:t>
      </w:r>
      <w:proofErr w:type="gramEnd"/>
      <w:r>
        <w:rPr>
          <w:rFonts w:ascii="仿宋" w:eastAsia="仿宋" w:hAnsi="仿宋" w:cs="Times New Roman" w:hint="eastAsia"/>
          <w:bCs/>
          <w:color w:val="383838"/>
          <w:sz w:val="32"/>
          <w:shd w:val="clear" w:color="auto" w:fill="FFFFFF"/>
        </w:rPr>
        <w:t>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 。</w:t>
      </w:r>
    </w:p>
    <w:p w:rsidR="00B113A2" w:rsidRDefault="004E39AB">
      <w:pPr>
        <w:spacing w:line="600" w:lineRule="exact"/>
        <w:ind w:firstLineChars="200" w:firstLine="640"/>
        <w:rPr>
          <w:rFonts w:ascii="黑体" w:eastAsia="黑体"/>
          <w:sz w:val="32"/>
          <w:szCs w:val="32"/>
        </w:rPr>
      </w:pPr>
      <w:r>
        <w:rPr>
          <w:rFonts w:ascii="黑体" w:eastAsia="黑体" w:hint="eastAsia"/>
          <w:sz w:val="32"/>
          <w:szCs w:val="32"/>
        </w:rPr>
        <w:t>五、存在的主要问题</w:t>
      </w:r>
    </w:p>
    <w:p w:rsidR="00B113A2" w:rsidRDefault="004E39AB">
      <w:pPr>
        <w:spacing w:line="600" w:lineRule="exact"/>
        <w:ind w:firstLineChars="200" w:firstLine="640"/>
        <w:rPr>
          <w:rFonts w:ascii="仿宋" w:eastAsia="仿宋" w:hAnsi="仿宋" w:cs="Times New Roman"/>
          <w:bCs/>
          <w:color w:val="383838"/>
          <w:sz w:val="32"/>
          <w:szCs w:val="24"/>
          <w:shd w:val="clear" w:color="auto" w:fill="FFFFFF"/>
        </w:rPr>
      </w:pPr>
      <w:r>
        <w:rPr>
          <w:rFonts w:ascii="仿宋" w:eastAsia="仿宋" w:hAnsi="仿宋" w:cs="Times New Roman" w:hint="eastAsia"/>
          <w:bCs/>
          <w:color w:val="383838"/>
          <w:sz w:val="32"/>
          <w:szCs w:val="24"/>
          <w:shd w:val="clear" w:color="auto" w:fill="FFFFFF"/>
        </w:rPr>
        <w:t>年初编制的预算只能在县级已出台的政策框架之内，不能预测，编制也就无法精确，导致年内预算追加较大，预算控制率较低；编制年初预算时较为精细，按照费用支出的使用范围和内容，进行了基本支出、项目支出的严格区分，并按照预算的</w:t>
      </w:r>
      <w:proofErr w:type="gramStart"/>
      <w:r>
        <w:rPr>
          <w:rFonts w:ascii="仿宋" w:eastAsia="仿宋" w:hAnsi="仿宋" w:cs="Times New Roman" w:hint="eastAsia"/>
          <w:bCs/>
          <w:color w:val="383838"/>
          <w:sz w:val="32"/>
          <w:szCs w:val="24"/>
          <w:shd w:val="clear" w:color="auto" w:fill="FFFFFF"/>
        </w:rPr>
        <w:t>最末级明细</w:t>
      </w:r>
      <w:proofErr w:type="gramEnd"/>
      <w:r>
        <w:rPr>
          <w:rFonts w:ascii="仿宋" w:eastAsia="仿宋" w:hAnsi="仿宋" w:cs="Times New Roman" w:hint="eastAsia"/>
          <w:bCs/>
          <w:color w:val="383838"/>
          <w:sz w:val="32"/>
          <w:szCs w:val="24"/>
          <w:shd w:val="clear" w:color="auto" w:fill="FFFFFF"/>
        </w:rPr>
        <w:t>进行预</w:t>
      </w:r>
      <w:r>
        <w:rPr>
          <w:rFonts w:ascii="仿宋" w:eastAsia="仿宋" w:hAnsi="仿宋" w:cs="Times New Roman" w:hint="eastAsia"/>
          <w:bCs/>
          <w:color w:val="383838"/>
          <w:sz w:val="32"/>
          <w:szCs w:val="24"/>
          <w:shd w:val="clear" w:color="auto" w:fill="FFFFFF"/>
        </w:rPr>
        <w:lastRenderedPageBreak/>
        <w:t>算支出管理，专款专用。但对于追加的资金，就没有进行明细分解，造成基本与项目支出混用。</w:t>
      </w:r>
    </w:p>
    <w:p w:rsidR="00B113A2" w:rsidRDefault="004E39AB">
      <w:pPr>
        <w:spacing w:line="600" w:lineRule="exact"/>
        <w:ind w:firstLineChars="200" w:firstLine="640"/>
        <w:rPr>
          <w:rFonts w:ascii="黑体" w:eastAsia="黑体"/>
          <w:sz w:val="32"/>
          <w:szCs w:val="32"/>
        </w:rPr>
      </w:pPr>
      <w:r>
        <w:rPr>
          <w:rFonts w:ascii="黑体" w:eastAsia="黑体" w:hint="eastAsia"/>
          <w:sz w:val="32"/>
          <w:szCs w:val="32"/>
        </w:rPr>
        <w:t>六、改进措施及建议</w:t>
      </w:r>
    </w:p>
    <w:p w:rsidR="00B113A2" w:rsidRDefault="004E39AB">
      <w:pPr>
        <w:pStyle w:val="a6"/>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1、进一步加强内部机构的预算管理意识，严格按照预算编制的相关制度和要求，进一步提高预算编制的科学性、合理性、严谨性和可控性，在日常预算管理过程中，进一步加强预算支出的审核、跟踪及预算执行情况分析。</w:t>
      </w:r>
    </w:p>
    <w:p w:rsidR="00B113A2" w:rsidRDefault="004E39AB">
      <w:pPr>
        <w:pStyle w:val="a6"/>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r>
        <w:rPr>
          <w:rFonts w:ascii="仿宋" w:eastAsia="仿宋" w:hAnsi="仿宋" w:cs="Times New Roman" w:hint="eastAsia"/>
          <w:bCs/>
          <w:color w:val="383838"/>
          <w:kern w:val="2"/>
          <w:sz w:val="32"/>
          <w:shd w:val="clear" w:color="auto" w:fill="FFFFFF"/>
        </w:rPr>
        <w:t>2、建议细化预算指标，提高预算科学性。预算编制前根据年度内单位可预见的工作任务，确定单位年度预算目标，细化预算指标，科学合理编制部门预算，推进预算编制科学化、准确化。         </w:t>
      </w:r>
    </w:p>
    <w:p w:rsidR="00B113A2" w:rsidRDefault="00B113A2">
      <w:pPr>
        <w:pStyle w:val="a6"/>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p>
    <w:p w:rsidR="00B113A2" w:rsidRDefault="00B113A2">
      <w:pPr>
        <w:pStyle w:val="a6"/>
        <w:spacing w:before="0" w:beforeAutospacing="0" w:after="0" w:afterAutospacing="0" w:line="33" w:lineRule="atLeast"/>
        <w:ind w:firstLine="420"/>
        <w:jc w:val="both"/>
        <w:rPr>
          <w:rFonts w:ascii="仿宋" w:eastAsia="仿宋" w:hAnsi="仿宋" w:cs="Times New Roman"/>
          <w:bCs/>
          <w:color w:val="383838"/>
          <w:kern w:val="2"/>
          <w:sz w:val="32"/>
          <w:shd w:val="clear" w:color="auto" w:fill="FFFFFF"/>
        </w:rPr>
      </w:pPr>
    </w:p>
    <w:p w:rsidR="00B113A2" w:rsidRDefault="00B113A2">
      <w:pPr>
        <w:pStyle w:val="a6"/>
        <w:spacing w:before="0" w:beforeAutospacing="0" w:after="0" w:afterAutospacing="0" w:line="33" w:lineRule="atLeast"/>
        <w:ind w:firstLine="420"/>
        <w:jc w:val="right"/>
        <w:rPr>
          <w:rFonts w:asciiTheme="minorEastAsia" w:hAnsiTheme="minorEastAsia" w:cs="黑体"/>
          <w:color w:val="000000"/>
          <w:sz w:val="32"/>
          <w:szCs w:val="32"/>
        </w:rPr>
      </w:pPr>
    </w:p>
    <w:sectPr w:rsidR="00B113A2" w:rsidSect="00B113A2">
      <w:pgSz w:w="11906" w:h="16838"/>
      <w:pgMar w:top="720" w:right="1306" w:bottom="720" w:left="136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AB" w:rsidRDefault="004E39AB" w:rsidP="004E39AB">
      <w:r>
        <w:separator/>
      </w:r>
    </w:p>
  </w:endnote>
  <w:endnote w:type="continuationSeparator" w:id="1">
    <w:p w:rsidR="004E39AB" w:rsidRDefault="004E39AB" w:rsidP="004E3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AB" w:rsidRDefault="004E39AB" w:rsidP="004E39AB">
      <w:r>
        <w:separator/>
      </w:r>
    </w:p>
  </w:footnote>
  <w:footnote w:type="continuationSeparator" w:id="1">
    <w:p w:rsidR="004E39AB" w:rsidRDefault="004E39AB" w:rsidP="004E3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0B8"/>
    <w:multiLevelType w:val="singleLevel"/>
    <w:tmpl w:val="00000000"/>
    <w:lvl w:ilvl="0">
      <w:start w:val="1"/>
      <w:numFmt w:val="chineseCounting"/>
      <w:suff w:val="nothing"/>
      <w:lvlText w:val="%1、"/>
      <w:lvlJc w:val="left"/>
      <w:pPr>
        <w:ind w:left="1050" w:firstLine="0"/>
      </w:pPr>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EFAA59"/>
    <w:multiLevelType w:val="singleLevel"/>
    <w:tmpl w:val="55EFAA59"/>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506F9"/>
    <w:rsid w:val="000040DA"/>
    <w:rsid w:val="0002229B"/>
    <w:rsid w:val="000273BD"/>
    <w:rsid w:val="00035368"/>
    <w:rsid w:val="000415B7"/>
    <w:rsid w:val="00050475"/>
    <w:rsid w:val="000658A3"/>
    <w:rsid w:val="00074155"/>
    <w:rsid w:val="000A3F69"/>
    <w:rsid w:val="000B1A5F"/>
    <w:rsid w:val="000E79FC"/>
    <w:rsid w:val="00141F70"/>
    <w:rsid w:val="00152C6D"/>
    <w:rsid w:val="00162D39"/>
    <w:rsid w:val="001A67DB"/>
    <w:rsid w:val="001D51E5"/>
    <w:rsid w:val="001D7DBF"/>
    <w:rsid w:val="001F0C3B"/>
    <w:rsid w:val="00214427"/>
    <w:rsid w:val="00236503"/>
    <w:rsid w:val="00265724"/>
    <w:rsid w:val="0027426B"/>
    <w:rsid w:val="00275391"/>
    <w:rsid w:val="002E2553"/>
    <w:rsid w:val="00310E54"/>
    <w:rsid w:val="003479BD"/>
    <w:rsid w:val="003768D5"/>
    <w:rsid w:val="004506F9"/>
    <w:rsid w:val="004717A2"/>
    <w:rsid w:val="0048147C"/>
    <w:rsid w:val="00491741"/>
    <w:rsid w:val="004E39AB"/>
    <w:rsid w:val="00500E5F"/>
    <w:rsid w:val="00504E20"/>
    <w:rsid w:val="005122EF"/>
    <w:rsid w:val="00517C33"/>
    <w:rsid w:val="00523644"/>
    <w:rsid w:val="0054069E"/>
    <w:rsid w:val="005767CC"/>
    <w:rsid w:val="00590D9F"/>
    <w:rsid w:val="00595D26"/>
    <w:rsid w:val="005A74E6"/>
    <w:rsid w:val="005D4D55"/>
    <w:rsid w:val="005E2CFB"/>
    <w:rsid w:val="0062378F"/>
    <w:rsid w:val="00651EEC"/>
    <w:rsid w:val="00652FEE"/>
    <w:rsid w:val="006A351B"/>
    <w:rsid w:val="006B0422"/>
    <w:rsid w:val="006C1B53"/>
    <w:rsid w:val="006D7730"/>
    <w:rsid w:val="006E33E6"/>
    <w:rsid w:val="006E5284"/>
    <w:rsid w:val="006F3EB5"/>
    <w:rsid w:val="00702E34"/>
    <w:rsid w:val="00704395"/>
    <w:rsid w:val="00720FF1"/>
    <w:rsid w:val="0079646A"/>
    <w:rsid w:val="007A19B3"/>
    <w:rsid w:val="00800CF2"/>
    <w:rsid w:val="00801C2C"/>
    <w:rsid w:val="00812ED5"/>
    <w:rsid w:val="008277D9"/>
    <w:rsid w:val="008A3E8D"/>
    <w:rsid w:val="009016AF"/>
    <w:rsid w:val="009237C4"/>
    <w:rsid w:val="00942649"/>
    <w:rsid w:val="00950252"/>
    <w:rsid w:val="00967F5D"/>
    <w:rsid w:val="009A0F95"/>
    <w:rsid w:val="009B3ADF"/>
    <w:rsid w:val="009C3B52"/>
    <w:rsid w:val="00A42218"/>
    <w:rsid w:val="00A574ED"/>
    <w:rsid w:val="00A70249"/>
    <w:rsid w:val="00A947E0"/>
    <w:rsid w:val="00B113A2"/>
    <w:rsid w:val="00B128B0"/>
    <w:rsid w:val="00B33BEA"/>
    <w:rsid w:val="00B37021"/>
    <w:rsid w:val="00B57C9F"/>
    <w:rsid w:val="00B845B3"/>
    <w:rsid w:val="00B85D8B"/>
    <w:rsid w:val="00BB4077"/>
    <w:rsid w:val="00BE3674"/>
    <w:rsid w:val="00C0697D"/>
    <w:rsid w:val="00C22F7A"/>
    <w:rsid w:val="00C3049A"/>
    <w:rsid w:val="00C31B1E"/>
    <w:rsid w:val="00C67010"/>
    <w:rsid w:val="00C77645"/>
    <w:rsid w:val="00CA2069"/>
    <w:rsid w:val="00CE04C3"/>
    <w:rsid w:val="00CE76A0"/>
    <w:rsid w:val="00D148C6"/>
    <w:rsid w:val="00D17642"/>
    <w:rsid w:val="00D94744"/>
    <w:rsid w:val="00DD06FF"/>
    <w:rsid w:val="00DD5FE9"/>
    <w:rsid w:val="00E00C7A"/>
    <w:rsid w:val="00E01863"/>
    <w:rsid w:val="00E55B68"/>
    <w:rsid w:val="00EF29EE"/>
    <w:rsid w:val="00F74360"/>
    <w:rsid w:val="00FB3E68"/>
    <w:rsid w:val="00FB462F"/>
    <w:rsid w:val="00FE0C89"/>
    <w:rsid w:val="00FE16FA"/>
    <w:rsid w:val="00FE328A"/>
    <w:rsid w:val="016F4AA4"/>
    <w:rsid w:val="04FB0EA6"/>
    <w:rsid w:val="05A07D27"/>
    <w:rsid w:val="05C0754B"/>
    <w:rsid w:val="09DE72D6"/>
    <w:rsid w:val="0A733E75"/>
    <w:rsid w:val="0A9D5880"/>
    <w:rsid w:val="13766975"/>
    <w:rsid w:val="162426A6"/>
    <w:rsid w:val="17264E50"/>
    <w:rsid w:val="18445345"/>
    <w:rsid w:val="1B776439"/>
    <w:rsid w:val="20C332C3"/>
    <w:rsid w:val="24996544"/>
    <w:rsid w:val="24E5277C"/>
    <w:rsid w:val="2A2C24F5"/>
    <w:rsid w:val="2B3B1BCF"/>
    <w:rsid w:val="2C2D7B92"/>
    <w:rsid w:val="33496D42"/>
    <w:rsid w:val="3793282F"/>
    <w:rsid w:val="3A87482B"/>
    <w:rsid w:val="408C1057"/>
    <w:rsid w:val="4BBE212E"/>
    <w:rsid w:val="5E520C3C"/>
    <w:rsid w:val="616E017D"/>
    <w:rsid w:val="660D714A"/>
    <w:rsid w:val="67EB5567"/>
    <w:rsid w:val="703A3E7F"/>
    <w:rsid w:val="796E28C6"/>
    <w:rsid w:val="79B169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113A2"/>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B113A2"/>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sid w:val="00B113A2"/>
    <w:rPr>
      <w:sz w:val="18"/>
      <w:szCs w:val="18"/>
    </w:rPr>
  </w:style>
  <w:style w:type="paragraph" w:styleId="a5">
    <w:name w:val="header"/>
    <w:basedOn w:val="a"/>
    <w:link w:val="Char1"/>
    <w:uiPriority w:val="99"/>
    <w:unhideWhenUsed/>
    <w:qFormat/>
    <w:rsid w:val="00B113A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113A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sid w:val="00B113A2"/>
    <w:rPr>
      <w:sz w:val="18"/>
      <w:szCs w:val="18"/>
    </w:rPr>
  </w:style>
  <w:style w:type="character" w:customStyle="1" w:styleId="Char">
    <w:name w:val="页脚 Char"/>
    <w:basedOn w:val="a1"/>
    <w:link w:val="a0"/>
    <w:uiPriority w:val="99"/>
    <w:qFormat/>
    <w:rsid w:val="00B113A2"/>
    <w:rPr>
      <w:sz w:val="18"/>
      <w:szCs w:val="18"/>
    </w:rPr>
  </w:style>
  <w:style w:type="paragraph" w:customStyle="1" w:styleId="Default">
    <w:name w:val="Default"/>
    <w:qFormat/>
    <w:rsid w:val="00B113A2"/>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B113A2"/>
    <w:pPr>
      <w:ind w:firstLineChars="200" w:firstLine="420"/>
    </w:pPr>
  </w:style>
  <w:style w:type="character" w:customStyle="1" w:styleId="Char0">
    <w:name w:val="批注框文本 Char"/>
    <w:basedOn w:val="a1"/>
    <w:link w:val="a4"/>
    <w:uiPriority w:val="99"/>
    <w:semiHidden/>
    <w:qFormat/>
    <w:rsid w:val="00B113A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1481</Words>
  <Characters>8446</Characters>
  <Application>Microsoft Office Word</Application>
  <DocSecurity>0</DocSecurity>
  <Lines>70</Lines>
  <Paragraphs>19</Paragraphs>
  <ScaleCrop>false</ScaleCrop>
  <Company>Microsoft</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13</cp:revision>
  <cp:lastPrinted>2020-09-24T07:08:00Z</cp:lastPrinted>
  <dcterms:created xsi:type="dcterms:W3CDTF">2020-09-24T01:10:00Z</dcterms:created>
  <dcterms:modified xsi:type="dcterms:W3CDTF">2022-09-06T16:39:00Z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E946A501FCC54B91909E943881693F31</vt:lpwstr>
  </property>
</Properties>
</file>